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FA53D8">
      <w:pPr>
        <w:pStyle w:val="47"/>
        <w:spacing w:after="120" w:afterLines="50"/>
        <w:ind w:firstLine="0" w:firstLineChars="0"/>
        <w:jc w:val="center"/>
        <w:rPr>
          <w:rFonts w:ascii="宋体" w:hAnsi="宋体" w:cs="宋体"/>
          <w:b/>
          <w:kern w:val="2"/>
          <w:sz w:val="44"/>
          <w:szCs w:val="44"/>
        </w:rPr>
      </w:pPr>
      <w:bookmarkStart w:id="0" w:name="_Toc29751"/>
      <w:bookmarkStart w:id="1" w:name="_Toc1214"/>
      <w:bookmarkStart w:id="2" w:name="_Toc32709"/>
      <w:bookmarkStart w:id="3" w:name="_Toc31280"/>
      <w:bookmarkStart w:id="4" w:name="_Toc24021"/>
      <w:r>
        <w:rPr>
          <w:rFonts w:hint="eastAsia" w:ascii="宋体" w:hAnsi="宋体" w:cs="宋体"/>
          <w:b/>
          <w:kern w:val="2"/>
          <w:sz w:val="44"/>
          <w:szCs w:val="44"/>
        </w:rPr>
        <w:t xml:space="preserve">                   </w:t>
      </w:r>
      <w:r>
        <w:rPr>
          <w:rFonts w:hint="eastAsia" w:ascii="宋体" w:hAnsi="宋体" w:cs="宋体"/>
          <w:b/>
          <w:kern w:val="2"/>
          <w:sz w:val="44"/>
          <w:szCs w:val="44"/>
        </w:rPr>
        <w:drawing>
          <wp:inline distT="0" distB="0" distL="114300" distR="114300">
            <wp:extent cx="2879725" cy="1659890"/>
            <wp:effectExtent l="0" t="0" r="635" b="1270"/>
            <wp:docPr id="7" name="图片 7" descr="60f95bbaca50dec54a2c8d271267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f95bbaca50dec54a2c8d2712679be"/>
                    <pic:cNvPicPr>
                      <a:picLocks noChangeAspect="1"/>
                    </pic:cNvPicPr>
                  </pic:nvPicPr>
                  <pic:blipFill>
                    <a:blip r:embed="rId16"/>
                    <a:stretch>
                      <a:fillRect/>
                    </a:stretch>
                  </pic:blipFill>
                  <pic:spPr>
                    <a:xfrm>
                      <a:off x="0" y="0"/>
                      <a:ext cx="2879725" cy="1659890"/>
                    </a:xfrm>
                    <a:prstGeom prst="rect">
                      <a:avLst/>
                    </a:prstGeom>
                  </pic:spPr>
                </pic:pic>
              </a:graphicData>
            </a:graphic>
          </wp:inline>
        </w:drawing>
      </w:r>
      <w:r>
        <w:rPr>
          <w:rFonts w:hint="eastAsia" w:ascii="宋体" w:hAnsi="宋体" w:cs="宋体"/>
          <w:b/>
          <w:kern w:val="2"/>
          <w:sz w:val="44"/>
          <w:szCs w:val="44"/>
        </w:rPr>
        <w:t xml:space="preserve"> </w:t>
      </w:r>
    </w:p>
    <w:p w14:paraId="6B6F56C3">
      <w:pPr>
        <w:pStyle w:val="47"/>
        <w:spacing w:after="120" w:afterLines="50"/>
        <w:ind w:firstLine="0" w:firstLineChars="0"/>
        <w:jc w:val="center"/>
        <w:rPr>
          <w:rFonts w:ascii="宋体" w:hAnsi="宋体" w:cs="宋体"/>
          <w:b/>
          <w:kern w:val="2"/>
          <w:sz w:val="44"/>
          <w:szCs w:val="44"/>
        </w:rPr>
      </w:pPr>
      <w:r>
        <w:rPr>
          <w:rFonts w:hint="eastAsia" w:ascii="宋体" w:hAnsi="宋体" w:cs="宋体"/>
          <w:b/>
          <w:kern w:val="2"/>
          <w:sz w:val="44"/>
          <w:szCs w:val="44"/>
        </w:rPr>
        <w:t>本溪市昱蕴铁选有限公司大柳峪铁矿</w:t>
      </w:r>
    </w:p>
    <w:p w14:paraId="29607A1E">
      <w:pPr>
        <w:pStyle w:val="47"/>
        <w:spacing w:after="120" w:afterLines="50"/>
        <w:ind w:firstLine="0" w:firstLineChars="0"/>
        <w:jc w:val="center"/>
        <w:rPr>
          <w:rFonts w:ascii="宋体" w:hAnsi="宋体" w:cs="宋体"/>
          <w:b/>
          <w:sz w:val="44"/>
          <w:szCs w:val="44"/>
        </w:rPr>
      </w:pPr>
      <w:r>
        <w:rPr>
          <w:rFonts w:hint="eastAsia" w:ascii="宋体" w:hAnsi="宋体" w:cs="宋体"/>
          <w:b/>
          <w:kern w:val="2"/>
          <w:sz w:val="44"/>
          <w:szCs w:val="44"/>
        </w:rPr>
        <w:t>北采区地下开采建设项目</w:t>
      </w:r>
      <w:bookmarkEnd w:id="0"/>
      <w:bookmarkEnd w:id="1"/>
      <w:bookmarkEnd w:id="2"/>
      <w:bookmarkEnd w:id="3"/>
      <w:bookmarkEnd w:id="4"/>
    </w:p>
    <w:p w14:paraId="75398D5D">
      <w:pPr>
        <w:adjustRightInd w:val="0"/>
        <w:snapToGrid w:val="0"/>
        <w:spacing w:before="120" w:beforeLines="50" w:line="240" w:lineRule="auto"/>
        <w:ind w:firstLine="0" w:firstLineChars="0"/>
        <w:jc w:val="center"/>
        <w:rPr>
          <w:rFonts w:ascii="宋体" w:hAnsi="宋体" w:cs="宋体"/>
          <w:b/>
          <w:sz w:val="52"/>
          <w:szCs w:val="52"/>
        </w:rPr>
      </w:pPr>
      <w:r>
        <w:rPr>
          <w:rFonts w:hint="eastAsia" w:ascii="黑体" w:hAnsi="黑体" w:eastAsia="黑体" w:cs="黑体"/>
          <w:b/>
          <w:sz w:val="52"/>
          <w:szCs w:val="52"/>
        </w:rPr>
        <w:t>安全预评价报告</w:t>
      </w:r>
    </w:p>
    <w:p w14:paraId="3BF11907">
      <w:pPr>
        <w:ind w:firstLine="880"/>
        <w:jc w:val="center"/>
        <w:rPr>
          <w:rFonts w:ascii="宋体" w:hAnsi="宋体" w:cs="宋体"/>
          <w:kern w:val="0"/>
          <w:sz w:val="44"/>
        </w:rPr>
      </w:pPr>
    </w:p>
    <w:p w14:paraId="2B59FF48">
      <w:pPr>
        <w:autoSpaceDE w:val="0"/>
        <w:autoSpaceDN w:val="0"/>
        <w:adjustRightInd w:val="0"/>
        <w:rPr>
          <w:rFonts w:ascii="宋体" w:hAnsi="宋体" w:cs="宋体"/>
          <w:sz w:val="24"/>
        </w:rPr>
      </w:pPr>
    </w:p>
    <w:p w14:paraId="36A3298D">
      <w:pPr>
        <w:autoSpaceDE w:val="0"/>
        <w:autoSpaceDN w:val="0"/>
        <w:adjustRightInd w:val="0"/>
        <w:rPr>
          <w:rFonts w:ascii="宋体" w:hAnsi="宋体" w:cs="宋体"/>
          <w:sz w:val="24"/>
        </w:rPr>
      </w:pPr>
    </w:p>
    <w:p w14:paraId="2C7DC923">
      <w:pPr>
        <w:autoSpaceDE w:val="0"/>
        <w:autoSpaceDN w:val="0"/>
        <w:adjustRightInd w:val="0"/>
        <w:rPr>
          <w:rFonts w:ascii="宋体" w:hAnsi="宋体" w:cs="宋体"/>
          <w:sz w:val="24"/>
        </w:rPr>
      </w:pPr>
    </w:p>
    <w:p w14:paraId="7099FF0E">
      <w:pPr>
        <w:autoSpaceDE w:val="0"/>
        <w:autoSpaceDN w:val="0"/>
        <w:adjustRightInd w:val="0"/>
        <w:rPr>
          <w:rFonts w:ascii="宋体" w:hAnsi="宋体" w:cs="宋体"/>
          <w:sz w:val="24"/>
        </w:rPr>
      </w:pPr>
    </w:p>
    <w:p w14:paraId="5EDAB6E4">
      <w:pPr>
        <w:autoSpaceDE w:val="0"/>
        <w:autoSpaceDN w:val="0"/>
        <w:adjustRightInd w:val="0"/>
        <w:rPr>
          <w:rFonts w:ascii="宋体" w:hAnsi="宋体" w:cs="宋体"/>
          <w:sz w:val="24"/>
        </w:rPr>
      </w:pPr>
    </w:p>
    <w:p w14:paraId="07A73DF2">
      <w:pPr>
        <w:autoSpaceDE w:val="0"/>
        <w:autoSpaceDN w:val="0"/>
        <w:adjustRightInd w:val="0"/>
        <w:rPr>
          <w:rFonts w:ascii="宋体" w:hAnsi="宋体" w:cs="宋体"/>
          <w:sz w:val="24"/>
        </w:rPr>
      </w:pPr>
    </w:p>
    <w:p w14:paraId="36001CB8">
      <w:pPr>
        <w:adjustRightInd w:val="0"/>
        <w:snapToGrid w:val="0"/>
        <w:ind w:firstLine="0" w:firstLineChars="0"/>
        <w:jc w:val="center"/>
        <w:outlineLvl w:val="0"/>
        <w:rPr>
          <w:rFonts w:ascii="宋体" w:hAnsi="宋体" w:cs="宋体"/>
          <w:b/>
          <w:sz w:val="44"/>
          <w:szCs w:val="44"/>
        </w:rPr>
      </w:pPr>
      <w:bookmarkStart w:id="5" w:name="_Toc21099"/>
      <w:bookmarkStart w:id="6" w:name="_Toc27156"/>
      <w:bookmarkStart w:id="7" w:name="_Toc27666"/>
      <w:bookmarkStart w:id="8" w:name="_Toc31100"/>
      <w:bookmarkStart w:id="9" w:name="_Toc22762"/>
      <w:bookmarkStart w:id="10" w:name="_Toc9786"/>
      <w:bookmarkStart w:id="11" w:name="_Toc19065"/>
      <w:bookmarkStart w:id="12" w:name="_Toc22153"/>
      <w:bookmarkStart w:id="13" w:name="_Toc3987"/>
      <w:bookmarkStart w:id="14" w:name="_Toc7860"/>
      <w:bookmarkStart w:id="15" w:name="_Toc31298"/>
      <w:r>
        <w:rPr>
          <w:rFonts w:hint="eastAsia" w:ascii="宋体" w:hAnsi="宋体" w:cs="宋体"/>
          <w:b/>
          <w:sz w:val="44"/>
          <w:szCs w:val="44"/>
        </w:rPr>
        <w:t>辽宁万泽安全技术咨询服务有限公司</w:t>
      </w:r>
      <w:bookmarkEnd w:id="5"/>
      <w:bookmarkEnd w:id="6"/>
      <w:bookmarkEnd w:id="7"/>
      <w:bookmarkEnd w:id="8"/>
      <w:bookmarkEnd w:id="9"/>
      <w:bookmarkEnd w:id="10"/>
      <w:bookmarkEnd w:id="11"/>
      <w:bookmarkEnd w:id="12"/>
      <w:bookmarkEnd w:id="13"/>
      <w:bookmarkEnd w:id="14"/>
      <w:bookmarkEnd w:id="15"/>
    </w:p>
    <w:p w14:paraId="3D5A9456">
      <w:pPr>
        <w:adjustRightInd w:val="0"/>
        <w:snapToGrid w:val="0"/>
        <w:ind w:firstLine="0" w:firstLineChars="0"/>
        <w:jc w:val="center"/>
        <w:outlineLvl w:val="0"/>
        <w:rPr>
          <w:rFonts w:ascii="宋体" w:hAnsi="宋体" w:cs="宋体"/>
          <w:b/>
          <w:sz w:val="32"/>
          <w:szCs w:val="32"/>
        </w:rPr>
      </w:pPr>
      <w:bookmarkStart w:id="16" w:name="_Toc26776"/>
      <w:bookmarkStart w:id="17" w:name="_Toc25415"/>
      <w:bookmarkStart w:id="18" w:name="_Toc1056"/>
      <w:bookmarkStart w:id="19" w:name="_Toc8675"/>
      <w:bookmarkStart w:id="20" w:name="_Toc21558"/>
      <w:bookmarkStart w:id="21" w:name="_Toc744"/>
      <w:bookmarkStart w:id="22" w:name="_Toc18916"/>
      <w:bookmarkStart w:id="23" w:name="_Toc21191"/>
      <w:bookmarkStart w:id="24" w:name="_Toc4722"/>
      <w:bookmarkStart w:id="25" w:name="_Toc31437"/>
      <w:bookmarkStart w:id="26" w:name="_Toc24052"/>
      <w:r>
        <w:rPr>
          <w:rFonts w:hint="eastAsia" w:ascii="宋体" w:hAnsi="宋体" w:cs="宋体"/>
          <w:b/>
          <w:sz w:val="32"/>
          <w:szCs w:val="32"/>
        </w:rPr>
        <w:t>资质证书编号：APJ-（辽）-015</w:t>
      </w:r>
      <w:bookmarkEnd w:id="16"/>
      <w:bookmarkEnd w:id="17"/>
      <w:bookmarkEnd w:id="18"/>
      <w:bookmarkEnd w:id="19"/>
      <w:bookmarkEnd w:id="20"/>
      <w:bookmarkEnd w:id="21"/>
      <w:bookmarkEnd w:id="22"/>
      <w:bookmarkEnd w:id="23"/>
      <w:bookmarkEnd w:id="24"/>
      <w:bookmarkEnd w:id="25"/>
      <w:bookmarkEnd w:id="26"/>
    </w:p>
    <w:p w14:paraId="56F98ABF">
      <w:pPr>
        <w:adjustRightInd w:val="0"/>
        <w:snapToGrid w:val="0"/>
        <w:ind w:firstLine="0" w:firstLineChars="0"/>
        <w:jc w:val="center"/>
        <w:rPr>
          <w:rFonts w:ascii="宋体" w:hAnsi="宋体" w:cs="宋体"/>
          <w:b/>
          <w:bCs/>
          <w:kern w:val="0"/>
          <w:sz w:val="32"/>
          <w:szCs w:val="32"/>
        </w:rPr>
      </w:pPr>
      <w:r>
        <w:rPr>
          <w:rFonts w:hint="eastAsia" w:ascii="宋体" w:hAnsi="宋体" w:cs="宋体"/>
          <w:b/>
          <w:bCs/>
          <w:sz w:val="32"/>
          <w:szCs w:val="32"/>
        </w:rPr>
        <w:t>二〇二五年一月</w:t>
      </w:r>
    </w:p>
    <w:p w14:paraId="3E4CA39E">
      <w:pPr>
        <w:pStyle w:val="7"/>
        <w:ind w:firstLine="560"/>
      </w:pPr>
    </w:p>
    <w:p w14:paraId="1D2DC343">
      <w:pPr>
        <w:pStyle w:val="7"/>
        <w:ind w:firstLine="560"/>
      </w:pPr>
    </w:p>
    <w:p w14:paraId="0122AA72">
      <w:pPr>
        <w:pStyle w:val="47"/>
        <w:spacing w:after="120" w:afterLines="50"/>
        <w:ind w:firstLine="883"/>
        <w:jc w:val="center"/>
        <w:rPr>
          <w:rFonts w:ascii="宋体" w:hAnsi="宋体" w:cs="宋体"/>
          <w:b/>
          <w:kern w:val="2"/>
          <w:sz w:val="44"/>
          <w:szCs w:val="44"/>
        </w:rPr>
      </w:pPr>
      <w:bookmarkStart w:id="27" w:name="_Toc2981"/>
      <w:bookmarkStart w:id="28" w:name="_Toc25180"/>
      <w:bookmarkStart w:id="29" w:name="_Toc12391"/>
      <w:bookmarkStart w:id="30" w:name="_Toc21294"/>
      <w:bookmarkStart w:id="31" w:name="_Toc18317"/>
      <w:r>
        <w:rPr>
          <w:rFonts w:hint="eastAsia" w:ascii="宋体" w:hAnsi="宋体" w:cs="宋体"/>
          <w:b/>
          <w:kern w:val="2"/>
          <w:sz w:val="44"/>
          <w:szCs w:val="44"/>
        </w:rPr>
        <w:t xml:space="preserve">                        </w:t>
      </w:r>
    </w:p>
    <w:p w14:paraId="29F19861">
      <w:pPr>
        <w:adjustRightInd w:val="0"/>
        <w:snapToGrid w:val="0"/>
        <w:spacing w:before="120" w:beforeLines="50" w:line="300" w:lineRule="auto"/>
        <w:ind w:firstLine="0" w:firstLineChars="0"/>
        <w:jc w:val="center"/>
        <w:outlineLvl w:val="0"/>
        <w:rPr>
          <w:rFonts w:ascii="宋体" w:hAnsi="宋体" w:cs="宋体"/>
          <w:b/>
          <w:sz w:val="44"/>
          <w:szCs w:val="44"/>
        </w:rPr>
      </w:pPr>
      <w:bookmarkStart w:id="32" w:name="_Toc24560"/>
      <w:bookmarkStart w:id="33" w:name="_Toc428"/>
      <w:bookmarkStart w:id="34" w:name="_Toc30505"/>
      <w:bookmarkStart w:id="35" w:name="_Toc7467"/>
      <w:bookmarkStart w:id="36" w:name="_Toc12181"/>
      <w:bookmarkStart w:id="37" w:name="_Toc30787"/>
      <w:r>
        <w:rPr>
          <w:rFonts w:hint="eastAsia" w:ascii="宋体" w:hAnsi="宋体" w:cs="宋体"/>
          <w:b/>
          <w:sz w:val="44"/>
          <w:szCs w:val="44"/>
        </w:rPr>
        <w:t xml:space="preserve">                   </w:t>
      </w:r>
      <w:r>
        <w:rPr>
          <w:rFonts w:hint="eastAsia" w:ascii="宋体" w:hAnsi="宋体" w:cs="宋体"/>
          <w:b/>
          <w:sz w:val="44"/>
          <w:szCs w:val="44"/>
        </w:rPr>
        <w:drawing>
          <wp:inline distT="0" distB="0" distL="114300" distR="114300">
            <wp:extent cx="2879725" cy="1659890"/>
            <wp:effectExtent l="0" t="0" r="635" b="1270"/>
            <wp:docPr id="12" name="图片 12" descr="60f95bbaca50dec54a2c8d271267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f95bbaca50dec54a2c8d2712679be"/>
                    <pic:cNvPicPr>
                      <a:picLocks noChangeAspect="1"/>
                    </pic:cNvPicPr>
                  </pic:nvPicPr>
                  <pic:blipFill>
                    <a:blip r:embed="rId16"/>
                    <a:stretch>
                      <a:fillRect/>
                    </a:stretch>
                  </pic:blipFill>
                  <pic:spPr>
                    <a:xfrm>
                      <a:off x="0" y="0"/>
                      <a:ext cx="2879725" cy="1659890"/>
                    </a:xfrm>
                    <a:prstGeom prst="rect">
                      <a:avLst/>
                    </a:prstGeom>
                  </pic:spPr>
                </pic:pic>
              </a:graphicData>
            </a:graphic>
          </wp:inline>
        </w:drawing>
      </w:r>
    </w:p>
    <w:p w14:paraId="346F8739">
      <w:pPr>
        <w:adjustRightInd w:val="0"/>
        <w:snapToGrid w:val="0"/>
        <w:spacing w:before="120" w:beforeLines="50" w:line="300" w:lineRule="auto"/>
        <w:ind w:firstLine="0" w:firstLineChars="0"/>
        <w:jc w:val="center"/>
        <w:outlineLvl w:val="0"/>
        <w:rPr>
          <w:rFonts w:ascii="宋体" w:hAnsi="宋体" w:cs="宋体"/>
          <w:b/>
          <w:sz w:val="32"/>
          <w:szCs w:val="32"/>
        </w:rPr>
      </w:pPr>
      <w:r>
        <w:rPr>
          <w:rFonts w:hint="eastAsia" w:ascii="宋体" w:hAnsi="宋体" w:cs="宋体"/>
          <w:b/>
          <w:sz w:val="32"/>
          <w:szCs w:val="32"/>
        </w:rPr>
        <w:t>本溪市昱蕴铁选有限公司大柳峪铁矿</w:t>
      </w:r>
      <w:bookmarkEnd w:id="32"/>
    </w:p>
    <w:p w14:paraId="35A36DB6">
      <w:pPr>
        <w:adjustRightInd w:val="0"/>
        <w:snapToGrid w:val="0"/>
        <w:spacing w:before="120" w:beforeLines="50" w:line="300" w:lineRule="auto"/>
        <w:ind w:firstLine="0" w:firstLineChars="0"/>
        <w:jc w:val="center"/>
        <w:outlineLvl w:val="0"/>
        <w:rPr>
          <w:rFonts w:ascii="宋体" w:hAnsi="宋体" w:cs="宋体"/>
          <w:b/>
          <w:sz w:val="32"/>
          <w:szCs w:val="32"/>
        </w:rPr>
      </w:pPr>
      <w:bookmarkStart w:id="38" w:name="_Toc18490"/>
      <w:r>
        <w:rPr>
          <w:rFonts w:hint="eastAsia" w:ascii="宋体" w:hAnsi="宋体" w:cs="宋体"/>
          <w:b/>
          <w:sz w:val="32"/>
          <w:szCs w:val="32"/>
        </w:rPr>
        <w:t>北采区地下开采建设项目</w:t>
      </w:r>
      <w:bookmarkEnd w:id="27"/>
      <w:bookmarkEnd w:id="28"/>
      <w:bookmarkEnd w:id="29"/>
      <w:bookmarkEnd w:id="30"/>
      <w:bookmarkEnd w:id="31"/>
      <w:bookmarkEnd w:id="33"/>
      <w:bookmarkEnd w:id="34"/>
      <w:bookmarkEnd w:id="35"/>
      <w:bookmarkEnd w:id="36"/>
      <w:bookmarkEnd w:id="37"/>
      <w:bookmarkEnd w:id="38"/>
    </w:p>
    <w:p w14:paraId="59B4B2B3">
      <w:pPr>
        <w:adjustRightInd w:val="0"/>
        <w:snapToGrid w:val="0"/>
        <w:spacing w:before="120" w:beforeLines="50" w:line="300" w:lineRule="auto"/>
        <w:ind w:firstLine="0" w:firstLineChars="0"/>
        <w:jc w:val="center"/>
        <w:rPr>
          <w:rFonts w:ascii="宋体" w:hAnsi="宋体" w:cs="宋体"/>
          <w:b/>
          <w:sz w:val="44"/>
          <w:szCs w:val="44"/>
        </w:rPr>
      </w:pPr>
      <w:r>
        <w:rPr>
          <w:rFonts w:hint="eastAsia" w:ascii="黑体" w:hAnsi="黑体" w:eastAsia="黑体" w:cs="黑体"/>
          <w:b/>
          <w:sz w:val="44"/>
          <w:szCs w:val="44"/>
        </w:rPr>
        <w:t>安全预评价报告</w:t>
      </w:r>
    </w:p>
    <w:p w14:paraId="04385B71">
      <w:pPr>
        <w:ind w:firstLine="0" w:firstLineChars="0"/>
        <w:jc w:val="center"/>
      </w:pPr>
      <w:r>
        <w:rPr>
          <w:rFonts w:hint="eastAsia"/>
        </w:rPr>
        <w:t>ln-LNWZ-YPJ-2024-0006</w:t>
      </w:r>
    </w:p>
    <w:p w14:paraId="0118AC70">
      <w:pPr>
        <w:ind w:firstLine="880"/>
        <w:jc w:val="center"/>
        <w:rPr>
          <w:rFonts w:ascii="宋体" w:hAnsi="宋体" w:cs="宋体"/>
          <w:kern w:val="0"/>
          <w:sz w:val="44"/>
        </w:rPr>
      </w:pPr>
    </w:p>
    <w:p w14:paraId="2A9BE283">
      <w:pPr>
        <w:autoSpaceDE w:val="0"/>
        <w:autoSpaceDN w:val="0"/>
        <w:adjustRightInd w:val="0"/>
        <w:rPr>
          <w:rFonts w:ascii="宋体" w:hAnsi="宋体" w:cs="宋体"/>
          <w:sz w:val="24"/>
        </w:rPr>
      </w:pPr>
    </w:p>
    <w:p w14:paraId="394D7A4F">
      <w:pPr>
        <w:spacing w:line="600" w:lineRule="exact"/>
        <w:ind w:firstLine="0" w:firstLineChars="0"/>
        <w:jc w:val="center"/>
        <w:rPr>
          <w:rFonts w:ascii="宋体" w:hAnsi="宋体" w:cs="宋体"/>
          <w:szCs w:val="28"/>
        </w:rPr>
      </w:pPr>
      <w:r>
        <w:rPr>
          <w:rFonts w:hint="eastAsia" w:ascii="宋体" w:hAnsi="宋体" w:cs="宋体"/>
          <w:szCs w:val="28"/>
        </w:rPr>
        <w:t>法定代表人：杜研岩</w:t>
      </w:r>
    </w:p>
    <w:p w14:paraId="6C59E8F3">
      <w:pPr>
        <w:spacing w:line="600" w:lineRule="exact"/>
        <w:ind w:firstLine="0" w:firstLineChars="0"/>
        <w:jc w:val="center"/>
        <w:rPr>
          <w:rFonts w:ascii="宋体" w:hAnsi="宋体" w:cs="宋体"/>
          <w:szCs w:val="28"/>
        </w:rPr>
      </w:pPr>
      <w:r>
        <w:rPr>
          <w:rFonts w:hint="eastAsia" w:ascii="宋体" w:hAnsi="宋体" w:cs="宋体"/>
          <w:szCs w:val="28"/>
        </w:rPr>
        <w:t>技术负责人：马秀山</w:t>
      </w:r>
    </w:p>
    <w:p w14:paraId="504A95EE">
      <w:pPr>
        <w:spacing w:line="600" w:lineRule="exact"/>
        <w:ind w:firstLine="0" w:firstLineChars="0"/>
        <w:jc w:val="center"/>
        <w:rPr>
          <w:rFonts w:ascii="宋体" w:hAnsi="宋体" w:cs="宋体"/>
          <w:szCs w:val="28"/>
        </w:rPr>
      </w:pPr>
      <w:r>
        <w:rPr>
          <w:rFonts w:hint="eastAsia" w:ascii="宋体" w:hAnsi="宋体" w:cs="宋体"/>
          <w:szCs w:val="28"/>
        </w:rPr>
        <w:t>项目负责人：王  飞</w:t>
      </w:r>
    </w:p>
    <w:p w14:paraId="5866BBC7">
      <w:pPr>
        <w:ind w:firstLine="883"/>
        <w:jc w:val="center"/>
        <w:rPr>
          <w:rFonts w:ascii="宋体" w:hAnsi="宋体" w:cs="宋体"/>
          <w:b/>
          <w:sz w:val="44"/>
          <w:szCs w:val="44"/>
        </w:rPr>
      </w:pPr>
    </w:p>
    <w:p w14:paraId="783EA5D8">
      <w:pPr>
        <w:ind w:firstLine="560"/>
      </w:pPr>
    </w:p>
    <w:p w14:paraId="166D4688">
      <w:pPr>
        <w:ind w:firstLine="560"/>
      </w:pPr>
    </w:p>
    <w:p w14:paraId="79379B01">
      <w:pPr>
        <w:autoSpaceDE w:val="0"/>
        <w:autoSpaceDN w:val="0"/>
        <w:adjustRightInd w:val="0"/>
        <w:rPr>
          <w:rFonts w:ascii="宋体" w:hAnsi="宋体" w:cs="宋体"/>
          <w:sz w:val="24"/>
        </w:rPr>
      </w:pPr>
    </w:p>
    <w:p w14:paraId="65428021">
      <w:pPr>
        <w:autoSpaceDE w:val="0"/>
        <w:autoSpaceDN w:val="0"/>
        <w:adjustRightInd w:val="0"/>
        <w:rPr>
          <w:rFonts w:ascii="宋体" w:hAnsi="宋体" w:cs="宋体"/>
          <w:sz w:val="24"/>
        </w:rPr>
      </w:pPr>
    </w:p>
    <w:p w14:paraId="433A5B1D">
      <w:pPr>
        <w:autoSpaceDE w:val="0"/>
        <w:autoSpaceDN w:val="0"/>
        <w:adjustRightInd w:val="0"/>
        <w:rPr>
          <w:rFonts w:ascii="宋体" w:hAnsi="宋体" w:cs="宋体"/>
          <w:sz w:val="24"/>
        </w:rPr>
      </w:pPr>
    </w:p>
    <w:p w14:paraId="30C63B4E">
      <w:pPr>
        <w:adjustRightInd w:val="0"/>
        <w:snapToGrid w:val="0"/>
        <w:ind w:firstLine="0" w:firstLineChars="0"/>
        <w:jc w:val="center"/>
        <w:outlineLvl w:val="0"/>
        <w:rPr>
          <w:rFonts w:ascii="宋体" w:hAnsi="宋体" w:cs="宋体"/>
          <w:b/>
          <w:sz w:val="24"/>
        </w:rPr>
      </w:pPr>
      <w:bookmarkStart w:id="39" w:name="_Toc14535"/>
      <w:bookmarkStart w:id="40" w:name="_Toc32484"/>
      <w:bookmarkStart w:id="41" w:name="_Toc31393"/>
      <w:bookmarkStart w:id="42" w:name="_Toc12980"/>
      <w:bookmarkStart w:id="43" w:name="_Toc567"/>
      <w:bookmarkStart w:id="44" w:name="_Toc22741"/>
      <w:bookmarkStart w:id="45" w:name="_Toc21879"/>
      <w:bookmarkStart w:id="46" w:name="_Toc32243"/>
      <w:bookmarkStart w:id="47" w:name="_Toc15954"/>
      <w:bookmarkStart w:id="48" w:name="_Toc28519"/>
      <w:bookmarkStart w:id="49" w:name="_Toc3346"/>
      <w:r>
        <w:rPr>
          <w:rFonts w:hint="eastAsia" w:ascii="宋体" w:hAnsi="宋体" w:cs="宋体"/>
          <w:b/>
          <w:sz w:val="24"/>
        </w:rPr>
        <w:t>辽宁万泽安全技术咨询服务有限公司</w:t>
      </w:r>
      <w:bookmarkEnd w:id="39"/>
      <w:bookmarkEnd w:id="40"/>
      <w:bookmarkEnd w:id="41"/>
      <w:bookmarkEnd w:id="42"/>
      <w:bookmarkEnd w:id="43"/>
      <w:bookmarkEnd w:id="44"/>
      <w:bookmarkEnd w:id="45"/>
      <w:bookmarkEnd w:id="46"/>
      <w:bookmarkEnd w:id="47"/>
      <w:bookmarkEnd w:id="48"/>
      <w:bookmarkEnd w:id="49"/>
    </w:p>
    <w:p w14:paraId="3FDDFC06">
      <w:pPr>
        <w:adjustRightInd w:val="0"/>
        <w:snapToGrid w:val="0"/>
        <w:ind w:firstLine="0" w:firstLineChars="0"/>
        <w:jc w:val="center"/>
        <w:rPr>
          <w:rFonts w:ascii="宋体" w:hAnsi="宋体" w:cs="宋体"/>
          <w:b/>
          <w:sz w:val="24"/>
        </w:rPr>
        <w:sectPr>
          <w:headerReference r:id="rId7" w:type="first"/>
          <w:footerReference r:id="rId10" w:type="first"/>
          <w:headerReference r:id="rId5" w:type="default"/>
          <w:footerReference r:id="rId8" w:type="default"/>
          <w:headerReference r:id="rId6" w:type="even"/>
          <w:footerReference r:id="rId9" w:type="even"/>
          <w:pgSz w:w="11907" w:h="16840"/>
          <w:pgMar w:top="1134" w:right="1418" w:bottom="1134" w:left="1587" w:header="964" w:footer="964" w:gutter="0"/>
          <w:cols w:space="720" w:num="1"/>
        </w:sectPr>
      </w:pPr>
      <w:r>
        <w:rPr>
          <w:rFonts w:hint="eastAsia" w:ascii="宋体" w:hAnsi="宋体" w:cs="宋体"/>
          <w:b/>
          <w:sz w:val="24"/>
        </w:rPr>
        <w:t>2025年01月02日</w:t>
      </w:r>
    </w:p>
    <w:p w14:paraId="421A401B">
      <w:pPr>
        <w:pStyle w:val="2"/>
        <w:numPr>
          <w:ilvl w:val="0"/>
          <w:numId w:val="0"/>
        </w:numPr>
        <w:spacing w:line="240" w:lineRule="auto"/>
        <w:jc w:val="center"/>
      </w:pPr>
      <w:bookmarkStart w:id="50" w:name="_Toc4645"/>
      <w:bookmarkStart w:id="51" w:name="_Toc32561"/>
      <w:bookmarkStart w:id="52" w:name="_Toc11807"/>
      <w:bookmarkStart w:id="53" w:name="_Toc25715"/>
      <w:r>
        <w:rPr>
          <w:rFonts w:hint="eastAsia"/>
        </w:rPr>
        <w:t>前  言</w:t>
      </w:r>
      <w:bookmarkEnd w:id="50"/>
      <w:bookmarkEnd w:id="51"/>
      <w:bookmarkEnd w:id="52"/>
      <w:bookmarkEnd w:id="53"/>
    </w:p>
    <w:p w14:paraId="041A220E">
      <w:pPr>
        <w:ind w:firstLine="583"/>
        <w:rPr>
          <w:rFonts w:hint="eastAsia" w:asciiTheme="minorEastAsia" w:hAnsiTheme="minorEastAsia" w:eastAsiaTheme="minorEastAsia" w:cstheme="minorEastAsia"/>
          <w:color w:val="FF0000"/>
          <w:sz w:val="28"/>
          <w:szCs w:val="28"/>
          <w:highlight w:val="black"/>
        </w:rPr>
      </w:pPr>
      <w:bookmarkStart w:id="54" w:name="_Hlk157434106"/>
      <w:r>
        <w:rPr>
          <w:rFonts w:hint="eastAsia" w:asciiTheme="minorEastAsia" w:hAnsiTheme="minorEastAsia" w:eastAsiaTheme="minorEastAsia" w:cstheme="minorEastAsia"/>
          <w:sz w:val="28"/>
          <w:szCs w:val="28"/>
          <w:highlight w:val="black"/>
          <w:lang w:val="zh-CN"/>
        </w:rPr>
        <w:t>本溪市昱蕴铁选有限公司</w:t>
      </w:r>
      <w:r>
        <w:rPr>
          <w:rFonts w:hint="eastAsia" w:asciiTheme="minorEastAsia" w:hAnsiTheme="minorEastAsia" w:eastAsiaTheme="minorEastAsia" w:cstheme="minorEastAsia"/>
          <w:sz w:val="28"/>
          <w:szCs w:val="28"/>
          <w:highlight w:val="black"/>
        </w:rPr>
        <w:t>位于</w:t>
      </w:r>
      <w:r>
        <w:rPr>
          <w:rFonts w:hint="eastAsia" w:asciiTheme="minorEastAsia" w:hAnsiTheme="minorEastAsia" w:eastAsiaTheme="minorEastAsia" w:cstheme="minorEastAsia"/>
          <w:sz w:val="28"/>
          <w:szCs w:val="28"/>
          <w:highlight w:val="black"/>
          <w:lang w:val="zh-CN"/>
        </w:rPr>
        <w:t>本溪市溪湖区日月岛街道办事处大柳峪村</w:t>
      </w:r>
      <w:r>
        <w:rPr>
          <w:rFonts w:hint="eastAsia" w:asciiTheme="minorEastAsia" w:hAnsiTheme="minorEastAsia" w:eastAsiaTheme="minorEastAsia" w:cstheme="minorEastAsia"/>
          <w:sz w:val="28"/>
          <w:szCs w:val="28"/>
          <w:highlight w:val="black"/>
        </w:rPr>
        <w:t>，开采方式为地下开采，设计采用斜坡道开拓系统</w:t>
      </w:r>
      <w:bookmarkEnd w:id="54"/>
      <w:r>
        <w:rPr>
          <w:rFonts w:hint="eastAsia" w:asciiTheme="minorEastAsia" w:hAnsiTheme="minorEastAsia" w:eastAsiaTheme="minorEastAsia" w:cstheme="minorEastAsia"/>
          <w:sz w:val="28"/>
          <w:szCs w:val="28"/>
          <w:highlight w:val="black"/>
        </w:rPr>
        <w:t>，运输采用无轨运输方式。对于厚度超过10m的中厚－厚矿体采用分段空场嗣后充填法，对于厚度小于10m以及小矿体采用全面法嗣后充填法的开采方法。</w:t>
      </w:r>
    </w:p>
    <w:p w14:paraId="7999292E">
      <w:pPr>
        <w:ind w:firstLine="583"/>
        <w:rPr>
          <w:sz w:val="28"/>
          <w:szCs w:val="28"/>
          <w:highlight w:val="black"/>
        </w:rPr>
      </w:pPr>
      <w:r>
        <w:rPr>
          <w:rFonts w:hint="eastAsia"/>
          <w:sz w:val="28"/>
          <w:szCs w:val="28"/>
          <w:highlight w:val="black"/>
        </w:rPr>
        <w:t>本矿山为新立采矿权，在取得采矿许可证后，为了指导矿山安全、高效的回收矿产资源，</w:t>
      </w:r>
      <w:r>
        <w:rPr>
          <w:rFonts w:hint="eastAsia"/>
          <w:kern w:val="0"/>
          <w:sz w:val="28"/>
          <w:szCs w:val="28"/>
          <w:highlight w:val="black"/>
        </w:rPr>
        <w:t>本溪市昱蕴铁选有限公司于2024年10月编制完成了</w:t>
      </w:r>
      <w:r>
        <w:rPr>
          <w:rFonts w:hint="eastAsia"/>
          <w:sz w:val="28"/>
          <w:szCs w:val="28"/>
          <w:highlight w:val="black"/>
        </w:rPr>
        <w:t>《</w:t>
      </w:r>
      <w:r>
        <w:rPr>
          <w:rFonts w:hint="eastAsia"/>
          <w:kern w:val="0"/>
          <w:sz w:val="28"/>
          <w:szCs w:val="28"/>
          <w:highlight w:val="black"/>
        </w:rPr>
        <w:t>本溪市昱蕴铁选有限公司大柳峪铁矿北采区地下开采建设项目可行性研究报告</w:t>
      </w:r>
      <w:r>
        <w:rPr>
          <w:rFonts w:hint="eastAsia"/>
          <w:sz w:val="28"/>
          <w:szCs w:val="28"/>
          <w:highlight w:val="black"/>
        </w:rPr>
        <w:t>》</w:t>
      </w:r>
      <w:r>
        <w:rPr>
          <w:sz w:val="28"/>
          <w:szCs w:val="28"/>
          <w:highlight w:val="black"/>
        </w:rPr>
        <w:t>。</w:t>
      </w:r>
    </w:p>
    <w:p w14:paraId="03CDCF76">
      <w:pPr>
        <w:ind w:firstLine="583"/>
        <w:rPr>
          <w:sz w:val="28"/>
          <w:szCs w:val="28"/>
          <w:highlight w:val="black"/>
        </w:rPr>
      </w:pPr>
      <w:r>
        <w:rPr>
          <w:rFonts w:hint="eastAsia"/>
          <w:sz w:val="28"/>
          <w:szCs w:val="28"/>
          <w:highlight w:val="black"/>
        </w:rPr>
        <w:t>为了贯彻“安全第一，预防为主，综合治理”的方针，确保建设工程项目符合国家相关规定，保障劳动者在生产过程中的安全，根据《中华人民共和国安全生产法》《</w:t>
      </w:r>
      <w:r>
        <w:rPr>
          <w:sz w:val="28"/>
          <w:szCs w:val="28"/>
          <w:highlight w:val="black"/>
        </w:rPr>
        <w:t>建设项目安全设施</w:t>
      </w:r>
      <w:r>
        <w:rPr>
          <w:rFonts w:hint="eastAsia"/>
          <w:sz w:val="28"/>
          <w:szCs w:val="28"/>
          <w:highlight w:val="black"/>
        </w:rPr>
        <w:t>“</w:t>
      </w:r>
      <w:r>
        <w:rPr>
          <w:sz w:val="28"/>
          <w:szCs w:val="28"/>
          <w:highlight w:val="black"/>
        </w:rPr>
        <w:t>三同时</w:t>
      </w:r>
      <w:r>
        <w:rPr>
          <w:rFonts w:hint="eastAsia"/>
          <w:sz w:val="28"/>
          <w:szCs w:val="28"/>
          <w:highlight w:val="black"/>
        </w:rPr>
        <w:t>”</w:t>
      </w:r>
      <w:r>
        <w:rPr>
          <w:sz w:val="28"/>
          <w:szCs w:val="28"/>
          <w:highlight w:val="black"/>
        </w:rPr>
        <w:t>监督管理暂行办法 》</w:t>
      </w:r>
      <w:r>
        <w:rPr>
          <w:rFonts w:hint="eastAsia"/>
          <w:sz w:val="28"/>
          <w:szCs w:val="28"/>
          <w:highlight w:val="black"/>
        </w:rPr>
        <w:t>以及《关于印发辽宁省非煤矿矿山建设项目安全设施“三同时”审查审批实施细则的通知》等文件精神的要求，企业委托</w:t>
      </w:r>
      <w:r>
        <w:rPr>
          <w:rFonts w:hint="eastAsia"/>
          <w:sz w:val="28"/>
          <w:szCs w:val="28"/>
          <w:highlight w:val="black"/>
          <w:lang w:val="en-US" w:eastAsia="zh-CN"/>
        </w:rPr>
        <w:t>本公司</w:t>
      </w:r>
      <w:r>
        <w:rPr>
          <w:rFonts w:hint="eastAsia"/>
          <w:sz w:val="28"/>
          <w:szCs w:val="28"/>
          <w:highlight w:val="black"/>
        </w:rPr>
        <w:t>针对《</w:t>
      </w:r>
      <w:r>
        <w:rPr>
          <w:rFonts w:hint="eastAsia"/>
          <w:kern w:val="0"/>
          <w:sz w:val="28"/>
          <w:szCs w:val="28"/>
          <w:highlight w:val="black"/>
        </w:rPr>
        <w:t>本溪市昱蕴铁选有限公司大柳峪铁矿北采区地下开采建设项目可行性研究报告</w:t>
      </w:r>
      <w:r>
        <w:rPr>
          <w:rFonts w:hint="eastAsia"/>
          <w:sz w:val="28"/>
          <w:szCs w:val="28"/>
          <w:highlight w:val="black"/>
        </w:rPr>
        <w:t>》的内容，对其项目进行安全预评价。</w:t>
      </w:r>
    </w:p>
    <w:p w14:paraId="099C9E30">
      <w:pPr>
        <w:ind w:firstLine="583"/>
        <w:rPr>
          <w:sz w:val="28"/>
          <w:szCs w:val="28"/>
          <w:highlight w:val="black"/>
        </w:rPr>
      </w:pPr>
      <w:r>
        <w:rPr>
          <w:rFonts w:hint="eastAsia"/>
          <w:sz w:val="28"/>
          <w:szCs w:val="28"/>
          <w:highlight w:val="black"/>
        </w:rPr>
        <w:t>接受委托后，我公司组成评价项目组，根据《安全预评价导则》及企业提供的相关资料，并按照有关安全生产、安全评价方面的法律、法规、规定和国家、行业技术标准的要求，编制</w:t>
      </w:r>
      <w:bookmarkStart w:id="55" w:name="OLE_LINK81"/>
      <w:bookmarkStart w:id="56" w:name="OLE_LINK15"/>
      <w:r>
        <w:rPr>
          <w:rFonts w:hint="eastAsia"/>
          <w:sz w:val="28"/>
          <w:szCs w:val="28"/>
          <w:highlight w:val="black"/>
        </w:rPr>
        <w:t>完成了《</w:t>
      </w:r>
      <w:bookmarkEnd w:id="55"/>
      <w:bookmarkEnd w:id="56"/>
      <w:r>
        <w:rPr>
          <w:rFonts w:hint="eastAsia"/>
          <w:sz w:val="28"/>
          <w:szCs w:val="28"/>
          <w:highlight w:val="black"/>
        </w:rPr>
        <w:t>本溪市昱蕴铁选有限公司大柳峪铁矿北采区地下开采建设项目安全预评价报告》。</w:t>
      </w:r>
    </w:p>
    <w:p w14:paraId="75249610">
      <w:pPr>
        <w:pStyle w:val="17"/>
        <w:tabs>
          <w:tab w:val="right" w:leader="dot" w:pos="8447"/>
        </w:tabs>
        <w:ind w:firstLine="0" w:firstLineChars="0"/>
        <w:jc w:val="center"/>
        <w:rPr>
          <w:rStyle w:val="46"/>
          <w:b/>
          <w:bCs/>
        </w:rPr>
      </w:pPr>
      <w:bookmarkStart w:id="57" w:name="_Toc14884"/>
      <w:bookmarkStart w:id="58" w:name="_Toc28701"/>
      <w:r>
        <w:rPr>
          <w:rStyle w:val="46"/>
          <w:rFonts w:hint="eastAsia"/>
          <w:b/>
          <w:bCs/>
        </w:rPr>
        <w:t>目录</w:t>
      </w:r>
    </w:p>
    <w:bookmarkEnd w:id="57"/>
    <w:bookmarkEnd w:id="58"/>
    <w:p w14:paraId="179DDE40">
      <w:pPr>
        <w:pStyle w:val="17"/>
        <w:tabs>
          <w:tab w:val="right" w:leader="dot" w:pos="8447"/>
        </w:tabs>
        <w:ind w:firstLine="0" w:firstLineChars="0"/>
        <w:rPr>
          <w:sz w:val="28"/>
          <w:szCs w:val="28"/>
        </w:rPr>
      </w:pPr>
      <w:r>
        <w:rPr>
          <w:sz w:val="44"/>
          <w:szCs w:val="44"/>
        </w:rPr>
        <w:fldChar w:fldCharType="begin"/>
      </w:r>
      <w:r>
        <w:rPr>
          <w:sz w:val="44"/>
          <w:szCs w:val="44"/>
        </w:rPr>
        <w:instrText xml:space="preserve">TOC \o "1-2" \h \u </w:instrText>
      </w:r>
      <w:r>
        <w:rPr>
          <w:sz w:val="44"/>
          <w:szCs w:val="44"/>
        </w:rPr>
        <w:fldChar w:fldCharType="separate"/>
      </w:r>
      <w:r>
        <w:fldChar w:fldCharType="begin"/>
      </w:r>
      <w:r>
        <w:instrText xml:space="preserve"> HYPERLINK \l "_Toc32561" </w:instrText>
      </w:r>
      <w:r>
        <w:fldChar w:fldCharType="separate"/>
      </w:r>
      <w:r>
        <w:rPr>
          <w:rFonts w:hint="eastAsia"/>
          <w:sz w:val="28"/>
          <w:szCs w:val="28"/>
        </w:rPr>
        <w:t>前  言</w:t>
      </w:r>
      <w:r>
        <w:rPr>
          <w:sz w:val="28"/>
          <w:szCs w:val="28"/>
        </w:rPr>
        <w:tab/>
      </w:r>
      <w:r>
        <w:rPr>
          <w:sz w:val="28"/>
          <w:szCs w:val="28"/>
        </w:rPr>
        <w:fldChar w:fldCharType="begin"/>
      </w:r>
      <w:r>
        <w:rPr>
          <w:sz w:val="28"/>
          <w:szCs w:val="28"/>
        </w:rPr>
        <w:instrText xml:space="preserve"> PAGEREF _Toc32561 \h </w:instrText>
      </w:r>
      <w:r>
        <w:rPr>
          <w:sz w:val="28"/>
          <w:szCs w:val="28"/>
        </w:rPr>
        <w:fldChar w:fldCharType="separate"/>
      </w:r>
      <w:r>
        <w:rPr>
          <w:sz w:val="28"/>
          <w:szCs w:val="28"/>
        </w:rPr>
        <w:t>3</w:t>
      </w:r>
      <w:r>
        <w:rPr>
          <w:sz w:val="28"/>
          <w:szCs w:val="28"/>
        </w:rPr>
        <w:fldChar w:fldCharType="end"/>
      </w:r>
      <w:r>
        <w:rPr>
          <w:sz w:val="28"/>
          <w:szCs w:val="28"/>
        </w:rPr>
        <w:fldChar w:fldCharType="end"/>
      </w:r>
    </w:p>
    <w:p w14:paraId="1E63E93C">
      <w:pPr>
        <w:pStyle w:val="17"/>
        <w:tabs>
          <w:tab w:val="right" w:leader="dot" w:pos="8447"/>
        </w:tabs>
        <w:ind w:firstLine="0" w:firstLineChars="0"/>
        <w:rPr>
          <w:sz w:val="28"/>
          <w:szCs w:val="28"/>
        </w:rPr>
      </w:pPr>
      <w:r>
        <w:fldChar w:fldCharType="begin"/>
      </w:r>
      <w:r>
        <w:instrText xml:space="preserve"> HYPERLINK \l "_Toc28701" </w:instrText>
      </w:r>
      <w:r>
        <w:fldChar w:fldCharType="separate"/>
      </w:r>
      <w:r>
        <w:rPr>
          <w:rFonts w:hint="eastAsia"/>
          <w:sz w:val="28"/>
          <w:szCs w:val="28"/>
        </w:rPr>
        <w:t>目录</w:t>
      </w:r>
      <w:r>
        <w:rPr>
          <w:sz w:val="28"/>
          <w:szCs w:val="28"/>
        </w:rPr>
        <w:tab/>
      </w:r>
      <w:r>
        <w:rPr>
          <w:sz w:val="28"/>
          <w:szCs w:val="28"/>
        </w:rPr>
        <w:fldChar w:fldCharType="begin"/>
      </w:r>
      <w:r>
        <w:rPr>
          <w:sz w:val="28"/>
          <w:szCs w:val="28"/>
        </w:rPr>
        <w:instrText xml:space="preserve"> PAGEREF _Toc28701 \h </w:instrText>
      </w:r>
      <w:r>
        <w:rPr>
          <w:sz w:val="28"/>
          <w:szCs w:val="28"/>
        </w:rPr>
        <w:fldChar w:fldCharType="separate"/>
      </w:r>
      <w:r>
        <w:rPr>
          <w:sz w:val="28"/>
          <w:szCs w:val="28"/>
        </w:rPr>
        <w:t>4</w:t>
      </w:r>
      <w:r>
        <w:rPr>
          <w:sz w:val="28"/>
          <w:szCs w:val="28"/>
        </w:rPr>
        <w:fldChar w:fldCharType="end"/>
      </w:r>
      <w:r>
        <w:rPr>
          <w:sz w:val="28"/>
          <w:szCs w:val="28"/>
        </w:rPr>
        <w:fldChar w:fldCharType="end"/>
      </w:r>
    </w:p>
    <w:p w14:paraId="79F76E2C">
      <w:pPr>
        <w:pStyle w:val="17"/>
        <w:tabs>
          <w:tab w:val="right" w:leader="dot" w:pos="8447"/>
        </w:tabs>
        <w:ind w:firstLine="0" w:firstLineChars="0"/>
        <w:rPr>
          <w:sz w:val="28"/>
          <w:szCs w:val="28"/>
        </w:rPr>
      </w:pPr>
      <w:r>
        <w:fldChar w:fldCharType="begin"/>
      </w:r>
      <w:r>
        <w:instrText xml:space="preserve"> HYPERLINK \l "_Toc26268" </w:instrText>
      </w:r>
      <w:r>
        <w:fldChar w:fldCharType="separate"/>
      </w:r>
      <w:r>
        <w:rPr>
          <w:rFonts w:hint="eastAsia"/>
          <w:sz w:val="28"/>
          <w:szCs w:val="28"/>
        </w:rPr>
        <w:t>第一章 评价对象与依据</w:t>
      </w:r>
      <w:r>
        <w:rPr>
          <w:sz w:val="28"/>
          <w:szCs w:val="28"/>
        </w:rPr>
        <w:tab/>
      </w:r>
      <w:r>
        <w:rPr>
          <w:sz w:val="28"/>
          <w:szCs w:val="28"/>
        </w:rPr>
        <w:fldChar w:fldCharType="begin"/>
      </w:r>
      <w:r>
        <w:rPr>
          <w:sz w:val="28"/>
          <w:szCs w:val="28"/>
        </w:rPr>
        <w:instrText xml:space="preserve"> PAGEREF _Toc26268 \h </w:instrText>
      </w:r>
      <w:r>
        <w:rPr>
          <w:sz w:val="28"/>
          <w:szCs w:val="28"/>
        </w:rPr>
        <w:fldChar w:fldCharType="separate"/>
      </w:r>
      <w:r>
        <w:rPr>
          <w:sz w:val="28"/>
          <w:szCs w:val="28"/>
        </w:rPr>
        <w:t>6</w:t>
      </w:r>
      <w:r>
        <w:rPr>
          <w:sz w:val="28"/>
          <w:szCs w:val="28"/>
        </w:rPr>
        <w:fldChar w:fldCharType="end"/>
      </w:r>
      <w:r>
        <w:rPr>
          <w:sz w:val="28"/>
          <w:szCs w:val="28"/>
        </w:rPr>
        <w:fldChar w:fldCharType="end"/>
      </w:r>
    </w:p>
    <w:p w14:paraId="244A83D9">
      <w:pPr>
        <w:pStyle w:val="20"/>
        <w:tabs>
          <w:tab w:val="right" w:leader="dot" w:pos="8447"/>
        </w:tabs>
        <w:ind w:firstLine="0" w:firstLineChars="0"/>
        <w:rPr>
          <w:sz w:val="28"/>
          <w:szCs w:val="28"/>
        </w:rPr>
      </w:pPr>
      <w:r>
        <w:fldChar w:fldCharType="begin"/>
      </w:r>
      <w:r>
        <w:instrText xml:space="preserve"> HYPERLINK \l "_Toc4923" </w:instrText>
      </w:r>
      <w:r>
        <w:fldChar w:fldCharType="separate"/>
      </w:r>
      <w:r>
        <w:rPr>
          <w:rFonts w:hint="eastAsia"/>
          <w:sz w:val="28"/>
          <w:szCs w:val="28"/>
        </w:rPr>
        <w:t>1.1 评价对象和范围</w:t>
      </w:r>
      <w:r>
        <w:rPr>
          <w:sz w:val="28"/>
          <w:szCs w:val="28"/>
        </w:rPr>
        <w:tab/>
      </w:r>
      <w:r>
        <w:rPr>
          <w:sz w:val="28"/>
          <w:szCs w:val="28"/>
        </w:rPr>
        <w:fldChar w:fldCharType="begin"/>
      </w:r>
      <w:r>
        <w:rPr>
          <w:sz w:val="28"/>
          <w:szCs w:val="28"/>
        </w:rPr>
        <w:instrText xml:space="preserve"> PAGEREF _Toc4923 \h </w:instrText>
      </w:r>
      <w:r>
        <w:rPr>
          <w:sz w:val="28"/>
          <w:szCs w:val="28"/>
        </w:rPr>
        <w:fldChar w:fldCharType="separate"/>
      </w:r>
      <w:r>
        <w:rPr>
          <w:sz w:val="28"/>
          <w:szCs w:val="28"/>
        </w:rPr>
        <w:t>6</w:t>
      </w:r>
      <w:r>
        <w:rPr>
          <w:sz w:val="28"/>
          <w:szCs w:val="28"/>
        </w:rPr>
        <w:fldChar w:fldCharType="end"/>
      </w:r>
      <w:r>
        <w:rPr>
          <w:sz w:val="28"/>
          <w:szCs w:val="28"/>
        </w:rPr>
        <w:fldChar w:fldCharType="end"/>
      </w:r>
    </w:p>
    <w:p w14:paraId="59B0EB08">
      <w:pPr>
        <w:pStyle w:val="20"/>
        <w:tabs>
          <w:tab w:val="right" w:leader="dot" w:pos="8447"/>
        </w:tabs>
        <w:ind w:firstLine="0" w:firstLineChars="0"/>
        <w:rPr>
          <w:sz w:val="28"/>
          <w:szCs w:val="28"/>
        </w:rPr>
      </w:pPr>
      <w:r>
        <w:fldChar w:fldCharType="begin"/>
      </w:r>
      <w:r>
        <w:instrText xml:space="preserve"> HYPERLINK \l "_Toc5045" </w:instrText>
      </w:r>
      <w:r>
        <w:fldChar w:fldCharType="separate"/>
      </w:r>
      <w:r>
        <w:rPr>
          <w:sz w:val="28"/>
          <w:szCs w:val="28"/>
        </w:rPr>
        <w:t xml:space="preserve">1.2 </w:t>
      </w:r>
      <w:r>
        <w:rPr>
          <w:rFonts w:hint="eastAsia"/>
          <w:sz w:val="28"/>
          <w:szCs w:val="28"/>
        </w:rPr>
        <w:t>评价依据</w:t>
      </w:r>
      <w:r>
        <w:rPr>
          <w:sz w:val="28"/>
          <w:szCs w:val="28"/>
        </w:rPr>
        <w:tab/>
      </w:r>
      <w:r>
        <w:rPr>
          <w:sz w:val="28"/>
          <w:szCs w:val="28"/>
        </w:rPr>
        <w:fldChar w:fldCharType="begin"/>
      </w:r>
      <w:r>
        <w:rPr>
          <w:sz w:val="28"/>
          <w:szCs w:val="28"/>
        </w:rPr>
        <w:instrText xml:space="preserve"> PAGEREF _Toc5045 \h </w:instrText>
      </w:r>
      <w:r>
        <w:rPr>
          <w:sz w:val="28"/>
          <w:szCs w:val="28"/>
        </w:rPr>
        <w:fldChar w:fldCharType="separate"/>
      </w:r>
      <w:r>
        <w:rPr>
          <w:sz w:val="28"/>
          <w:szCs w:val="28"/>
        </w:rPr>
        <w:t>6</w:t>
      </w:r>
      <w:r>
        <w:rPr>
          <w:sz w:val="28"/>
          <w:szCs w:val="28"/>
        </w:rPr>
        <w:fldChar w:fldCharType="end"/>
      </w:r>
      <w:r>
        <w:rPr>
          <w:sz w:val="28"/>
          <w:szCs w:val="28"/>
        </w:rPr>
        <w:fldChar w:fldCharType="end"/>
      </w:r>
    </w:p>
    <w:p w14:paraId="73356B85">
      <w:pPr>
        <w:pStyle w:val="17"/>
        <w:tabs>
          <w:tab w:val="right" w:leader="dot" w:pos="8447"/>
        </w:tabs>
        <w:ind w:firstLine="0" w:firstLineChars="0"/>
        <w:rPr>
          <w:sz w:val="28"/>
          <w:szCs w:val="28"/>
        </w:rPr>
      </w:pPr>
      <w:r>
        <w:fldChar w:fldCharType="begin"/>
      </w:r>
      <w:r>
        <w:instrText xml:space="preserve"> HYPERLINK \l "_Toc6965" </w:instrText>
      </w:r>
      <w:r>
        <w:fldChar w:fldCharType="separate"/>
      </w:r>
      <w:r>
        <w:rPr>
          <w:rFonts w:hint="eastAsia"/>
          <w:sz w:val="28"/>
          <w:szCs w:val="28"/>
        </w:rPr>
        <w:t>第二章 建设项目概述</w:t>
      </w:r>
      <w:r>
        <w:rPr>
          <w:sz w:val="28"/>
          <w:szCs w:val="28"/>
        </w:rPr>
        <w:tab/>
      </w:r>
      <w:r>
        <w:rPr>
          <w:sz w:val="28"/>
          <w:szCs w:val="28"/>
        </w:rPr>
        <w:fldChar w:fldCharType="begin"/>
      </w:r>
      <w:r>
        <w:rPr>
          <w:sz w:val="28"/>
          <w:szCs w:val="28"/>
        </w:rPr>
        <w:instrText xml:space="preserve"> PAGEREF _Toc6965 \h </w:instrText>
      </w:r>
      <w:r>
        <w:rPr>
          <w:sz w:val="28"/>
          <w:szCs w:val="28"/>
        </w:rPr>
        <w:fldChar w:fldCharType="separate"/>
      </w:r>
      <w:r>
        <w:rPr>
          <w:sz w:val="28"/>
          <w:szCs w:val="28"/>
        </w:rPr>
        <w:t>16</w:t>
      </w:r>
      <w:r>
        <w:rPr>
          <w:sz w:val="28"/>
          <w:szCs w:val="28"/>
        </w:rPr>
        <w:fldChar w:fldCharType="end"/>
      </w:r>
      <w:r>
        <w:rPr>
          <w:sz w:val="28"/>
          <w:szCs w:val="28"/>
        </w:rPr>
        <w:fldChar w:fldCharType="end"/>
      </w:r>
    </w:p>
    <w:p w14:paraId="636AB072">
      <w:pPr>
        <w:pStyle w:val="20"/>
        <w:tabs>
          <w:tab w:val="right" w:leader="dot" w:pos="8447"/>
        </w:tabs>
        <w:ind w:firstLine="0" w:firstLineChars="0"/>
        <w:rPr>
          <w:sz w:val="28"/>
          <w:szCs w:val="28"/>
        </w:rPr>
      </w:pPr>
      <w:r>
        <w:fldChar w:fldCharType="begin"/>
      </w:r>
      <w:r>
        <w:instrText xml:space="preserve"> HYPERLINK \l "_Toc22046" </w:instrText>
      </w:r>
      <w:r>
        <w:fldChar w:fldCharType="separate"/>
      </w:r>
      <w:r>
        <w:rPr>
          <w:rFonts w:hint="eastAsia"/>
          <w:sz w:val="28"/>
          <w:szCs w:val="28"/>
        </w:rPr>
        <w:t>2.1 建设单位概况</w:t>
      </w:r>
      <w:r>
        <w:rPr>
          <w:sz w:val="28"/>
          <w:szCs w:val="28"/>
        </w:rPr>
        <w:tab/>
      </w:r>
      <w:r>
        <w:rPr>
          <w:sz w:val="28"/>
          <w:szCs w:val="28"/>
        </w:rPr>
        <w:fldChar w:fldCharType="begin"/>
      </w:r>
      <w:r>
        <w:rPr>
          <w:sz w:val="28"/>
          <w:szCs w:val="28"/>
        </w:rPr>
        <w:instrText xml:space="preserve"> PAGEREF _Toc22046 \h </w:instrText>
      </w:r>
      <w:r>
        <w:rPr>
          <w:sz w:val="28"/>
          <w:szCs w:val="28"/>
        </w:rPr>
        <w:fldChar w:fldCharType="separate"/>
      </w:r>
      <w:r>
        <w:rPr>
          <w:sz w:val="28"/>
          <w:szCs w:val="28"/>
        </w:rPr>
        <w:t>16</w:t>
      </w:r>
      <w:r>
        <w:rPr>
          <w:sz w:val="28"/>
          <w:szCs w:val="28"/>
        </w:rPr>
        <w:fldChar w:fldCharType="end"/>
      </w:r>
      <w:r>
        <w:rPr>
          <w:sz w:val="28"/>
          <w:szCs w:val="28"/>
        </w:rPr>
        <w:fldChar w:fldCharType="end"/>
      </w:r>
    </w:p>
    <w:p w14:paraId="0EFFEB3F">
      <w:pPr>
        <w:pStyle w:val="20"/>
        <w:tabs>
          <w:tab w:val="right" w:leader="dot" w:pos="8447"/>
        </w:tabs>
        <w:ind w:firstLine="0" w:firstLineChars="0"/>
        <w:rPr>
          <w:sz w:val="28"/>
          <w:szCs w:val="28"/>
        </w:rPr>
      </w:pPr>
      <w:r>
        <w:fldChar w:fldCharType="begin"/>
      </w:r>
      <w:r>
        <w:instrText xml:space="preserve"> HYPERLINK \l "_Toc11418" </w:instrText>
      </w:r>
      <w:r>
        <w:fldChar w:fldCharType="separate"/>
      </w:r>
      <w:r>
        <w:rPr>
          <w:sz w:val="28"/>
          <w:szCs w:val="28"/>
        </w:rPr>
        <w:t>2.2</w:t>
      </w:r>
      <w:r>
        <w:rPr>
          <w:rFonts w:hint="eastAsia"/>
          <w:sz w:val="28"/>
          <w:szCs w:val="28"/>
        </w:rPr>
        <w:t xml:space="preserve"> </w:t>
      </w:r>
      <w:r>
        <w:rPr>
          <w:sz w:val="28"/>
          <w:szCs w:val="28"/>
        </w:rPr>
        <w:t>自然环境概况</w:t>
      </w:r>
      <w:r>
        <w:rPr>
          <w:sz w:val="28"/>
          <w:szCs w:val="28"/>
        </w:rPr>
        <w:tab/>
      </w:r>
      <w:r>
        <w:rPr>
          <w:sz w:val="28"/>
          <w:szCs w:val="28"/>
        </w:rPr>
        <w:fldChar w:fldCharType="begin"/>
      </w:r>
      <w:r>
        <w:rPr>
          <w:sz w:val="28"/>
          <w:szCs w:val="28"/>
        </w:rPr>
        <w:instrText xml:space="preserve"> PAGEREF _Toc11418 \h </w:instrText>
      </w:r>
      <w:r>
        <w:rPr>
          <w:sz w:val="28"/>
          <w:szCs w:val="28"/>
        </w:rPr>
        <w:fldChar w:fldCharType="separate"/>
      </w:r>
      <w:r>
        <w:rPr>
          <w:sz w:val="28"/>
          <w:szCs w:val="28"/>
        </w:rPr>
        <w:t>19</w:t>
      </w:r>
      <w:r>
        <w:rPr>
          <w:sz w:val="28"/>
          <w:szCs w:val="28"/>
        </w:rPr>
        <w:fldChar w:fldCharType="end"/>
      </w:r>
      <w:r>
        <w:rPr>
          <w:sz w:val="28"/>
          <w:szCs w:val="28"/>
        </w:rPr>
        <w:fldChar w:fldCharType="end"/>
      </w:r>
    </w:p>
    <w:p w14:paraId="0AF07D99">
      <w:pPr>
        <w:pStyle w:val="20"/>
        <w:tabs>
          <w:tab w:val="right" w:leader="dot" w:pos="8447"/>
        </w:tabs>
        <w:ind w:firstLine="0" w:firstLineChars="0"/>
        <w:rPr>
          <w:sz w:val="28"/>
          <w:szCs w:val="28"/>
        </w:rPr>
      </w:pPr>
      <w:r>
        <w:fldChar w:fldCharType="begin"/>
      </w:r>
      <w:r>
        <w:instrText xml:space="preserve"> HYPERLINK \l "_Toc24879" </w:instrText>
      </w:r>
      <w:r>
        <w:fldChar w:fldCharType="separate"/>
      </w:r>
      <w:r>
        <w:rPr>
          <w:sz w:val="28"/>
          <w:szCs w:val="28"/>
        </w:rPr>
        <w:t>2.3</w:t>
      </w:r>
      <w:r>
        <w:rPr>
          <w:rFonts w:hint="eastAsia"/>
          <w:sz w:val="28"/>
          <w:szCs w:val="28"/>
        </w:rPr>
        <w:t xml:space="preserve"> </w:t>
      </w:r>
      <w:r>
        <w:rPr>
          <w:sz w:val="28"/>
          <w:szCs w:val="28"/>
        </w:rPr>
        <w:t>建设项目地质概况</w:t>
      </w:r>
      <w:r>
        <w:rPr>
          <w:sz w:val="28"/>
          <w:szCs w:val="28"/>
        </w:rPr>
        <w:tab/>
      </w:r>
      <w:r>
        <w:rPr>
          <w:sz w:val="28"/>
          <w:szCs w:val="28"/>
        </w:rPr>
        <w:fldChar w:fldCharType="begin"/>
      </w:r>
      <w:r>
        <w:rPr>
          <w:sz w:val="28"/>
          <w:szCs w:val="28"/>
        </w:rPr>
        <w:instrText xml:space="preserve"> PAGEREF _Toc24879 \h </w:instrText>
      </w:r>
      <w:r>
        <w:rPr>
          <w:sz w:val="28"/>
          <w:szCs w:val="28"/>
        </w:rPr>
        <w:fldChar w:fldCharType="separate"/>
      </w:r>
      <w:r>
        <w:rPr>
          <w:sz w:val="28"/>
          <w:szCs w:val="28"/>
        </w:rPr>
        <w:t>26</w:t>
      </w:r>
      <w:r>
        <w:rPr>
          <w:sz w:val="28"/>
          <w:szCs w:val="28"/>
        </w:rPr>
        <w:fldChar w:fldCharType="end"/>
      </w:r>
      <w:r>
        <w:rPr>
          <w:sz w:val="28"/>
          <w:szCs w:val="28"/>
        </w:rPr>
        <w:fldChar w:fldCharType="end"/>
      </w:r>
    </w:p>
    <w:p w14:paraId="470F026A">
      <w:pPr>
        <w:pStyle w:val="20"/>
        <w:tabs>
          <w:tab w:val="right" w:leader="dot" w:pos="8447"/>
        </w:tabs>
        <w:ind w:firstLine="0" w:firstLineChars="0"/>
        <w:rPr>
          <w:sz w:val="28"/>
          <w:szCs w:val="28"/>
        </w:rPr>
      </w:pPr>
      <w:r>
        <w:fldChar w:fldCharType="begin"/>
      </w:r>
      <w:r>
        <w:instrText xml:space="preserve"> HYPERLINK \l "_Toc29254" </w:instrText>
      </w:r>
      <w:r>
        <w:fldChar w:fldCharType="separate"/>
      </w:r>
      <w:r>
        <w:rPr>
          <w:sz w:val="28"/>
          <w:szCs w:val="28"/>
        </w:rPr>
        <w:t>2.4</w:t>
      </w:r>
      <w:r>
        <w:rPr>
          <w:rFonts w:hint="eastAsia"/>
          <w:sz w:val="28"/>
          <w:szCs w:val="28"/>
        </w:rPr>
        <w:t xml:space="preserve"> </w:t>
      </w:r>
      <w:r>
        <w:rPr>
          <w:sz w:val="28"/>
          <w:szCs w:val="28"/>
        </w:rPr>
        <w:t>工程建设方案概况</w:t>
      </w:r>
      <w:r>
        <w:rPr>
          <w:sz w:val="28"/>
          <w:szCs w:val="28"/>
        </w:rPr>
        <w:tab/>
      </w:r>
      <w:r>
        <w:rPr>
          <w:sz w:val="28"/>
          <w:szCs w:val="28"/>
        </w:rPr>
        <w:fldChar w:fldCharType="begin"/>
      </w:r>
      <w:r>
        <w:rPr>
          <w:sz w:val="28"/>
          <w:szCs w:val="28"/>
        </w:rPr>
        <w:instrText xml:space="preserve"> PAGEREF _Toc29254 \h </w:instrText>
      </w:r>
      <w:r>
        <w:rPr>
          <w:sz w:val="28"/>
          <w:szCs w:val="28"/>
        </w:rPr>
        <w:fldChar w:fldCharType="separate"/>
      </w:r>
      <w:r>
        <w:rPr>
          <w:sz w:val="28"/>
          <w:szCs w:val="28"/>
        </w:rPr>
        <w:t>51</w:t>
      </w:r>
      <w:r>
        <w:rPr>
          <w:sz w:val="28"/>
          <w:szCs w:val="28"/>
        </w:rPr>
        <w:fldChar w:fldCharType="end"/>
      </w:r>
      <w:r>
        <w:rPr>
          <w:sz w:val="28"/>
          <w:szCs w:val="28"/>
        </w:rPr>
        <w:fldChar w:fldCharType="end"/>
      </w:r>
    </w:p>
    <w:p w14:paraId="25DC8050">
      <w:pPr>
        <w:pStyle w:val="17"/>
        <w:tabs>
          <w:tab w:val="right" w:leader="dot" w:pos="8447"/>
        </w:tabs>
        <w:ind w:firstLine="0" w:firstLineChars="0"/>
        <w:rPr>
          <w:sz w:val="28"/>
          <w:szCs w:val="28"/>
        </w:rPr>
      </w:pPr>
      <w:r>
        <w:fldChar w:fldCharType="begin"/>
      </w:r>
      <w:r>
        <w:instrText xml:space="preserve"> HYPERLINK \l "_Toc28082" </w:instrText>
      </w:r>
      <w:r>
        <w:fldChar w:fldCharType="separate"/>
      </w:r>
      <w:r>
        <w:rPr>
          <w:rFonts w:hint="eastAsia"/>
          <w:sz w:val="28"/>
          <w:szCs w:val="28"/>
        </w:rPr>
        <w:t>第三章 定性定量评价</w:t>
      </w:r>
      <w:r>
        <w:rPr>
          <w:sz w:val="28"/>
          <w:szCs w:val="28"/>
        </w:rPr>
        <w:tab/>
      </w:r>
      <w:r>
        <w:rPr>
          <w:sz w:val="28"/>
          <w:szCs w:val="28"/>
        </w:rPr>
        <w:fldChar w:fldCharType="begin"/>
      </w:r>
      <w:r>
        <w:rPr>
          <w:sz w:val="28"/>
          <w:szCs w:val="28"/>
        </w:rPr>
        <w:instrText xml:space="preserve"> PAGEREF _Toc28082 \h </w:instrText>
      </w:r>
      <w:r>
        <w:rPr>
          <w:sz w:val="28"/>
          <w:szCs w:val="28"/>
        </w:rPr>
        <w:fldChar w:fldCharType="separate"/>
      </w:r>
      <w:r>
        <w:rPr>
          <w:sz w:val="28"/>
          <w:szCs w:val="28"/>
        </w:rPr>
        <w:t>153</w:t>
      </w:r>
      <w:r>
        <w:rPr>
          <w:sz w:val="28"/>
          <w:szCs w:val="28"/>
        </w:rPr>
        <w:fldChar w:fldCharType="end"/>
      </w:r>
      <w:r>
        <w:rPr>
          <w:sz w:val="28"/>
          <w:szCs w:val="28"/>
        </w:rPr>
        <w:fldChar w:fldCharType="end"/>
      </w:r>
    </w:p>
    <w:p w14:paraId="173354CE">
      <w:pPr>
        <w:pStyle w:val="20"/>
        <w:tabs>
          <w:tab w:val="right" w:leader="dot" w:pos="8447"/>
        </w:tabs>
        <w:ind w:firstLine="0" w:firstLineChars="0"/>
        <w:rPr>
          <w:sz w:val="28"/>
          <w:szCs w:val="28"/>
        </w:rPr>
      </w:pPr>
      <w:r>
        <w:fldChar w:fldCharType="begin"/>
      </w:r>
      <w:r>
        <w:instrText xml:space="preserve"> HYPERLINK \l "_Toc32202" </w:instrText>
      </w:r>
      <w:r>
        <w:fldChar w:fldCharType="separate"/>
      </w:r>
      <w:r>
        <w:rPr>
          <w:sz w:val="28"/>
          <w:szCs w:val="28"/>
        </w:rPr>
        <w:t>3.1</w:t>
      </w:r>
      <w:r>
        <w:rPr>
          <w:rFonts w:hint="eastAsia"/>
          <w:sz w:val="28"/>
          <w:szCs w:val="28"/>
        </w:rPr>
        <w:t xml:space="preserve"> </w:t>
      </w:r>
      <w:r>
        <w:rPr>
          <w:sz w:val="28"/>
          <w:szCs w:val="28"/>
        </w:rPr>
        <w:t>总平面布置单元</w:t>
      </w:r>
      <w:r>
        <w:rPr>
          <w:sz w:val="28"/>
          <w:szCs w:val="28"/>
        </w:rPr>
        <w:tab/>
      </w:r>
      <w:r>
        <w:rPr>
          <w:sz w:val="28"/>
          <w:szCs w:val="28"/>
        </w:rPr>
        <w:fldChar w:fldCharType="begin"/>
      </w:r>
      <w:r>
        <w:rPr>
          <w:sz w:val="28"/>
          <w:szCs w:val="28"/>
        </w:rPr>
        <w:instrText xml:space="preserve"> PAGEREF _Toc32202 \h </w:instrText>
      </w:r>
      <w:r>
        <w:rPr>
          <w:sz w:val="28"/>
          <w:szCs w:val="28"/>
        </w:rPr>
        <w:fldChar w:fldCharType="separate"/>
      </w:r>
      <w:r>
        <w:rPr>
          <w:sz w:val="28"/>
          <w:szCs w:val="28"/>
        </w:rPr>
        <w:t>153</w:t>
      </w:r>
      <w:r>
        <w:rPr>
          <w:sz w:val="28"/>
          <w:szCs w:val="28"/>
        </w:rPr>
        <w:fldChar w:fldCharType="end"/>
      </w:r>
      <w:r>
        <w:rPr>
          <w:sz w:val="28"/>
          <w:szCs w:val="28"/>
        </w:rPr>
        <w:fldChar w:fldCharType="end"/>
      </w:r>
    </w:p>
    <w:p w14:paraId="27493136">
      <w:pPr>
        <w:pStyle w:val="20"/>
        <w:tabs>
          <w:tab w:val="right" w:leader="dot" w:pos="8447"/>
        </w:tabs>
        <w:ind w:firstLine="0" w:firstLineChars="0"/>
        <w:rPr>
          <w:sz w:val="28"/>
          <w:szCs w:val="28"/>
        </w:rPr>
      </w:pPr>
      <w:r>
        <w:fldChar w:fldCharType="begin"/>
      </w:r>
      <w:r>
        <w:instrText xml:space="preserve"> HYPERLINK \l "_Toc23320" </w:instrText>
      </w:r>
      <w:r>
        <w:fldChar w:fldCharType="separate"/>
      </w:r>
      <w:r>
        <w:rPr>
          <w:sz w:val="28"/>
          <w:szCs w:val="28"/>
        </w:rPr>
        <w:t>3.2</w:t>
      </w:r>
      <w:r>
        <w:rPr>
          <w:rFonts w:hint="eastAsia"/>
          <w:sz w:val="28"/>
          <w:szCs w:val="28"/>
        </w:rPr>
        <w:t xml:space="preserve"> </w:t>
      </w:r>
      <w:r>
        <w:rPr>
          <w:sz w:val="28"/>
          <w:szCs w:val="28"/>
        </w:rPr>
        <w:t>开拓单元</w:t>
      </w:r>
      <w:r>
        <w:rPr>
          <w:sz w:val="28"/>
          <w:szCs w:val="28"/>
        </w:rPr>
        <w:tab/>
      </w:r>
      <w:r>
        <w:rPr>
          <w:sz w:val="28"/>
          <w:szCs w:val="28"/>
        </w:rPr>
        <w:fldChar w:fldCharType="begin"/>
      </w:r>
      <w:r>
        <w:rPr>
          <w:sz w:val="28"/>
          <w:szCs w:val="28"/>
        </w:rPr>
        <w:instrText xml:space="preserve"> PAGEREF _Toc23320 \h </w:instrText>
      </w:r>
      <w:r>
        <w:rPr>
          <w:sz w:val="28"/>
          <w:szCs w:val="28"/>
        </w:rPr>
        <w:fldChar w:fldCharType="separate"/>
      </w:r>
      <w:r>
        <w:rPr>
          <w:sz w:val="28"/>
          <w:szCs w:val="28"/>
        </w:rPr>
        <w:t>162</w:t>
      </w:r>
      <w:r>
        <w:rPr>
          <w:sz w:val="28"/>
          <w:szCs w:val="28"/>
        </w:rPr>
        <w:fldChar w:fldCharType="end"/>
      </w:r>
      <w:r>
        <w:rPr>
          <w:sz w:val="28"/>
          <w:szCs w:val="28"/>
        </w:rPr>
        <w:fldChar w:fldCharType="end"/>
      </w:r>
    </w:p>
    <w:p w14:paraId="3DF1BE4F">
      <w:pPr>
        <w:pStyle w:val="20"/>
        <w:tabs>
          <w:tab w:val="right" w:leader="dot" w:pos="8447"/>
        </w:tabs>
        <w:ind w:firstLine="0" w:firstLineChars="0"/>
        <w:rPr>
          <w:sz w:val="28"/>
          <w:szCs w:val="28"/>
        </w:rPr>
      </w:pPr>
      <w:r>
        <w:fldChar w:fldCharType="begin"/>
      </w:r>
      <w:r>
        <w:instrText xml:space="preserve"> HYPERLINK \l "_Toc7256" </w:instrText>
      </w:r>
      <w:r>
        <w:fldChar w:fldCharType="separate"/>
      </w:r>
      <w:r>
        <w:rPr>
          <w:sz w:val="28"/>
          <w:szCs w:val="28"/>
        </w:rPr>
        <w:t>3.3</w:t>
      </w:r>
      <w:r>
        <w:rPr>
          <w:rFonts w:hint="eastAsia"/>
          <w:sz w:val="28"/>
          <w:szCs w:val="28"/>
        </w:rPr>
        <w:t xml:space="preserve"> 运输</w:t>
      </w:r>
      <w:r>
        <w:rPr>
          <w:sz w:val="28"/>
          <w:szCs w:val="28"/>
        </w:rPr>
        <w:t>单元</w:t>
      </w:r>
      <w:r>
        <w:rPr>
          <w:sz w:val="28"/>
          <w:szCs w:val="28"/>
        </w:rPr>
        <w:tab/>
      </w:r>
      <w:r>
        <w:rPr>
          <w:sz w:val="28"/>
          <w:szCs w:val="28"/>
        </w:rPr>
        <w:fldChar w:fldCharType="begin"/>
      </w:r>
      <w:r>
        <w:rPr>
          <w:sz w:val="28"/>
          <w:szCs w:val="28"/>
        </w:rPr>
        <w:instrText xml:space="preserve"> PAGEREF _Toc7256 \h </w:instrText>
      </w:r>
      <w:r>
        <w:rPr>
          <w:sz w:val="28"/>
          <w:szCs w:val="28"/>
        </w:rPr>
        <w:fldChar w:fldCharType="separate"/>
      </w:r>
      <w:r>
        <w:rPr>
          <w:sz w:val="28"/>
          <w:szCs w:val="28"/>
        </w:rPr>
        <w:t>163</w:t>
      </w:r>
      <w:r>
        <w:rPr>
          <w:sz w:val="28"/>
          <w:szCs w:val="28"/>
        </w:rPr>
        <w:fldChar w:fldCharType="end"/>
      </w:r>
      <w:r>
        <w:rPr>
          <w:sz w:val="28"/>
          <w:szCs w:val="28"/>
        </w:rPr>
        <w:fldChar w:fldCharType="end"/>
      </w:r>
    </w:p>
    <w:p w14:paraId="7E1EA06E">
      <w:pPr>
        <w:pStyle w:val="20"/>
        <w:tabs>
          <w:tab w:val="right" w:leader="dot" w:pos="8447"/>
        </w:tabs>
        <w:ind w:firstLine="0" w:firstLineChars="0"/>
        <w:rPr>
          <w:sz w:val="28"/>
          <w:szCs w:val="28"/>
        </w:rPr>
      </w:pPr>
      <w:r>
        <w:fldChar w:fldCharType="begin"/>
      </w:r>
      <w:r>
        <w:instrText xml:space="preserve"> HYPERLINK \l "_Toc1871" </w:instrText>
      </w:r>
      <w:r>
        <w:fldChar w:fldCharType="separate"/>
      </w:r>
      <w:r>
        <w:rPr>
          <w:rFonts w:hint="eastAsia"/>
          <w:sz w:val="28"/>
          <w:szCs w:val="28"/>
        </w:rPr>
        <w:t>3.</w:t>
      </w:r>
      <w:r>
        <w:rPr>
          <w:sz w:val="28"/>
          <w:szCs w:val="28"/>
        </w:rPr>
        <w:t>4</w:t>
      </w:r>
      <w:r>
        <w:rPr>
          <w:rFonts w:hint="eastAsia"/>
          <w:sz w:val="28"/>
          <w:szCs w:val="28"/>
        </w:rPr>
        <w:t xml:space="preserve"> 采掘</w:t>
      </w:r>
      <w:r>
        <w:rPr>
          <w:sz w:val="28"/>
          <w:szCs w:val="28"/>
        </w:rPr>
        <w:t>单元</w:t>
      </w:r>
      <w:r>
        <w:rPr>
          <w:sz w:val="28"/>
          <w:szCs w:val="28"/>
        </w:rPr>
        <w:tab/>
      </w:r>
      <w:r>
        <w:rPr>
          <w:sz w:val="28"/>
          <w:szCs w:val="28"/>
        </w:rPr>
        <w:fldChar w:fldCharType="begin"/>
      </w:r>
      <w:r>
        <w:rPr>
          <w:sz w:val="28"/>
          <w:szCs w:val="28"/>
        </w:rPr>
        <w:instrText xml:space="preserve"> PAGEREF _Toc1871 \h </w:instrText>
      </w:r>
      <w:r>
        <w:rPr>
          <w:sz w:val="28"/>
          <w:szCs w:val="28"/>
        </w:rPr>
        <w:fldChar w:fldCharType="separate"/>
      </w:r>
      <w:r>
        <w:rPr>
          <w:sz w:val="28"/>
          <w:szCs w:val="28"/>
        </w:rPr>
        <w:t>164</w:t>
      </w:r>
      <w:r>
        <w:rPr>
          <w:sz w:val="28"/>
          <w:szCs w:val="28"/>
        </w:rPr>
        <w:fldChar w:fldCharType="end"/>
      </w:r>
      <w:r>
        <w:rPr>
          <w:sz w:val="28"/>
          <w:szCs w:val="28"/>
        </w:rPr>
        <w:fldChar w:fldCharType="end"/>
      </w:r>
    </w:p>
    <w:p w14:paraId="77FDA3F4">
      <w:pPr>
        <w:pStyle w:val="20"/>
        <w:tabs>
          <w:tab w:val="right" w:leader="dot" w:pos="8447"/>
        </w:tabs>
        <w:ind w:firstLine="0" w:firstLineChars="0"/>
        <w:rPr>
          <w:sz w:val="28"/>
          <w:szCs w:val="28"/>
        </w:rPr>
      </w:pPr>
      <w:r>
        <w:fldChar w:fldCharType="begin"/>
      </w:r>
      <w:r>
        <w:instrText xml:space="preserve"> HYPERLINK \l "_Toc19385" </w:instrText>
      </w:r>
      <w:r>
        <w:fldChar w:fldCharType="separate"/>
      </w:r>
      <w:r>
        <w:rPr>
          <w:rFonts w:hint="eastAsia"/>
          <w:sz w:val="28"/>
          <w:szCs w:val="28"/>
        </w:rPr>
        <w:t>3.5 通风</w:t>
      </w:r>
      <w:r>
        <w:rPr>
          <w:sz w:val="28"/>
          <w:szCs w:val="28"/>
        </w:rPr>
        <w:t>单元</w:t>
      </w:r>
      <w:r>
        <w:rPr>
          <w:sz w:val="28"/>
          <w:szCs w:val="28"/>
        </w:rPr>
        <w:tab/>
      </w:r>
      <w:r>
        <w:rPr>
          <w:sz w:val="28"/>
          <w:szCs w:val="28"/>
        </w:rPr>
        <w:fldChar w:fldCharType="begin"/>
      </w:r>
      <w:r>
        <w:rPr>
          <w:sz w:val="28"/>
          <w:szCs w:val="28"/>
        </w:rPr>
        <w:instrText xml:space="preserve"> PAGEREF _Toc19385 \h </w:instrText>
      </w:r>
      <w:r>
        <w:rPr>
          <w:sz w:val="28"/>
          <w:szCs w:val="28"/>
        </w:rPr>
        <w:fldChar w:fldCharType="separate"/>
      </w:r>
      <w:r>
        <w:rPr>
          <w:sz w:val="28"/>
          <w:szCs w:val="28"/>
        </w:rPr>
        <w:t>166</w:t>
      </w:r>
      <w:r>
        <w:rPr>
          <w:sz w:val="28"/>
          <w:szCs w:val="28"/>
        </w:rPr>
        <w:fldChar w:fldCharType="end"/>
      </w:r>
      <w:r>
        <w:rPr>
          <w:sz w:val="28"/>
          <w:szCs w:val="28"/>
        </w:rPr>
        <w:fldChar w:fldCharType="end"/>
      </w:r>
    </w:p>
    <w:p w14:paraId="5887BB8E">
      <w:pPr>
        <w:pStyle w:val="20"/>
        <w:tabs>
          <w:tab w:val="right" w:leader="dot" w:pos="8447"/>
        </w:tabs>
        <w:ind w:firstLine="0" w:firstLineChars="0"/>
        <w:rPr>
          <w:sz w:val="28"/>
          <w:szCs w:val="28"/>
        </w:rPr>
      </w:pPr>
      <w:r>
        <w:fldChar w:fldCharType="begin"/>
      </w:r>
      <w:r>
        <w:instrText xml:space="preserve"> HYPERLINK \l "_Toc31292" </w:instrText>
      </w:r>
      <w:r>
        <w:fldChar w:fldCharType="separate"/>
      </w:r>
      <w:r>
        <w:rPr>
          <w:rFonts w:hint="eastAsia"/>
          <w:sz w:val="28"/>
          <w:szCs w:val="28"/>
        </w:rPr>
        <w:t xml:space="preserve">3.6 </w:t>
      </w:r>
      <w:r>
        <w:rPr>
          <w:sz w:val="28"/>
          <w:szCs w:val="28"/>
        </w:rPr>
        <w:t>矿山供配电设施单元</w:t>
      </w:r>
      <w:r>
        <w:rPr>
          <w:sz w:val="28"/>
          <w:szCs w:val="28"/>
        </w:rPr>
        <w:tab/>
      </w:r>
      <w:r>
        <w:rPr>
          <w:sz w:val="28"/>
          <w:szCs w:val="28"/>
        </w:rPr>
        <w:fldChar w:fldCharType="begin"/>
      </w:r>
      <w:r>
        <w:rPr>
          <w:sz w:val="28"/>
          <w:szCs w:val="28"/>
        </w:rPr>
        <w:instrText xml:space="preserve"> PAGEREF _Toc31292 \h </w:instrText>
      </w:r>
      <w:r>
        <w:rPr>
          <w:sz w:val="28"/>
          <w:szCs w:val="28"/>
        </w:rPr>
        <w:fldChar w:fldCharType="separate"/>
      </w:r>
      <w:r>
        <w:rPr>
          <w:sz w:val="28"/>
          <w:szCs w:val="28"/>
        </w:rPr>
        <w:t>169</w:t>
      </w:r>
      <w:r>
        <w:rPr>
          <w:sz w:val="28"/>
          <w:szCs w:val="28"/>
        </w:rPr>
        <w:fldChar w:fldCharType="end"/>
      </w:r>
      <w:r>
        <w:rPr>
          <w:sz w:val="28"/>
          <w:szCs w:val="28"/>
        </w:rPr>
        <w:fldChar w:fldCharType="end"/>
      </w:r>
    </w:p>
    <w:p w14:paraId="6A33106C">
      <w:pPr>
        <w:pStyle w:val="20"/>
        <w:tabs>
          <w:tab w:val="right" w:leader="dot" w:pos="8447"/>
        </w:tabs>
        <w:ind w:firstLine="0" w:firstLineChars="0"/>
        <w:rPr>
          <w:sz w:val="28"/>
          <w:szCs w:val="28"/>
        </w:rPr>
      </w:pPr>
      <w:r>
        <w:fldChar w:fldCharType="begin"/>
      </w:r>
      <w:r>
        <w:instrText xml:space="preserve"> HYPERLINK \l "_Toc6237" </w:instrText>
      </w:r>
      <w:r>
        <w:fldChar w:fldCharType="separate"/>
      </w:r>
      <w:r>
        <w:rPr>
          <w:rFonts w:hint="eastAsia"/>
          <w:sz w:val="28"/>
          <w:szCs w:val="28"/>
        </w:rPr>
        <w:t xml:space="preserve">3.7 </w:t>
      </w:r>
      <w:r>
        <w:rPr>
          <w:sz w:val="28"/>
          <w:szCs w:val="28"/>
        </w:rPr>
        <w:t>防排水</w:t>
      </w:r>
      <w:r>
        <w:rPr>
          <w:rFonts w:hint="eastAsia"/>
          <w:sz w:val="28"/>
          <w:szCs w:val="28"/>
        </w:rPr>
        <w:t>与防灭火</w:t>
      </w:r>
      <w:r>
        <w:rPr>
          <w:sz w:val="28"/>
          <w:szCs w:val="28"/>
        </w:rPr>
        <w:t>单元</w:t>
      </w:r>
      <w:r>
        <w:rPr>
          <w:sz w:val="28"/>
          <w:szCs w:val="28"/>
        </w:rPr>
        <w:tab/>
      </w:r>
      <w:r>
        <w:rPr>
          <w:sz w:val="28"/>
          <w:szCs w:val="28"/>
        </w:rPr>
        <w:fldChar w:fldCharType="begin"/>
      </w:r>
      <w:r>
        <w:rPr>
          <w:sz w:val="28"/>
          <w:szCs w:val="28"/>
        </w:rPr>
        <w:instrText xml:space="preserve"> PAGEREF _Toc6237 \h </w:instrText>
      </w:r>
      <w:r>
        <w:rPr>
          <w:sz w:val="28"/>
          <w:szCs w:val="28"/>
        </w:rPr>
        <w:fldChar w:fldCharType="separate"/>
      </w:r>
      <w:r>
        <w:rPr>
          <w:sz w:val="28"/>
          <w:szCs w:val="28"/>
        </w:rPr>
        <w:t>171</w:t>
      </w:r>
      <w:r>
        <w:rPr>
          <w:sz w:val="28"/>
          <w:szCs w:val="28"/>
        </w:rPr>
        <w:fldChar w:fldCharType="end"/>
      </w:r>
      <w:r>
        <w:rPr>
          <w:sz w:val="28"/>
          <w:szCs w:val="28"/>
        </w:rPr>
        <w:fldChar w:fldCharType="end"/>
      </w:r>
    </w:p>
    <w:p w14:paraId="4409F745">
      <w:pPr>
        <w:pStyle w:val="20"/>
        <w:tabs>
          <w:tab w:val="right" w:leader="dot" w:pos="8447"/>
        </w:tabs>
        <w:ind w:firstLine="0" w:firstLineChars="0"/>
        <w:rPr>
          <w:sz w:val="28"/>
          <w:szCs w:val="28"/>
        </w:rPr>
      </w:pPr>
      <w:r>
        <w:fldChar w:fldCharType="begin"/>
      </w:r>
      <w:r>
        <w:instrText xml:space="preserve"> HYPERLINK \l "_Toc10799" </w:instrText>
      </w:r>
      <w:r>
        <w:fldChar w:fldCharType="separate"/>
      </w:r>
      <w:r>
        <w:rPr>
          <w:sz w:val="28"/>
          <w:szCs w:val="28"/>
        </w:rPr>
        <w:t>3.</w:t>
      </w:r>
      <w:r>
        <w:rPr>
          <w:rFonts w:hint="eastAsia"/>
          <w:sz w:val="28"/>
          <w:szCs w:val="28"/>
        </w:rPr>
        <w:t>8 安全避险“六大系统”</w:t>
      </w:r>
      <w:r>
        <w:rPr>
          <w:sz w:val="28"/>
          <w:szCs w:val="28"/>
        </w:rPr>
        <w:t>单元</w:t>
      </w:r>
      <w:r>
        <w:rPr>
          <w:sz w:val="28"/>
          <w:szCs w:val="28"/>
        </w:rPr>
        <w:tab/>
      </w:r>
      <w:r>
        <w:rPr>
          <w:sz w:val="28"/>
          <w:szCs w:val="28"/>
        </w:rPr>
        <w:fldChar w:fldCharType="begin"/>
      </w:r>
      <w:r>
        <w:rPr>
          <w:sz w:val="28"/>
          <w:szCs w:val="28"/>
        </w:rPr>
        <w:instrText xml:space="preserve"> PAGEREF _Toc10799 \h </w:instrText>
      </w:r>
      <w:r>
        <w:rPr>
          <w:sz w:val="28"/>
          <w:szCs w:val="28"/>
        </w:rPr>
        <w:fldChar w:fldCharType="separate"/>
      </w:r>
      <w:r>
        <w:rPr>
          <w:sz w:val="28"/>
          <w:szCs w:val="28"/>
        </w:rPr>
        <w:t>172</w:t>
      </w:r>
      <w:r>
        <w:rPr>
          <w:sz w:val="28"/>
          <w:szCs w:val="28"/>
        </w:rPr>
        <w:fldChar w:fldCharType="end"/>
      </w:r>
      <w:r>
        <w:rPr>
          <w:sz w:val="28"/>
          <w:szCs w:val="28"/>
        </w:rPr>
        <w:fldChar w:fldCharType="end"/>
      </w:r>
    </w:p>
    <w:p w14:paraId="4D5FEB75">
      <w:pPr>
        <w:pStyle w:val="20"/>
        <w:tabs>
          <w:tab w:val="right" w:leader="dot" w:pos="8447"/>
        </w:tabs>
        <w:ind w:firstLine="0" w:firstLineChars="0"/>
        <w:rPr>
          <w:sz w:val="28"/>
          <w:szCs w:val="28"/>
        </w:rPr>
      </w:pPr>
      <w:r>
        <w:fldChar w:fldCharType="begin"/>
      </w:r>
      <w:r>
        <w:instrText xml:space="preserve"> HYPERLINK \l "_Toc13446" </w:instrText>
      </w:r>
      <w:r>
        <w:fldChar w:fldCharType="separate"/>
      </w:r>
      <w:r>
        <w:rPr>
          <w:sz w:val="28"/>
          <w:szCs w:val="28"/>
        </w:rPr>
        <w:t>3.</w:t>
      </w:r>
      <w:r>
        <w:rPr>
          <w:rFonts w:hint="eastAsia"/>
          <w:sz w:val="28"/>
          <w:szCs w:val="28"/>
        </w:rPr>
        <w:t xml:space="preserve">9 </w:t>
      </w:r>
      <w:r>
        <w:rPr>
          <w:sz w:val="28"/>
          <w:szCs w:val="28"/>
        </w:rPr>
        <w:t>安全管理及其他单元</w:t>
      </w:r>
      <w:r>
        <w:rPr>
          <w:sz w:val="28"/>
          <w:szCs w:val="28"/>
        </w:rPr>
        <w:tab/>
      </w:r>
      <w:r>
        <w:rPr>
          <w:sz w:val="28"/>
          <w:szCs w:val="28"/>
        </w:rPr>
        <w:fldChar w:fldCharType="begin"/>
      </w:r>
      <w:r>
        <w:rPr>
          <w:sz w:val="28"/>
          <w:szCs w:val="28"/>
        </w:rPr>
        <w:instrText xml:space="preserve"> PAGEREF _Toc13446 \h </w:instrText>
      </w:r>
      <w:r>
        <w:rPr>
          <w:sz w:val="28"/>
          <w:szCs w:val="28"/>
        </w:rPr>
        <w:fldChar w:fldCharType="separate"/>
      </w:r>
      <w:r>
        <w:rPr>
          <w:sz w:val="28"/>
          <w:szCs w:val="28"/>
        </w:rPr>
        <w:t>177</w:t>
      </w:r>
      <w:r>
        <w:rPr>
          <w:sz w:val="28"/>
          <w:szCs w:val="28"/>
        </w:rPr>
        <w:fldChar w:fldCharType="end"/>
      </w:r>
      <w:r>
        <w:rPr>
          <w:sz w:val="28"/>
          <w:szCs w:val="28"/>
        </w:rPr>
        <w:fldChar w:fldCharType="end"/>
      </w:r>
    </w:p>
    <w:p w14:paraId="73D8B5BA">
      <w:pPr>
        <w:pStyle w:val="20"/>
        <w:tabs>
          <w:tab w:val="right" w:leader="dot" w:pos="8447"/>
        </w:tabs>
        <w:ind w:firstLine="0" w:firstLineChars="0"/>
        <w:rPr>
          <w:sz w:val="28"/>
          <w:szCs w:val="28"/>
        </w:rPr>
      </w:pPr>
      <w:r>
        <w:fldChar w:fldCharType="begin"/>
      </w:r>
      <w:r>
        <w:instrText xml:space="preserve"> HYPERLINK \l "_Toc2249" </w:instrText>
      </w:r>
      <w:r>
        <w:fldChar w:fldCharType="separate"/>
      </w:r>
      <w:r>
        <w:rPr>
          <w:rFonts w:hint="eastAsia"/>
          <w:sz w:val="28"/>
          <w:szCs w:val="28"/>
        </w:rPr>
        <w:t xml:space="preserve">3.10 </w:t>
      </w:r>
      <w:r>
        <w:rPr>
          <w:sz w:val="28"/>
          <w:szCs w:val="28"/>
        </w:rPr>
        <w:t>重大危险源辨识单元</w:t>
      </w:r>
      <w:r>
        <w:rPr>
          <w:sz w:val="28"/>
          <w:szCs w:val="28"/>
        </w:rPr>
        <w:tab/>
      </w:r>
      <w:r>
        <w:rPr>
          <w:sz w:val="28"/>
          <w:szCs w:val="28"/>
        </w:rPr>
        <w:fldChar w:fldCharType="begin"/>
      </w:r>
      <w:r>
        <w:rPr>
          <w:sz w:val="28"/>
          <w:szCs w:val="28"/>
        </w:rPr>
        <w:instrText xml:space="preserve"> PAGEREF _Toc2249 \h </w:instrText>
      </w:r>
      <w:r>
        <w:rPr>
          <w:sz w:val="28"/>
          <w:szCs w:val="28"/>
        </w:rPr>
        <w:fldChar w:fldCharType="separate"/>
      </w:r>
      <w:r>
        <w:rPr>
          <w:sz w:val="28"/>
          <w:szCs w:val="28"/>
        </w:rPr>
        <w:t>177</w:t>
      </w:r>
      <w:r>
        <w:rPr>
          <w:sz w:val="28"/>
          <w:szCs w:val="28"/>
        </w:rPr>
        <w:fldChar w:fldCharType="end"/>
      </w:r>
      <w:r>
        <w:rPr>
          <w:sz w:val="28"/>
          <w:szCs w:val="28"/>
        </w:rPr>
        <w:fldChar w:fldCharType="end"/>
      </w:r>
    </w:p>
    <w:p w14:paraId="5BC092AF">
      <w:pPr>
        <w:pStyle w:val="17"/>
        <w:tabs>
          <w:tab w:val="right" w:leader="dot" w:pos="8447"/>
        </w:tabs>
        <w:ind w:firstLine="0" w:firstLineChars="0"/>
        <w:rPr>
          <w:sz w:val="28"/>
          <w:szCs w:val="28"/>
        </w:rPr>
      </w:pPr>
      <w:r>
        <w:fldChar w:fldCharType="begin"/>
      </w:r>
      <w:r>
        <w:instrText xml:space="preserve"> HYPERLINK \l "_Toc23061" </w:instrText>
      </w:r>
      <w:r>
        <w:fldChar w:fldCharType="separate"/>
      </w:r>
      <w:r>
        <w:rPr>
          <w:rFonts w:hint="eastAsia"/>
          <w:sz w:val="28"/>
          <w:szCs w:val="28"/>
        </w:rPr>
        <w:t xml:space="preserve">第四章 </w:t>
      </w:r>
      <w:r>
        <w:rPr>
          <w:sz w:val="28"/>
          <w:szCs w:val="28"/>
        </w:rPr>
        <w:t>安全对策措施建议</w:t>
      </w:r>
      <w:r>
        <w:rPr>
          <w:sz w:val="28"/>
          <w:szCs w:val="28"/>
        </w:rPr>
        <w:tab/>
      </w:r>
      <w:r>
        <w:rPr>
          <w:sz w:val="28"/>
          <w:szCs w:val="28"/>
        </w:rPr>
        <w:fldChar w:fldCharType="begin"/>
      </w:r>
      <w:r>
        <w:rPr>
          <w:sz w:val="28"/>
          <w:szCs w:val="28"/>
        </w:rPr>
        <w:instrText xml:space="preserve"> PAGEREF _Toc23061 \h </w:instrText>
      </w:r>
      <w:r>
        <w:rPr>
          <w:sz w:val="28"/>
          <w:szCs w:val="28"/>
        </w:rPr>
        <w:fldChar w:fldCharType="separate"/>
      </w:r>
      <w:r>
        <w:rPr>
          <w:sz w:val="28"/>
          <w:szCs w:val="28"/>
        </w:rPr>
        <w:t>179</w:t>
      </w:r>
      <w:r>
        <w:rPr>
          <w:sz w:val="28"/>
          <w:szCs w:val="28"/>
        </w:rPr>
        <w:fldChar w:fldCharType="end"/>
      </w:r>
      <w:r>
        <w:rPr>
          <w:sz w:val="28"/>
          <w:szCs w:val="28"/>
        </w:rPr>
        <w:fldChar w:fldCharType="end"/>
      </w:r>
    </w:p>
    <w:p w14:paraId="05C835FE">
      <w:pPr>
        <w:pStyle w:val="20"/>
        <w:tabs>
          <w:tab w:val="right" w:leader="dot" w:pos="8447"/>
        </w:tabs>
        <w:ind w:firstLine="0" w:firstLineChars="0"/>
        <w:rPr>
          <w:sz w:val="28"/>
          <w:szCs w:val="28"/>
        </w:rPr>
      </w:pPr>
      <w:r>
        <w:fldChar w:fldCharType="begin"/>
      </w:r>
      <w:r>
        <w:instrText xml:space="preserve"> HYPERLINK \l "_Toc17446" </w:instrText>
      </w:r>
      <w:r>
        <w:fldChar w:fldCharType="separate"/>
      </w:r>
      <w:r>
        <w:rPr>
          <w:rFonts w:hint="eastAsia"/>
          <w:sz w:val="28"/>
          <w:szCs w:val="28"/>
        </w:rPr>
        <w:t>4</w:t>
      </w:r>
      <w:r>
        <w:rPr>
          <w:sz w:val="28"/>
          <w:szCs w:val="28"/>
        </w:rPr>
        <w:t>.1总平面布置</w:t>
      </w:r>
      <w:r>
        <w:rPr>
          <w:rFonts w:hint="eastAsia"/>
          <w:sz w:val="28"/>
          <w:szCs w:val="28"/>
        </w:rPr>
        <w:t>单元对策措施</w:t>
      </w:r>
      <w:r>
        <w:rPr>
          <w:sz w:val="28"/>
          <w:szCs w:val="28"/>
        </w:rPr>
        <w:tab/>
      </w:r>
      <w:r>
        <w:rPr>
          <w:sz w:val="28"/>
          <w:szCs w:val="28"/>
        </w:rPr>
        <w:fldChar w:fldCharType="begin"/>
      </w:r>
      <w:r>
        <w:rPr>
          <w:sz w:val="28"/>
          <w:szCs w:val="28"/>
        </w:rPr>
        <w:instrText xml:space="preserve"> PAGEREF _Toc17446 \h </w:instrText>
      </w:r>
      <w:r>
        <w:rPr>
          <w:sz w:val="28"/>
          <w:szCs w:val="28"/>
        </w:rPr>
        <w:fldChar w:fldCharType="separate"/>
      </w:r>
      <w:r>
        <w:rPr>
          <w:sz w:val="28"/>
          <w:szCs w:val="28"/>
        </w:rPr>
        <w:t>179</w:t>
      </w:r>
      <w:r>
        <w:rPr>
          <w:sz w:val="28"/>
          <w:szCs w:val="28"/>
        </w:rPr>
        <w:fldChar w:fldCharType="end"/>
      </w:r>
      <w:r>
        <w:rPr>
          <w:sz w:val="28"/>
          <w:szCs w:val="28"/>
        </w:rPr>
        <w:fldChar w:fldCharType="end"/>
      </w:r>
    </w:p>
    <w:p w14:paraId="6CCC12C2">
      <w:pPr>
        <w:pStyle w:val="20"/>
        <w:tabs>
          <w:tab w:val="right" w:leader="dot" w:pos="8447"/>
        </w:tabs>
        <w:ind w:firstLine="0" w:firstLineChars="0"/>
        <w:rPr>
          <w:sz w:val="28"/>
          <w:szCs w:val="28"/>
        </w:rPr>
      </w:pPr>
      <w:r>
        <w:fldChar w:fldCharType="begin"/>
      </w:r>
      <w:r>
        <w:instrText xml:space="preserve"> HYPERLINK \l "_Toc21385" </w:instrText>
      </w:r>
      <w:r>
        <w:fldChar w:fldCharType="separate"/>
      </w:r>
      <w:r>
        <w:rPr>
          <w:rFonts w:hint="eastAsia"/>
          <w:sz w:val="28"/>
          <w:szCs w:val="28"/>
        </w:rPr>
        <w:t>4.2开拓单元对策措施</w:t>
      </w:r>
      <w:r>
        <w:rPr>
          <w:sz w:val="28"/>
          <w:szCs w:val="28"/>
        </w:rPr>
        <w:tab/>
      </w:r>
      <w:r>
        <w:rPr>
          <w:sz w:val="28"/>
          <w:szCs w:val="28"/>
        </w:rPr>
        <w:fldChar w:fldCharType="begin"/>
      </w:r>
      <w:r>
        <w:rPr>
          <w:sz w:val="28"/>
          <w:szCs w:val="28"/>
        </w:rPr>
        <w:instrText xml:space="preserve"> PAGEREF _Toc21385 \h </w:instrText>
      </w:r>
      <w:r>
        <w:rPr>
          <w:sz w:val="28"/>
          <w:szCs w:val="28"/>
        </w:rPr>
        <w:fldChar w:fldCharType="separate"/>
      </w:r>
      <w:r>
        <w:rPr>
          <w:sz w:val="28"/>
          <w:szCs w:val="28"/>
        </w:rPr>
        <w:t>179</w:t>
      </w:r>
      <w:r>
        <w:rPr>
          <w:sz w:val="28"/>
          <w:szCs w:val="28"/>
        </w:rPr>
        <w:fldChar w:fldCharType="end"/>
      </w:r>
      <w:r>
        <w:rPr>
          <w:sz w:val="28"/>
          <w:szCs w:val="28"/>
        </w:rPr>
        <w:fldChar w:fldCharType="end"/>
      </w:r>
    </w:p>
    <w:p w14:paraId="6BF8933C">
      <w:pPr>
        <w:pStyle w:val="20"/>
        <w:tabs>
          <w:tab w:val="right" w:leader="dot" w:pos="8447"/>
        </w:tabs>
        <w:ind w:firstLine="0" w:firstLineChars="0"/>
        <w:rPr>
          <w:sz w:val="28"/>
          <w:szCs w:val="28"/>
        </w:rPr>
      </w:pPr>
      <w:r>
        <w:fldChar w:fldCharType="begin"/>
      </w:r>
      <w:r>
        <w:instrText xml:space="preserve"> HYPERLINK \l "_Toc17996" </w:instrText>
      </w:r>
      <w:r>
        <w:fldChar w:fldCharType="separate"/>
      </w:r>
      <w:r>
        <w:rPr>
          <w:rFonts w:hint="eastAsia"/>
          <w:sz w:val="28"/>
          <w:szCs w:val="28"/>
        </w:rPr>
        <w:t>4.3运输单元对策措施</w:t>
      </w:r>
      <w:r>
        <w:rPr>
          <w:sz w:val="28"/>
          <w:szCs w:val="28"/>
        </w:rPr>
        <w:tab/>
      </w:r>
      <w:r>
        <w:rPr>
          <w:sz w:val="28"/>
          <w:szCs w:val="28"/>
        </w:rPr>
        <w:fldChar w:fldCharType="begin"/>
      </w:r>
      <w:r>
        <w:rPr>
          <w:sz w:val="28"/>
          <w:szCs w:val="28"/>
        </w:rPr>
        <w:instrText xml:space="preserve"> PAGEREF _Toc17996 \h </w:instrText>
      </w:r>
      <w:r>
        <w:rPr>
          <w:sz w:val="28"/>
          <w:szCs w:val="28"/>
        </w:rPr>
        <w:fldChar w:fldCharType="separate"/>
      </w:r>
      <w:r>
        <w:rPr>
          <w:sz w:val="28"/>
          <w:szCs w:val="28"/>
        </w:rPr>
        <w:t>181</w:t>
      </w:r>
      <w:r>
        <w:rPr>
          <w:sz w:val="28"/>
          <w:szCs w:val="28"/>
        </w:rPr>
        <w:fldChar w:fldCharType="end"/>
      </w:r>
      <w:r>
        <w:rPr>
          <w:sz w:val="28"/>
          <w:szCs w:val="28"/>
        </w:rPr>
        <w:fldChar w:fldCharType="end"/>
      </w:r>
    </w:p>
    <w:p w14:paraId="3A356141">
      <w:pPr>
        <w:pStyle w:val="20"/>
        <w:tabs>
          <w:tab w:val="right" w:leader="dot" w:pos="8447"/>
        </w:tabs>
        <w:ind w:firstLine="0" w:firstLineChars="0"/>
        <w:rPr>
          <w:sz w:val="28"/>
          <w:szCs w:val="28"/>
        </w:rPr>
      </w:pPr>
      <w:r>
        <w:fldChar w:fldCharType="begin"/>
      </w:r>
      <w:r>
        <w:instrText xml:space="preserve"> HYPERLINK \l "_Toc11823" </w:instrText>
      </w:r>
      <w:r>
        <w:fldChar w:fldCharType="separate"/>
      </w:r>
      <w:r>
        <w:rPr>
          <w:rFonts w:hint="eastAsia"/>
          <w:sz w:val="28"/>
          <w:szCs w:val="28"/>
        </w:rPr>
        <w:t>4.4 采剥单元对策措施</w:t>
      </w:r>
      <w:r>
        <w:rPr>
          <w:sz w:val="28"/>
          <w:szCs w:val="28"/>
        </w:rPr>
        <w:tab/>
      </w:r>
      <w:r>
        <w:rPr>
          <w:sz w:val="28"/>
          <w:szCs w:val="28"/>
        </w:rPr>
        <w:fldChar w:fldCharType="begin"/>
      </w:r>
      <w:r>
        <w:rPr>
          <w:sz w:val="28"/>
          <w:szCs w:val="28"/>
        </w:rPr>
        <w:instrText xml:space="preserve"> PAGEREF _Toc11823 \h </w:instrText>
      </w:r>
      <w:r>
        <w:rPr>
          <w:sz w:val="28"/>
          <w:szCs w:val="28"/>
        </w:rPr>
        <w:fldChar w:fldCharType="separate"/>
      </w:r>
      <w:r>
        <w:rPr>
          <w:sz w:val="28"/>
          <w:szCs w:val="28"/>
        </w:rPr>
        <w:t>185</w:t>
      </w:r>
      <w:r>
        <w:rPr>
          <w:sz w:val="28"/>
          <w:szCs w:val="28"/>
        </w:rPr>
        <w:fldChar w:fldCharType="end"/>
      </w:r>
      <w:r>
        <w:rPr>
          <w:sz w:val="28"/>
          <w:szCs w:val="28"/>
        </w:rPr>
        <w:fldChar w:fldCharType="end"/>
      </w:r>
    </w:p>
    <w:p w14:paraId="2CE0C937">
      <w:pPr>
        <w:pStyle w:val="20"/>
        <w:tabs>
          <w:tab w:val="right" w:leader="dot" w:pos="8447"/>
        </w:tabs>
        <w:ind w:firstLine="0" w:firstLineChars="0"/>
        <w:rPr>
          <w:sz w:val="28"/>
          <w:szCs w:val="28"/>
        </w:rPr>
      </w:pPr>
      <w:r>
        <w:fldChar w:fldCharType="begin"/>
      </w:r>
      <w:r>
        <w:instrText xml:space="preserve"> HYPERLINK \l "_Toc3379" </w:instrText>
      </w:r>
      <w:r>
        <w:fldChar w:fldCharType="separate"/>
      </w:r>
      <w:r>
        <w:rPr>
          <w:rFonts w:hint="eastAsia"/>
          <w:sz w:val="28"/>
          <w:szCs w:val="28"/>
        </w:rPr>
        <w:t>4.5通风单元对策安全措施</w:t>
      </w:r>
      <w:r>
        <w:rPr>
          <w:sz w:val="28"/>
          <w:szCs w:val="28"/>
        </w:rPr>
        <w:tab/>
      </w:r>
      <w:r>
        <w:rPr>
          <w:sz w:val="28"/>
          <w:szCs w:val="28"/>
        </w:rPr>
        <w:fldChar w:fldCharType="begin"/>
      </w:r>
      <w:r>
        <w:rPr>
          <w:sz w:val="28"/>
          <w:szCs w:val="28"/>
        </w:rPr>
        <w:instrText xml:space="preserve"> PAGEREF _Toc3379 \h </w:instrText>
      </w:r>
      <w:r>
        <w:rPr>
          <w:sz w:val="28"/>
          <w:szCs w:val="28"/>
        </w:rPr>
        <w:fldChar w:fldCharType="separate"/>
      </w:r>
      <w:r>
        <w:rPr>
          <w:sz w:val="28"/>
          <w:szCs w:val="28"/>
        </w:rPr>
        <w:t>188</w:t>
      </w:r>
      <w:r>
        <w:rPr>
          <w:sz w:val="28"/>
          <w:szCs w:val="28"/>
        </w:rPr>
        <w:fldChar w:fldCharType="end"/>
      </w:r>
      <w:r>
        <w:rPr>
          <w:sz w:val="28"/>
          <w:szCs w:val="28"/>
        </w:rPr>
        <w:fldChar w:fldCharType="end"/>
      </w:r>
    </w:p>
    <w:p w14:paraId="46940B36">
      <w:pPr>
        <w:pStyle w:val="20"/>
        <w:tabs>
          <w:tab w:val="right" w:leader="dot" w:pos="8447"/>
        </w:tabs>
        <w:ind w:firstLine="0" w:firstLineChars="0"/>
        <w:rPr>
          <w:sz w:val="28"/>
          <w:szCs w:val="28"/>
        </w:rPr>
      </w:pPr>
      <w:r>
        <w:fldChar w:fldCharType="begin"/>
      </w:r>
      <w:r>
        <w:instrText xml:space="preserve"> HYPERLINK \l "_Toc26259" </w:instrText>
      </w:r>
      <w:r>
        <w:fldChar w:fldCharType="separate"/>
      </w:r>
      <w:r>
        <w:rPr>
          <w:rFonts w:hint="eastAsia"/>
          <w:sz w:val="28"/>
          <w:szCs w:val="28"/>
        </w:rPr>
        <w:t>4.6 供配电单元对策措施</w:t>
      </w:r>
      <w:r>
        <w:rPr>
          <w:sz w:val="28"/>
          <w:szCs w:val="28"/>
        </w:rPr>
        <w:tab/>
      </w:r>
      <w:r>
        <w:rPr>
          <w:sz w:val="28"/>
          <w:szCs w:val="28"/>
        </w:rPr>
        <w:fldChar w:fldCharType="begin"/>
      </w:r>
      <w:r>
        <w:rPr>
          <w:sz w:val="28"/>
          <w:szCs w:val="28"/>
        </w:rPr>
        <w:instrText xml:space="preserve"> PAGEREF _Toc26259 \h </w:instrText>
      </w:r>
      <w:r>
        <w:rPr>
          <w:sz w:val="28"/>
          <w:szCs w:val="28"/>
        </w:rPr>
        <w:fldChar w:fldCharType="separate"/>
      </w:r>
      <w:r>
        <w:rPr>
          <w:sz w:val="28"/>
          <w:szCs w:val="28"/>
        </w:rPr>
        <w:t>190</w:t>
      </w:r>
      <w:r>
        <w:rPr>
          <w:sz w:val="28"/>
          <w:szCs w:val="28"/>
        </w:rPr>
        <w:fldChar w:fldCharType="end"/>
      </w:r>
      <w:r>
        <w:rPr>
          <w:sz w:val="28"/>
          <w:szCs w:val="28"/>
        </w:rPr>
        <w:fldChar w:fldCharType="end"/>
      </w:r>
    </w:p>
    <w:p w14:paraId="387EF45A">
      <w:pPr>
        <w:pStyle w:val="20"/>
        <w:tabs>
          <w:tab w:val="right" w:leader="dot" w:pos="8447"/>
        </w:tabs>
        <w:ind w:firstLine="0" w:firstLineChars="0"/>
        <w:rPr>
          <w:sz w:val="28"/>
          <w:szCs w:val="28"/>
        </w:rPr>
      </w:pPr>
      <w:r>
        <w:fldChar w:fldCharType="begin"/>
      </w:r>
      <w:r>
        <w:instrText xml:space="preserve"> HYPERLINK \l "_Toc2012" </w:instrText>
      </w:r>
      <w:r>
        <w:fldChar w:fldCharType="separate"/>
      </w:r>
      <w:r>
        <w:rPr>
          <w:rFonts w:hint="eastAsia"/>
          <w:sz w:val="28"/>
          <w:szCs w:val="28"/>
        </w:rPr>
        <w:t>4.7防排水与防灭火单元对策措施</w:t>
      </w:r>
      <w:r>
        <w:rPr>
          <w:sz w:val="28"/>
          <w:szCs w:val="28"/>
        </w:rPr>
        <w:tab/>
      </w:r>
      <w:r>
        <w:rPr>
          <w:sz w:val="28"/>
          <w:szCs w:val="28"/>
        </w:rPr>
        <w:fldChar w:fldCharType="begin"/>
      </w:r>
      <w:r>
        <w:rPr>
          <w:sz w:val="28"/>
          <w:szCs w:val="28"/>
        </w:rPr>
        <w:instrText xml:space="preserve"> PAGEREF _Toc2012 \h </w:instrText>
      </w:r>
      <w:r>
        <w:rPr>
          <w:sz w:val="28"/>
          <w:szCs w:val="28"/>
        </w:rPr>
        <w:fldChar w:fldCharType="separate"/>
      </w:r>
      <w:r>
        <w:rPr>
          <w:sz w:val="28"/>
          <w:szCs w:val="28"/>
        </w:rPr>
        <w:t>192</w:t>
      </w:r>
      <w:r>
        <w:rPr>
          <w:sz w:val="28"/>
          <w:szCs w:val="28"/>
        </w:rPr>
        <w:fldChar w:fldCharType="end"/>
      </w:r>
      <w:r>
        <w:rPr>
          <w:sz w:val="28"/>
          <w:szCs w:val="28"/>
        </w:rPr>
        <w:fldChar w:fldCharType="end"/>
      </w:r>
    </w:p>
    <w:p w14:paraId="79710373">
      <w:pPr>
        <w:pStyle w:val="20"/>
        <w:tabs>
          <w:tab w:val="right" w:leader="dot" w:pos="8447"/>
        </w:tabs>
        <w:ind w:firstLine="0" w:firstLineChars="0"/>
        <w:rPr>
          <w:sz w:val="28"/>
          <w:szCs w:val="28"/>
        </w:rPr>
      </w:pPr>
      <w:r>
        <w:fldChar w:fldCharType="begin"/>
      </w:r>
      <w:r>
        <w:instrText xml:space="preserve"> HYPERLINK \l "_Toc10673" </w:instrText>
      </w:r>
      <w:r>
        <w:fldChar w:fldCharType="separate"/>
      </w:r>
      <w:r>
        <w:rPr>
          <w:rFonts w:hint="eastAsia"/>
          <w:sz w:val="28"/>
          <w:szCs w:val="28"/>
        </w:rPr>
        <w:t>4.8 安全避险“六大系统”单元的安全对策措施</w:t>
      </w:r>
      <w:r>
        <w:rPr>
          <w:sz w:val="28"/>
          <w:szCs w:val="28"/>
        </w:rPr>
        <w:tab/>
      </w:r>
      <w:r>
        <w:rPr>
          <w:sz w:val="28"/>
          <w:szCs w:val="28"/>
        </w:rPr>
        <w:fldChar w:fldCharType="begin"/>
      </w:r>
      <w:r>
        <w:rPr>
          <w:sz w:val="28"/>
          <w:szCs w:val="28"/>
        </w:rPr>
        <w:instrText xml:space="preserve"> PAGEREF _Toc10673 \h </w:instrText>
      </w:r>
      <w:r>
        <w:rPr>
          <w:sz w:val="28"/>
          <w:szCs w:val="28"/>
        </w:rPr>
        <w:fldChar w:fldCharType="separate"/>
      </w:r>
      <w:r>
        <w:rPr>
          <w:sz w:val="28"/>
          <w:szCs w:val="28"/>
        </w:rPr>
        <w:t>196</w:t>
      </w:r>
      <w:r>
        <w:rPr>
          <w:sz w:val="28"/>
          <w:szCs w:val="28"/>
        </w:rPr>
        <w:fldChar w:fldCharType="end"/>
      </w:r>
      <w:r>
        <w:rPr>
          <w:sz w:val="28"/>
          <w:szCs w:val="28"/>
        </w:rPr>
        <w:fldChar w:fldCharType="end"/>
      </w:r>
    </w:p>
    <w:p w14:paraId="7F9E3C0C">
      <w:pPr>
        <w:pStyle w:val="20"/>
        <w:tabs>
          <w:tab w:val="right" w:leader="dot" w:pos="8447"/>
        </w:tabs>
        <w:ind w:firstLine="0" w:firstLineChars="0"/>
        <w:rPr>
          <w:sz w:val="28"/>
          <w:szCs w:val="28"/>
        </w:rPr>
      </w:pPr>
      <w:r>
        <w:fldChar w:fldCharType="begin"/>
      </w:r>
      <w:r>
        <w:instrText xml:space="preserve"> HYPERLINK \l "_Toc18773" </w:instrText>
      </w:r>
      <w:r>
        <w:fldChar w:fldCharType="separate"/>
      </w:r>
      <w:r>
        <w:rPr>
          <w:rFonts w:hint="eastAsia"/>
          <w:sz w:val="28"/>
          <w:szCs w:val="28"/>
        </w:rPr>
        <w:t>4.9 安全管理单元对策措施</w:t>
      </w:r>
      <w:r>
        <w:rPr>
          <w:sz w:val="28"/>
          <w:szCs w:val="28"/>
        </w:rPr>
        <w:tab/>
      </w:r>
      <w:r>
        <w:rPr>
          <w:sz w:val="28"/>
          <w:szCs w:val="28"/>
        </w:rPr>
        <w:fldChar w:fldCharType="begin"/>
      </w:r>
      <w:r>
        <w:rPr>
          <w:sz w:val="28"/>
          <w:szCs w:val="28"/>
        </w:rPr>
        <w:instrText xml:space="preserve"> PAGEREF _Toc18773 \h </w:instrText>
      </w:r>
      <w:r>
        <w:rPr>
          <w:sz w:val="28"/>
          <w:szCs w:val="28"/>
        </w:rPr>
        <w:fldChar w:fldCharType="separate"/>
      </w:r>
      <w:r>
        <w:rPr>
          <w:sz w:val="28"/>
          <w:szCs w:val="28"/>
        </w:rPr>
        <w:t>197</w:t>
      </w:r>
      <w:r>
        <w:rPr>
          <w:sz w:val="28"/>
          <w:szCs w:val="28"/>
        </w:rPr>
        <w:fldChar w:fldCharType="end"/>
      </w:r>
      <w:r>
        <w:rPr>
          <w:sz w:val="28"/>
          <w:szCs w:val="28"/>
        </w:rPr>
        <w:fldChar w:fldCharType="end"/>
      </w:r>
    </w:p>
    <w:p w14:paraId="7472A080">
      <w:pPr>
        <w:pStyle w:val="17"/>
        <w:tabs>
          <w:tab w:val="right" w:leader="dot" w:pos="8447"/>
        </w:tabs>
        <w:ind w:firstLine="0" w:firstLineChars="0"/>
        <w:rPr>
          <w:sz w:val="28"/>
          <w:szCs w:val="28"/>
        </w:rPr>
      </w:pPr>
      <w:r>
        <w:fldChar w:fldCharType="begin"/>
      </w:r>
      <w:r>
        <w:instrText xml:space="preserve"> HYPERLINK \l "_Toc22647" </w:instrText>
      </w:r>
      <w:r>
        <w:fldChar w:fldCharType="separate"/>
      </w:r>
      <w:r>
        <w:rPr>
          <w:rFonts w:hint="eastAsia"/>
          <w:sz w:val="28"/>
          <w:szCs w:val="28"/>
        </w:rPr>
        <w:t xml:space="preserve">第五章 </w:t>
      </w:r>
      <w:r>
        <w:rPr>
          <w:sz w:val="28"/>
          <w:szCs w:val="28"/>
        </w:rPr>
        <w:t>安全预评价结论</w:t>
      </w:r>
      <w:r>
        <w:rPr>
          <w:sz w:val="28"/>
          <w:szCs w:val="28"/>
        </w:rPr>
        <w:tab/>
      </w:r>
      <w:r>
        <w:rPr>
          <w:sz w:val="28"/>
          <w:szCs w:val="28"/>
        </w:rPr>
        <w:fldChar w:fldCharType="begin"/>
      </w:r>
      <w:r>
        <w:rPr>
          <w:sz w:val="28"/>
          <w:szCs w:val="28"/>
        </w:rPr>
        <w:instrText xml:space="preserve"> PAGEREF _Toc22647 \h </w:instrText>
      </w:r>
      <w:r>
        <w:rPr>
          <w:sz w:val="28"/>
          <w:szCs w:val="28"/>
        </w:rPr>
        <w:fldChar w:fldCharType="separate"/>
      </w:r>
      <w:r>
        <w:rPr>
          <w:sz w:val="28"/>
          <w:szCs w:val="28"/>
        </w:rPr>
        <w:t>203</w:t>
      </w:r>
      <w:r>
        <w:rPr>
          <w:sz w:val="28"/>
          <w:szCs w:val="28"/>
        </w:rPr>
        <w:fldChar w:fldCharType="end"/>
      </w:r>
      <w:r>
        <w:rPr>
          <w:sz w:val="28"/>
          <w:szCs w:val="28"/>
        </w:rPr>
        <w:fldChar w:fldCharType="end"/>
      </w:r>
    </w:p>
    <w:p w14:paraId="6C845059">
      <w:pPr>
        <w:pStyle w:val="20"/>
        <w:tabs>
          <w:tab w:val="right" w:leader="dot" w:pos="8447"/>
        </w:tabs>
        <w:ind w:firstLine="0" w:firstLineChars="0"/>
        <w:rPr>
          <w:sz w:val="28"/>
          <w:szCs w:val="28"/>
        </w:rPr>
      </w:pPr>
      <w:r>
        <w:fldChar w:fldCharType="begin"/>
      </w:r>
      <w:r>
        <w:instrText xml:space="preserve"> HYPERLINK \l "_Toc10389" </w:instrText>
      </w:r>
      <w:r>
        <w:fldChar w:fldCharType="separate"/>
      </w:r>
      <w:r>
        <w:rPr>
          <w:rFonts w:hint="eastAsia"/>
          <w:sz w:val="28"/>
          <w:szCs w:val="28"/>
        </w:rPr>
        <w:t>5.</w:t>
      </w:r>
      <w:r>
        <w:rPr>
          <w:sz w:val="28"/>
          <w:szCs w:val="28"/>
        </w:rPr>
        <w:t>1</w:t>
      </w:r>
      <w:r>
        <w:rPr>
          <w:rFonts w:hint="eastAsia"/>
          <w:sz w:val="28"/>
          <w:szCs w:val="28"/>
        </w:rPr>
        <w:t xml:space="preserve"> </w:t>
      </w:r>
      <w:r>
        <w:rPr>
          <w:sz w:val="28"/>
          <w:szCs w:val="28"/>
        </w:rPr>
        <w:t>建设项目安全预评价综述</w:t>
      </w:r>
      <w:r>
        <w:rPr>
          <w:sz w:val="28"/>
          <w:szCs w:val="28"/>
        </w:rPr>
        <w:tab/>
      </w:r>
      <w:r>
        <w:rPr>
          <w:sz w:val="28"/>
          <w:szCs w:val="28"/>
        </w:rPr>
        <w:fldChar w:fldCharType="begin"/>
      </w:r>
      <w:r>
        <w:rPr>
          <w:sz w:val="28"/>
          <w:szCs w:val="28"/>
        </w:rPr>
        <w:instrText xml:space="preserve"> PAGEREF _Toc10389 \h </w:instrText>
      </w:r>
      <w:r>
        <w:rPr>
          <w:sz w:val="28"/>
          <w:szCs w:val="28"/>
        </w:rPr>
        <w:fldChar w:fldCharType="separate"/>
      </w:r>
      <w:r>
        <w:rPr>
          <w:sz w:val="28"/>
          <w:szCs w:val="28"/>
        </w:rPr>
        <w:t>203</w:t>
      </w:r>
      <w:r>
        <w:rPr>
          <w:sz w:val="28"/>
          <w:szCs w:val="28"/>
        </w:rPr>
        <w:fldChar w:fldCharType="end"/>
      </w:r>
      <w:r>
        <w:rPr>
          <w:sz w:val="28"/>
          <w:szCs w:val="28"/>
        </w:rPr>
        <w:fldChar w:fldCharType="end"/>
      </w:r>
    </w:p>
    <w:p w14:paraId="2B0B5E4B">
      <w:pPr>
        <w:pStyle w:val="20"/>
        <w:tabs>
          <w:tab w:val="right" w:leader="dot" w:pos="8447"/>
        </w:tabs>
        <w:ind w:firstLine="0" w:firstLineChars="0"/>
        <w:rPr>
          <w:sz w:val="28"/>
          <w:szCs w:val="28"/>
        </w:rPr>
      </w:pPr>
      <w:r>
        <w:fldChar w:fldCharType="begin"/>
      </w:r>
      <w:r>
        <w:instrText xml:space="preserve"> HYPERLINK \l "_Toc10393" </w:instrText>
      </w:r>
      <w:r>
        <w:fldChar w:fldCharType="separate"/>
      </w:r>
      <w:r>
        <w:rPr>
          <w:rFonts w:hint="eastAsia"/>
          <w:sz w:val="28"/>
          <w:szCs w:val="28"/>
        </w:rPr>
        <w:t>5.2 项目应重点防范的重大危险、有害因素</w:t>
      </w:r>
      <w:r>
        <w:rPr>
          <w:sz w:val="28"/>
          <w:szCs w:val="28"/>
        </w:rPr>
        <w:tab/>
      </w:r>
      <w:r>
        <w:rPr>
          <w:sz w:val="28"/>
          <w:szCs w:val="28"/>
        </w:rPr>
        <w:fldChar w:fldCharType="begin"/>
      </w:r>
      <w:r>
        <w:rPr>
          <w:sz w:val="28"/>
          <w:szCs w:val="28"/>
        </w:rPr>
        <w:instrText xml:space="preserve"> PAGEREF _Toc10393 \h </w:instrText>
      </w:r>
      <w:r>
        <w:rPr>
          <w:sz w:val="28"/>
          <w:szCs w:val="28"/>
        </w:rPr>
        <w:fldChar w:fldCharType="separate"/>
      </w:r>
      <w:r>
        <w:rPr>
          <w:sz w:val="28"/>
          <w:szCs w:val="28"/>
        </w:rPr>
        <w:t>203</w:t>
      </w:r>
      <w:r>
        <w:rPr>
          <w:sz w:val="28"/>
          <w:szCs w:val="28"/>
        </w:rPr>
        <w:fldChar w:fldCharType="end"/>
      </w:r>
      <w:r>
        <w:rPr>
          <w:sz w:val="28"/>
          <w:szCs w:val="28"/>
        </w:rPr>
        <w:fldChar w:fldCharType="end"/>
      </w:r>
    </w:p>
    <w:p w14:paraId="6E2D35BD">
      <w:pPr>
        <w:pStyle w:val="20"/>
        <w:tabs>
          <w:tab w:val="right" w:leader="dot" w:pos="8447"/>
        </w:tabs>
        <w:ind w:firstLine="0" w:firstLineChars="0"/>
        <w:rPr>
          <w:sz w:val="28"/>
          <w:szCs w:val="28"/>
        </w:rPr>
      </w:pPr>
      <w:r>
        <w:fldChar w:fldCharType="begin"/>
      </w:r>
      <w:r>
        <w:instrText xml:space="preserve"> HYPERLINK \l "_Toc23711" </w:instrText>
      </w:r>
      <w:r>
        <w:fldChar w:fldCharType="separate"/>
      </w:r>
      <w:r>
        <w:rPr>
          <w:rFonts w:hint="eastAsia"/>
          <w:sz w:val="28"/>
          <w:szCs w:val="28"/>
        </w:rPr>
        <w:t>5.3 应重视的安全对策措施</w:t>
      </w:r>
      <w:r>
        <w:rPr>
          <w:sz w:val="28"/>
          <w:szCs w:val="28"/>
        </w:rPr>
        <w:tab/>
      </w:r>
      <w:r>
        <w:rPr>
          <w:sz w:val="28"/>
          <w:szCs w:val="28"/>
        </w:rPr>
        <w:fldChar w:fldCharType="begin"/>
      </w:r>
      <w:r>
        <w:rPr>
          <w:sz w:val="28"/>
          <w:szCs w:val="28"/>
        </w:rPr>
        <w:instrText xml:space="preserve"> PAGEREF _Toc23711 \h </w:instrText>
      </w:r>
      <w:r>
        <w:rPr>
          <w:sz w:val="28"/>
          <w:szCs w:val="28"/>
        </w:rPr>
        <w:fldChar w:fldCharType="separate"/>
      </w:r>
      <w:r>
        <w:rPr>
          <w:sz w:val="28"/>
          <w:szCs w:val="28"/>
        </w:rPr>
        <w:t>203</w:t>
      </w:r>
      <w:r>
        <w:rPr>
          <w:sz w:val="28"/>
          <w:szCs w:val="28"/>
        </w:rPr>
        <w:fldChar w:fldCharType="end"/>
      </w:r>
      <w:r>
        <w:rPr>
          <w:sz w:val="28"/>
          <w:szCs w:val="28"/>
        </w:rPr>
        <w:fldChar w:fldCharType="end"/>
      </w:r>
    </w:p>
    <w:p w14:paraId="57739356">
      <w:pPr>
        <w:pStyle w:val="20"/>
        <w:tabs>
          <w:tab w:val="right" w:leader="dot" w:pos="8447"/>
        </w:tabs>
        <w:ind w:firstLine="0" w:firstLineChars="0"/>
        <w:rPr>
          <w:sz w:val="28"/>
          <w:szCs w:val="28"/>
        </w:rPr>
      </w:pPr>
      <w:r>
        <w:fldChar w:fldCharType="begin"/>
      </w:r>
      <w:r>
        <w:instrText xml:space="preserve"> HYPERLINK \l "_Toc21705" </w:instrText>
      </w:r>
      <w:r>
        <w:fldChar w:fldCharType="separate"/>
      </w:r>
      <w:r>
        <w:rPr>
          <w:rFonts w:hint="eastAsia"/>
          <w:sz w:val="28"/>
          <w:szCs w:val="28"/>
        </w:rPr>
        <w:t>5.4 危险因素控制程度</w:t>
      </w:r>
      <w:r>
        <w:rPr>
          <w:sz w:val="28"/>
          <w:szCs w:val="28"/>
        </w:rPr>
        <w:tab/>
      </w:r>
      <w:r>
        <w:rPr>
          <w:sz w:val="28"/>
          <w:szCs w:val="28"/>
        </w:rPr>
        <w:fldChar w:fldCharType="begin"/>
      </w:r>
      <w:r>
        <w:rPr>
          <w:sz w:val="28"/>
          <w:szCs w:val="28"/>
        </w:rPr>
        <w:instrText xml:space="preserve"> PAGEREF _Toc21705 \h </w:instrText>
      </w:r>
      <w:r>
        <w:rPr>
          <w:sz w:val="28"/>
          <w:szCs w:val="28"/>
        </w:rPr>
        <w:fldChar w:fldCharType="separate"/>
      </w:r>
      <w:r>
        <w:rPr>
          <w:sz w:val="28"/>
          <w:szCs w:val="28"/>
        </w:rPr>
        <w:t>204</w:t>
      </w:r>
      <w:r>
        <w:rPr>
          <w:sz w:val="28"/>
          <w:szCs w:val="28"/>
        </w:rPr>
        <w:fldChar w:fldCharType="end"/>
      </w:r>
      <w:r>
        <w:rPr>
          <w:sz w:val="28"/>
          <w:szCs w:val="28"/>
        </w:rPr>
        <w:fldChar w:fldCharType="end"/>
      </w:r>
    </w:p>
    <w:p w14:paraId="07E837DE">
      <w:pPr>
        <w:pStyle w:val="20"/>
        <w:tabs>
          <w:tab w:val="right" w:leader="dot" w:pos="8447"/>
        </w:tabs>
        <w:ind w:firstLine="0" w:firstLineChars="0"/>
        <w:rPr>
          <w:sz w:val="28"/>
          <w:szCs w:val="28"/>
        </w:rPr>
      </w:pPr>
      <w:r>
        <w:fldChar w:fldCharType="begin"/>
      </w:r>
      <w:r>
        <w:instrText xml:space="preserve"> HYPERLINK \l "_Toc24137" </w:instrText>
      </w:r>
      <w:r>
        <w:fldChar w:fldCharType="separate"/>
      </w:r>
      <w:r>
        <w:rPr>
          <w:rFonts w:hint="eastAsia"/>
          <w:sz w:val="28"/>
          <w:szCs w:val="28"/>
        </w:rPr>
        <w:t xml:space="preserve">5.5 </w:t>
      </w:r>
      <w:r>
        <w:rPr>
          <w:sz w:val="28"/>
          <w:szCs w:val="28"/>
        </w:rPr>
        <w:t>安全预评价总体结论</w:t>
      </w:r>
      <w:r>
        <w:rPr>
          <w:sz w:val="28"/>
          <w:szCs w:val="28"/>
        </w:rPr>
        <w:tab/>
      </w:r>
      <w:r>
        <w:rPr>
          <w:sz w:val="28"/>
          <w:szCs w:val="28"/>
        </w:rPr>
        <w:fldChar w:fldCharType="begin"/>
      </w:r>
      <w:r>
        <w:rPr>
          <w:sz w:val="28"/>
          <w:szCs w:val="28"/>
        </w:rPr>
        <w:instrText xml:space="preserve"> PAGEREF _Toc24137 \h </w:instrText>
      </w:r>
      <w:r>
        <w:rPr>
          <w:sz w:val="28"/>
          <w:szCs w:val="28"/>
        </w:rPr>
        <w:fldChar w:fldCharType="separate"/>
      </w:r>
      <w:r>
        <w:rPr>
          <w:sz w:val="28"/>
          <w:szCs w:val="28"/>
        </w:rPr>
        <w:t>205</w:t>
      </w:r>
      <w:r>
        <w:rPr>
          <w:sz w:val="28"/>
          <w:szCs w:val="28"/>
        </w:rPr>
        <w:fldChar w:fldCharType="end"/>
      </w:r>
      <w:r>
        <w:rPr>
          <w:sz w:val="28"/>
          <w:szCs w:val="28"/>
        </w:rPr>
        <w:fldChar w:fldCharType="end"/>
      </w:r>
    </w:p>
    <w:p w14:paraId="72B3E928">
      <w:pPr>
        <w:pStyle w:val="17"/>
        <w:tabs>
          <w:tab w:val="right" w:leader="dot" w:pos="8447"/>
        </w:tabs>
        <w:ind w:firstLine="0" w:firstLineChars="0"/>
        <w:rPr>
          <w:sz w:val="28"/>
          <w:szCs w:val="28"/>
        </w:rPr>
      </w:pPr>
      <w:r>
        <w:fldChar w:fldCharType="begin"/>
      </w:r>
      <w:r>
        <w:instrText xml:space="preserve"> HYPERLINK \l "_Toc8132" </w:instrText>
      </w:r>
      <w:r>
        <w:fldChar w:fldCharType="separate"/>
      </w:r>
      <w:r>
        <w:rPr>
          <w:rFonts w:hint="eastAsia"/>
          <w:sz w:val="28"/>
          <w:szCs w:val="28"/>
        </w:rPr>
        <w:t>附件</w:t>
      </w:r>
      <w:r>
        <w:rPr>
          <w:sz w:val="28"/>
          <w:szCs w:val="28"/>
        </w:rPr>
        <w:tab/>
      </w:r>
      <w:r>
        <w:rPr>
          <w:sz w:val="28"/>
          <w:szCs w:val="28"/>
        </w:rPr>
        <w:fldChar w:fldCharType="begin"/>
      </w:r>
      <w:r>
        <w:rPr>
          <w:sz w:val="28"/>
          <w:szCs w:val="28"/>
        </w:rPr>
        <w:instrText xml:space="preserve"> PAGEREF _Toc8132 \h </w:instrText>
      </w:r>
      <w:r>
        <w:rPr>
          <w:sz w:val="28"/>
          <w:szCs w:val="28"/>
        </w:rPr>
        <w:fldChar w:fldCharType="separate"/>
      </w:r>
      <w:r>
        <w:rPr>
          <w:sz w:val="28"/>
          <w:szCs w:val="28"/>
        </w:rPr>
        <w:t>206</w:t>
      </w:r>
      <w:r>
        <w:rPr>
          <w:sz w:val="28"/>
          <w:szCs w:val="28"/>
        </w:rPr>
        <w:fldChar w:fldCharType="end"/>
      </w:r>
      <w:r>
        <w:rPr>
          <w:sz w:val="28"/>
          <w:szCs w:val="28"/>
        </w:rPr>
        <w:fldChar w:fldCharType="end"/>
      </w:r>
    </w:p>
    <w:p w14:paraId="7B04957E">
      <w:pPr>
        <w:pStyle w:val="17"/>
        <w:tabs>
          <w:tab w:val="right" w:leader="dot" w:pos="8447"/>
        </w:tabs>
        <w:ind w:firstLine="0" w:firstLineChars="0"/>
        <w:rPr>
          <w:sz w:val="28"/>
          <w:szCs w:val="28"/>
        </w:rPr>
      </w:pPr>
      <w:r>
        <w:fldChar w:fldCharType="begin"/>
      </w:r>
      <w:r>
        <w:instrText xml:space="preserve"> HYPERLINK \l "_Toc25999" </w:instrText>
      </w:r>
      <w:r>
        <w:fldChar w:fldCharType="separate"/>
      </w:r>
      <w:r>
        <w:rPr>
          <w:rFonts w:hint="eastAsia"/>
          <w:sz w:val="28"/>
          <w:szCs w:val="28"/>
        </w:rPr>
        <w:t>附图</w:t>
      </w:r>
      <w:r>
        <w:rPr>
          <w:sz w:val="28"/>
          <w:szCs w:val="28"/>
        </w:rPr>
        <w:tab/>
      </w:r>
      <w:r>
        <w:rPr>
          <w:sz w:val="28"/>
          <w:szCs w:val="28"/>
        </w:rPr>
        <w:fldChar w:fldCharType="begin"/>
      </w:r>
      <w:r>
        <w:rPr>
          <w:sz w:val="28"/>
          <w:szCs w:val="28"/>
        </w:rPr>
        <w:instrText xml:space="preserve"> PAGEREF _Toc25999 \h </w:instrText>
      </w:r>
      <w:r>
        <w:rPr>
          <w:sz w:val="28"/>
          <w:szCs w:val="28"/>
        </w:rPr>
        <w:fldChar w:fldCharType="separate"/>
      </w:r>
      <w:r>
        <w:rPr>
          <w:sz w:val="28"/>
          <w:szCs w:val="28"/>
        </w:rPr>
        <w:t>207</w:t>
      </w:r>
      <w:r>
        <w:rPr>
          <w:sz w:val="28"/>
          <w:szCs w:val="28"/>
        </w:rPr>
        <w:fldChar w:fldCharType="end"/>
      </w:r>
      <w:r>
        <w:rPr>
          <w:sz w:val="28"/>
          <w:szCs w:val="28"/>
        </w:rPr>
        <w:fldChar w:fldCharType="end"/>
      </w:r>
    </w:p>
    <w:p w14:paraId="79E80D9D">
      <w:pPr>
        <w:pStyle w:val="20"/>
        <w:tabs>
          <w:tab w:val="right" w:leader="dot" w:pos="8902"/>
        </w:tabs>
        <w:ind w:firstLine="0" w:firstLineChars="0"/>
        <w:rPr>
          <w:szCs w:val="24"/>
        </w:rPr>
      </w:pPr>
      <w:r>
        <w:rPr>
          <w:sz w:val="28"/>
          <w:szCs w:val="44"/>
        </w:rPr>
        <w:fldChar w:fldCharType="end"/>
      </w:r>
    </w:p>
    <w:p w14:paraId="565F3034">
      <w:pPr>
        <w:ind w:firstLine="583"/>
      </w:pPr>
    </w:p>
    <w:p w14:paraId="1CC91196">
      <w:pPr>
        <w:pStyle w:val="7"/>
        <w:tabs>
          <w:tab w:val="left" w:pos="5208"/>
        </w:tabs>
        <w:ind w:firstLine="583"/>
        <w:rPr>
          <w:szCs w:val="24"/>
        </w:rPr>
      </w:pPr>
      <w:r>
        <w:rPr>
          <w:rFonts w:hint="eastAsia"/>
          <w:szCs w:val="24"/>
        </w:rPr>
        <w:tab/>
      </w:r>
    </w:p>
    <w:p w14:paraId="68B46109">
      <w:pPr>
        <w:ind w:firstLine="583"/>
      </w:pPr>
    </w:p>
    <w:p w14:paraId="6AFB834A">
      <w:pPr>
        <w:pStyle w:val="2"/>
        <w:numPr>
          <w:ilvl w:val="0"/>
          <w:numId w:val="0"/>
        </w:numPr>
        <w:jc w:val="center"/>
      </w:pPr>
      <w:bookmarkStart w:id="59" w:name="_Toc602"/>
      <w:bookmarkStart w:id="60" w:name="_Toc5167"/>
      <w:bookmarkStart w:id="61" w:name="_Toc26268"/>
      <w:bookmarkStart w:id="62" w:name="_Toc22377"/>
      <w:r>
        <w:rPr>
          <w:rFonts w:hint="eastAsia"/>
        </w:rPr>
        <w:t>第一章 评价对象与依据</w:t>
      </w:r>
      <w:bookmarkEnd w:id="59"/>
      <w:bookmarkEnd w:id="60"/>
      <w:bookmarkEnd w:id="61"/>
      <w:bookmarkEnd w:id="62"/>
    </w:p>
    <w:p w14:paraId="4DE892BC">
      <w:pPr>
        <w:pStyle w:val="3"/>
        <w:ind w:firstLine="0" w:firstLineChars="0"/>
      </w:pPr>
      <w:bookmarkStart w:id="63" w:name="_Toc4923"/>
      <w:bookmarkStart w:id="64" w:name="_Toc30858"/>
      <w:bookmarkStart w:id="65" w:name="_Toc459016447"/>
      <w:bookmarkStart w:id="66" w:name="_Toc21503"/>
      <w:r>
        <w:rPr>
          <w:rFonts w:hint="eastAsia"/>
        </w:rPr>
        <w:t>1.1 评价对象和范围</w:t>
      </w:r>
      <w:bookmarkEnd w:id="63"/>
      <w:bookmarkEnd w:id="64"/>
      <w:bookmarkEnd w:id="65"/>
      <w:bookmarkEnd w:id="66"/>
    </w:p>
    <w:p w14:paraId="6E522304">
      <w:pPr>
        <w:ind w:firstLine="583"/>
        <w:rPr>
          <w:sz w:val="28"/>
          <w:szCs w:val="28"/>
          <w:highlight w:val="black"/>
        </w:rPr>
      </w:pPr>
      <w:r>
        <w:rPr>
          <w:rFonts w:hint="eastAsia"/>
          <w:sz w:val="28"/>
          <w:szCs w:val="28"/>
          <w:highlight w:val="black"/>
        </w:rPr>
        <w:t>根据建设项目《本溪市昱蕴铁选有限公司大柳峪铁矿北采区地下开采建设项目可行性研究报告》、《金属非金属矿山建设项目安全设施目录（试行）》（国家安全监管总局令第75号）和有关法律法规等，确定本次安全预评价的评价对象为“本溪市昱蕴铁选有限公司大柳峪铁矿北采区地下开采范围”。</w:t>
      </w:r>
    </w:p>
    <w:p w14:paraId="60163FCC">
      <w:pPr>
        <w:ind w:firstLine="583"/>
        <w:rPr>
          <w:sz w:val="28"/>
          <w:szCs w:val="28"/>
          <w:highlight w:val="black"/>
        </w:rPr>
      </w:pPr>
      <w:r>
        <w:rPr>
          <w:rFonts w:hint="eastAsia"/>
          <w:sz w:val="28"/>
          <w:szCs w:val="28"/>
          <w:highlight w:val="black"/>
        </w:rPr>
        <w:t>评价范围：地下开采的总平面布置、开拓、运输、采掘、通风、供配电设施、防排水与防灭火、安全避险“六大系统”及安全管理等有关内容。</w:t>
      </w:r>
    </w:p>
    <w:p w14:paraId="509A4BF3">
      <w:pPr>
        <w:pStyle w:val="3"/>
        <w:ind w:firstLine="0" w:firstLineChars="0"/>
      </w:pPr>
      <w:bookmarkStart w:id="67" w:name="_Toc5045"/>
      <w:bookmarkStart w:id="68" w:name="_Toc208114738"/>
      <w:bookmarkStart w:id="69" w:name="_Toc237935777"/>
      <w:bookmarkStart w:id="70" w:name="_Toc237935987"/>
      <w:bookmarkStart w:id="71" w:name="_Toc8176"/>
      <w:bookmarkStart w:id="72" w:name="_Toc209319979"/>
      <w:bookmarkStart w:id="73" w:name="_Toc237935731"/>
      <w:bookmarkStart w:id="74" w:name="_Toc237935941"/>
      <w:bookmarkStart w:id="75" w:name="_Toc235323313"/>
      <w:r>
        <w:t xml:space="preserve">1.2 </w:t>
      </w:r>
      <w:r>
        <w:rPr>
          <w:rFonts w:hint="eastAsia"/>
        </w:rPr>
        <w:t>评价依据</w:t>
      </w:r>
      <w:bookmarkEnd w:id="67"/>
      <w:bookmarkEnd w:id="68"/>
      <w:bookmarkEnd w:id="69"/>
      <w:bookmarkEnd w:id="70"/>
      <w:bookmarkEnd w:id="71"/>
      <w:bookmarkEnd w:id="72"/>
      <w:bookmarkEnd w:id="73"/>
      <w:bookmarkEnd w:id="74"/>
      <w:bookmarkEnd w:id="75"/>
    </w:p>
    <w:p w14:paraId="4A60971F">
      <w:pPr>
        <w:pStyle w:val="4"/>
        <w:ind w:firstLine="0" w:firstLineChars="0"/>
      </w:pPr>
      <w:bookmarkStart w:id="76" w:name="_Toc97717550"/>
      <w:r>
        <w:t xml:space="preserve">1.2.1 </w:t>
      </w:r>
      <w:bookmarkEnd w:id="76"/>
      <w:r>
        <w:rPr>
          <w:rFonts w:hint="eastAsia"/>
        </w:rPr>
        <w:t>法律法规</w:t>
      </w:r>
    </w:p>
    <w:p w14:paraId="7692650A">
      <w:pPr>
        <w:ind w:firstLine="583"/>
        <w:rPr>
          <w:highlight w:val="black"/>
        </w:rPr>
      </w:pPr>
      <w:bookmarkStart w:id="77" w:name="_Toc143324094"/>
      <w:bookmarkStart w:id="78" w:name="_Toc152468764"/>
      <w:bookmarkStart w:id="79" w:name="_Toc143078598"/>
      <w:r>
        <w:rPr>
          <w:rFonts w:hint="eastAsia"/>
          <w:highlight w:val="black"/>
        </w:rPr>
        <w:t>（1）《中华人民共和国安全生产法》（中华人民共和国第十三届全国人民代表大会常务委员会第二十九次会议通过《全国人民代表大会常务委员会关于修改〈中华人民共和国安全生产法〉的决定》，于2021年9月1日起施行）；</w:t>
      </w:r>
    </w:p>
    <w:p w14:paraId="693B163C">
      <w:pPr>
        <w:ind w:firstLine="583"/>
        <w:rPr>
          <w:highlight w:val="black"/>
        </w:rPr>
      </w:pPr>
      <w:r>
        <w:rPr>
          <w:rFonts w:hint="eastAsia"/>
          <w:highlight w:val="black"/>
        </w:rPr>
        <w:t>（2）《中华人民共和国矿山安全法》（中华人民共和国主席令第18号，2009年8月27日起实施）；</w:t>
      </w:r>
    </w:p>
    <w:p w14:paraId="1AD0E154">
      <w:pPr>
        <w:ind w:firstLine="583"/>
        <w:rPr>
          <w:highlight w:val="black"/>
        </w:rPr>
      </w:pPr>
      <w:r>
        <w:rPr>
          <w:rFonts w:hint="eastAsia"/>
          <w:highlight w:val="black"/>
        </w:rPr>
        <w:t>（3）《中华人民共和国环境保护法》（中华人民共和国主席令第九号，2014年4月24日通过，于2015年1月1日实施）；</w:t>
      </w:r>
    </w:p>
    <w:p w14:paraId="5A610BB6">
      <w:pPr>
        <w:ind w:firstLine="583"/>
        <w:rPr>
          <w:highlight w:val="black"/>
        </w:rPr>
      </w:pPr>
      <w:r>
        <w:rPr>
          <w:rFonts w:hint="eastAsia"/>
          <w:highlight w:val="black"/>
        </w:rPr>
        <w:t>（4）《中华人民共和国劳动法》（第十三届全国人民代表大会常务委员会第七次会议修改，自2018年12月29日起施行）；</w:t>
      </w:r>
    </w:p>
    <w:p w14:paraId="580B27CC">
      <w:pPr>
        <w:ind w:firstLine="583"/>
        <w:rPr>
          <w:highlight w:val="black"/>
        </w:rPr>
      </w:pPr>
      <w:r>
        <w:rPr>
          <w:rFonts w:hint="eastAsia"/>
          <w:highlight w:val="black"/>
        </w:rPr>
        <w:t>（5）《中华人民共和国职业病防治法》（第十三届全国人民代表大会常务委员会第七次会议第四次修正，2018年12月29日起实施）；</w:t>
      </w:r>
    </w:p>
    <w:p w14:paraId="3F029F6A">
      <w:pPr>
        <w:ind w:firstLine="583"/>
        <w:rPr>
          <w:highlight w:val="black"/>
        </w:rPr>
      </w:pPr>
      <w:r>
        <w:rPr>
          <w:rFonts w:hint="eastAsia"/>
          <w:highlight w:val="black"/>
        </w:rPr>
        <w:t>（6）《中华人民共和国矿产资源法》（第十一届全国人民代表大会常务委员会第十次会议修正，2009年8月27日起实施）；</w:t>
      </w:r>
    </w:p>
    <w:p w14:paraId="62AA8B55">
      <w:pPr>
        <w:ind w:firstLine="583"/>
        <w:rPr>
          <w:highlight w:val="black"/>
        </w:rPr>
      </w:pPr>
      <w:r>
        <w:rPr>
          <w:rFonts w:hint="eastAsia"/>
          <w:highlight w:val="black"/>
        </w:rPr>
        <w:t>（7）《中华人民共和国电力法》（2018年12月29日第十三届全国人民代表大会常务委员会第七次会议通过第十三届全国人民代表大会常务委员会第七次会议决定：对《中华人民共和国电力法》作出修改）；</w:t>
      </w:r>
    </w:p>
    <w:p w14:paraId="43B03650">
      <w:pPr>
        <w:ind w:firstLine="583"/>
        <w:rPr>
          <w:highlight w:val="black"/>
        </w:rPr>
      </w:pPr>
      <w:r>
        <w:rPr>
          <w:rFonts w:hint="eastAsia"/>
          <w:highlight w:val="black"/>
        </w:rPr>
        <w:t>（8）《中华人民共和国突发事件应对法》（中华人民共和国主席令第六十九号，2007年08月30日发布，自2007年11月1日起施行）；</w:t>
      </w:r>
    </w:p>
    <w:p w14:paraId="5A206D42">
      <w:pPr>
        <w:ind w:firstLine="583"/>
        <w:rPr>
          <w:highlight w:val="black"/>
        </w:rPr>
      </w:pPr>
      <w:r>
        <w:rPr>
          <w:rFonts w:hint="eastAsia"/>
          <w:highlight w:val="black"/>
        </w:rPr>
        <w:t>（9）《中华人民共和国消防法》2021年4月29日第十三届全国人民代表大会常务委员会第二十八次会议《关于修改〈中华人民共和国道路交通安全法〉等八部法律的决定》第二次修正）。</w:t>
      </w:r>
    </w:p>
    <w:p w14:paraId="290C60C8">
      <w:pPr>
        <w:pStyle w:val="4"/>
        <w:ind w:firstLine="0" w:firstLineChars="0"/>
      </w:pPr>
      <w:bookmarkStart w:id="80" w:name="_Toc142"/>
      <w:r>
        <w:rPr>
          <w:rFonts w:hint="eastAsia"/>
        </w:rPr>
        <w:t>1.2.2 行政法规</w:t>
      </w:r>
      <w:bookmarkEnd w:id="80"/>
    </w:p>
    <w:p w14:paraId="5AE9B065">
      <w:pPr>
        <w:ind w:firstLine="583"/>
        <w:rPr>
          <w:highlight w:val="black"/>
        </w:rPr>
      </w:pPr>
      <w:r>
        <w:rPr>
          <w:rFonts w:hint="eastAsia"/>
          <w:highlight w:val="black"/>
        </w:rPr>
        <w:t>（1）《金属非金属矿山建设项目安全设施目录》（国家安全生产监督管理总局令第75号令，自2015年7月1日起施行）；</w:t>
      </w:r>
    </w:p>
    <w:p w14:paraId="5221076E">
      <w:pPr>
        <w:ind w:firstLine="583"/>
        <w:rPr>
          <w:highlight w:val="black"/>
        </w:rPr>
      </w:pPr>
      <w:r>
        <w:rPr>
          <w:rFonts w:hint="eastAsia"/>
          <w:highlight w:val="black"/>
        </w:rPr>
        <w:t>（2）《国家安全监管总局关于废止和修改劳动防护用品和安全培训等领域十部规章的决定》（国家安全生产监督管理总局令第80号，2015年7月1日起实施）；</w:t>
      </w:r>
    </w:p>
    <w:p w14:paraId="5826E0A6">
      <w:pPr>
        <w:ind w:firstLine="583"/>
        <w:rPr>
          <w:highlight w:val="black"/>
        </w:rPr>
      </w:pPr>
      <w:r>
        <w:rPr>
          <w:rFonts w:hint="eastAsia"/>
          <w:highlight w:val="black"/>
        </w:rPr>
        <w:t>（3）《金属非金属矿山重大事故隐患判定标准》（矿安〔2022〕88号，2022年9月1日起施行）；</w:t>
      </w:r>
    </w:p>
    <w:p w14:paraId="66852A67">
      <w:pPr>
        <w:ind w:firstLine="583"/>
        <w:rPr>
          <w:highlight w:val="black"/>
        </w:rPr>
      </w:pPr>
      <w:r>
        <w:rPr>
          <w:rFonts w:hint="eastAsia"/>
          <w:highlight w:val="black"/>
        </w:rPr>
        <w:t>（4）《辽宁省安全生产条例》（2022年4月21日辽宁省第十三届人民代表大会常务委员会第三十二次会议第二次修正）；</w:t>
      </w:r>
    </w:p>
    <w:p w14:paraId="1DB8930D">
      <w:pPr>
        <w:ind w:firstLine="583"/>
        <w:rPr>
          <w:highlight w:val="black"/>
        </w:rPr>
      </w:pPr>
      <w:r>
        <w:rPr>
          <w:rFonts w:hint="eastAsia"/>
          <w:highlight w:val="black"/>
        </w:rPr>
        <w:t>（5）《生产安全事故应急预案管理办法》（国家安全监管总局令第88号公布，应急管理部2号令修订，自2019年9月1日起施行）；</w:t>
      </w:r>
    </w:p>
    <w:p w14:paraId="4CEE2733">
      <w:pPr>
        <w:ind w:firstLine="583"/>
        <w:rPr>
          <w:highlight w:val="black"/>
          <w:lang w:val="sq-AL"/>
        </w:rPr>
      </w:pPr>
      <w:r>
        <w:rPr>
          <w:rFonts w:hint="eastAsia"/>
          <w:highlight w:val="black"/>
        </w:rPr>
        <w:t>（6）</w:t>
      </w:r>
      <w:r>
        <w:rPr>
          <w:highlight w:val="black"/>
          <w:lang w:val="sq-AL"/>
        </w:rPr>
        <w:t>《安全生产许可证条例》（2004年01月13日中华人民共和国国务院令第397号公布，根据2013年07月18日《国务院关于废止和修改部分行政法规的决定》第一次修订，根据2014年07月29日《国务院关于修改部分行政法规的决定》第二次修订，2015年03月25日起施行）；</w:t>
      </w:r>
    </w:p>
    <w:p w14:paraId="6762A252">
      <w:pPr>
        <w:ind w:firstLine="583"/>
        <w:rPr>
          <w:highlight w:val="black"/>
          <w:lang w:val="en-GB"/>
        </w:rPr>
      </w:pPr>
      <w:r>
        <w:rPr>
          <w:rFonts w:hint="eastAsia"/>
          <w:highlight w:val="black"/>
          <w:lang w:val="en-GB"/>
        </w:rPr>
        <w:t>（</w:t>
      </w:r>
      <w:r>
        <w:rPr>
          <w:rFonts w:hint="eastAsia"/>
          <w:highlight w:val="black"/>
        </w:rPr>
        <w:t>7</w:t>
      </w:r>
      <w:r>
        <w:rPr>
          <w:rFonts w:hint="eastAsia"/>
          <w:highlight w:val="black"/>
          <w:lang w:val="en-GB"/>
        </w:rPr>
        <w:t>）《国家安全监管总局关于发布金属非金属矿山禁止使用的设备及工艺目录（第一批）的通知》（安监总管一〔2013〕101号）；</w:t>
      </w:r>
    </w:p>
    <w:p w14:paraId="4DFA18FA">
      <w:pPr>
        <w:ind w:firstLine="583"/>
        <w:rPr>
          <w:highlight w:val="black"/>
          <w:lang w:val="en-GB"/>
        </w:rPr>
      </w:pPr>
      <w:r>
        <w:rPr>
          <w:rFonts w:hint="eastAsia"/>
          <w:highlight w:val="black"/>
          <w:lang w:val="en-GB"/>
        </w:rPr>
        <w:t>（</w:t>
      </w:r>
      <w:r>
        <w:rPr>
          <w:rFonts w:hint="eastAsia"/>
          <w:highlight w:val="black"/>
        </w:rPr>
        <w:t>8</w:t>
      </w:r>
      <w:r>
        <w:rPr>
          <w:rFonts w:hint="eastAsia"/>
          <w:highlight w:val="black"/>
          <w:lang w:val="en-GB"/>
        </w:rPr>
        <w:t>）《国家安全监管总局关于发布金属非金属矿山禁止使用的设备及工艺目录（第二批）的通知》（安监总管一〔2015〕13号）；</w:t>
      </w:r>
    </w:p>
    <w:p w14:paraId="0E9D0BF6">
      <w:pPr>
        <w:ind w:firstLine="583"/>
        <w:rPr>
          <w:highlight w:val="black"/>
        </w:rPr>
      </w:pPr>
      <w:r>
        <w:rPr>
          <w:rFonts w:hint="eastAsia"/>
          <w:highlight w:val="black"/>
        </w:rPr>
        <w:t>（9）《生产安全事故应急条例》（中华人民共和国国务院令，第708号，经2018年12月5日国务院第33次常务会议通过，现予公布，自2019年4月1日起施行）；</w:t>
      </w:r>
    </w:p>
    <w:p w14:paraId="39E08760">
      <w:pPr>
        <w:ind w:firstLine="583"/>
        <w:rPr>
          <w:highlight w:val="black"/>
          <w:lang w:val="sq-AL"/>
        </w:rPr>
      </w:pPr>
      <w:r>
        <w:rPr>
          <w:rFonts w:hint="eastAsia"/>
          <w:highlight w:val="black"/>
        </w:rPr>
        <w:t>（10）</w:t>
      </w:r>
      <w:r>
        <w:rPr>
          <w:highlight w:val="black"/>
          <w:lang w:val="sq-AL"/>
        </w:rPr>
        <w:t>《企业安全生产费用提取和使用管理办法》</w:t>
      </w:r>
      <w:r>
        <w:rPr>
          <w:rFonts w:hint="eastAsia"/>
          <w:highlight w:val="black"/>
          <w:lang w:val="sq-AL"/>
        </w:rPr>
        <w:t>（</w:t>
      </w:r>
      <w:r>
        <w:rPr>
          <w:highlight w:val="black"/>
          <w:lang w:val="sq-AL"/>
        </w:rPr>
        <w:t>财资〔2022〕136号，2022年11月21日</w:t>
      </w:r>
      <w:r>
        <w:rPr>
          <w:rFonts w:hint="eastAsia"/>
          <w:highlight w:val="black"/>
          <w:lang w:val="sq-AL"/>
        </w:rPr>
        <w:t>发布）</w:t>
      </w:r>
      <w:r>
        <w:rPr>
          <w:highlight w:val="black"/>
          <w:lang w:val="sq-AL"/>
        </w:rPr>
        <w:t>；</w:t>
      </w:r>
    </w:p>
    <w:p w14:paraId="75B651C0">
      <w:pPr>
        <w:ind w:firstLine="583"/>
        <w:rPr>
          <w:highlight w:val="black"/>
        </w:rPr>
      </w:pPr>
      <w:r>
        <w:rPr>
          <w:rFonts w:hint="eastAsia"/>
          <w:highlight w:val="black"/>
        </w:rPr>
        <w:t>（11）</w:t>
      </w:r>
      <w:r>
        <w:rPr>
          <w:highlight w:val="black"/>
        </w:rPr>
        <w:t>《特种作业人员安全技术培训考核管理规定》</w:t>
      </w:r>
      <w:r>
        <w:rPr>
          <w:rFonts w:hint="eastAsia"/>
          <w:highlight w:val="black"/>
        </w:rPr>
        <w:t>（</w:t>
      </w:r>
      <w:r>
        <w:rPr>
          <w:highlight w:val="black"/>
        </w:rPr>
        <w:t>国家安全生产监督管理总局令第30号</w:t>
      </w:r>
      <w:r>
        <w:rPr>
          <w:rFonts w:hint="eastAsia"/>
          <w:highlight w:val="black"/>
        </w:rPr>
        <w:t>）；</w:t>
      </w:r>
    </w:p>
    <w:p w14:paraId="6E6B37D2">
      <w:pPr>
        <w:ind w:firstLine="583"/>
        <w:rPr>
          <w:highlight w:val="black"/>
        </w:rPr>
      </w:pPr>
      <w:r>
        <w:rPr>
          <w:rFonts w:hint="eastAsia"/>
          <w:highlight w:val="black"/>
        </w:rPr>
        <w:t>（12）</w:t>
      </w:r>
      <w:r>
        <w:rPr>
          <w:highlight w:val="black"/>
        </w:rPr>
        <w:t>《工伤保险条例》（中华人民共和国国务院令第586号</w:t>
      </w:r>
      <w:r>
        <w:rPr>
          <w:rFonts w:hint="eastAsia"/>
          <w:highlight w:val="black"/>
        </w:rPr>
        <w:t>）；</w:t>
      </w:r>
    </w:p>
    <w:p w14:paraId="224963E9">
      <w:pPr>
        <w:ind w:firstLine="583"/>
        <w:rPr>
          <w:highlight w:val="black"/>
        </w:rPr>
      </w:pPr>
      <w:r>
        <w:rPr>
          <w:rFonts w:hint="eastAsia"/>
          <w:highlight w:val="black"/>
        </w:rPr>
        <w:t>（13）《</w:t>
      </w:r>
      <w:r>
        <w:rPr>
          <w:highlight w:val="black"/>
        </w:rPr>
        <w:t>国家安全监管总局办公厅关于修改用人单位劳动防护用品管理规范的通知</w:t>
      </w:r>
      <w:r>
        <w:rPr>
          <w:rFonts w:hint="eastAsia"/>
          <w:highlight w:val="black"/>
        </w:rPr>
        <w:t>》（安监总厅安健〔2018〕3号）；</w:t>
      </w:r>
    </w:p>
    <w:p w14:paraId="748A956B">
      <w:pPr>
        <w:ind w:firstLine="583"/>
        <w:rPr>
          <w:highlight w:val="black"/>
          <w:lang w:val="sq-AL"/>
        </w:rPr>
      </w:pPr>
      <w:r>
        <w:rPr>
          <w:rFonts w:hint="eastAsia"/>
          <w:highlight w:val="black"/>
          <w:lang w:val="sq-AL"/>
        </w:rPr>
        <w:t>（</w:t>
      </w:r>
      <w:r>
        <w:rPr>
          <w:rFonts w:hint="eastAsia"/>
          <w:highlight w:val="black"/>
        </w:rPr>
        <w:t>14</w:t>
      </w:r>
      <w:r>
        <w:rPr>
          <w:rFonts w:hint="eastAsia"/>
          <w:highlight w:val="black"/>
          <w:lang w:val="sq-AL"/>
        </w:rPr>
        <w:t>）《辽宁省安全生产监督管理局关于进一步规范非煤矿矿山安全生产行政许可管理工作的通知》（辽安监非煤〔2018〕29号）；</w:t>
      </w:r>
    </w:p>
    <w:p w14:paraId="0393176C">
      <w:pPr>
        <w:ind w:firstLine="583"/>
        <w:rPr>
          <w:highlight w:val="black"/>
          <w:lang w:val="sq-AL"/>
        </w:rPr>
      </w:pPr>
      <w:r>
        <w:rPr>
          <w:rFonts w:hint="eastAsia"/>
          <w:highlight w:val="black"/>
          <w:lang w:val="sq-AL"/>
        </w:rPr>
        <w:t>（</w:t>
      </w:r>
      <w:r>
        <w:rPr>
          <w:rFonts w:hint="eastAsia"/>
          <w:highlight w:val="black"/>
        </w:rPr>
        <w:t>15</w:t>
      </w:r>
      <w:r>
        <w:rPr>
          <w:rFonts w:hint="eastAsia"/>
          <w:highlight w:val="black"/>
          <w:lang w:val="sq-AL"/>
        </w:rPr>
        <w:t>）《辽宁省应急管理厅转发国家矿山安全监察局关于印发关于加强非煤矿山安全生产工作的指导意见的通知》（辽应急非煤〔2022〕2号，2022年3月7日）；</w:t>
      </w:r>
    </w:p>
    <w:p w14:paraId="3CF62CED">
      <w:pPr>
        <w:ind w:firstLine="583"/>
        <w:rPr>
          <w:highlight w:val="black"/>
        </w:rPr>
      </w:pPr>
      <w:r>
        <w:rPr>
          <w:rFonts w:hint="eastAsia"/>
          <w:highlight w:val="black"/>
          <w:lang w:val="sq-AL"/>
        </w:rPr>
        <w:t>（</w:t>
      </w:r>
      <w:r>
        <w:rPr>
          <w:rFonts w:hint="eastAsia"/>
          <w:highlight w:val="black"/>
        </w:rPr>
        <w:t>16</w:t>
      </w:r>
      <w:r>
        <w:rPr>
          <w:rFonts w:hint="eastAsia"/>
          <w:highlight w:val="black"/>
          <w:lang w:val="sq-AL"/>
        </w:rPr>
        <w:t>）</w:t>
      </w:r>
      <w:r>
        <w:rPr>
          <w:highlight w:val="black"/>
          <w:lang w:val="sq-AL"/>
        </w:rPr>
        <w:t>《国家矿山安全监察局关于</w:t>
      </w:r>
      <w:r>
        <w:rPr>
          <w:rFonts w:hint="eastAsia"/>
          <w:highlight w:val="black"/>
          <w:lang w:val="sq-AL"/>
        </w:rPr>
        <w:t>印发〈</w:t>
      </w:r>
      <w:r>
        <w:rPr>
          <w:rFonts w:hint="eastAsia"/>
          <w:highlight w:val="black"/>
        </w:rPr>
        <w:t>关于加强非煤矿山安全生产工作的指导意见〉的通知</w:t>
      </w:r>
      <w:r>
        <w:rPr>
          <w:highlight w:val="black"/>
          <w:lang w:val="sq-AL"/>
        </w:rPr>
        <w:t>》</w:t>
      </w:r>
      <w:r>
        <w:rPr>
          <w:rFonts w:hint="eastAsia"/>
          <w:highlight w:val="black"/>
          <w:lang w:val="sq-AL"/>
        </w:rPr>
        <w:t>（</w:t>
      </w:r>
      <w:r>
        <w:rPr>
          <w:highlight w:val="black"/>
          <w:lang w:val="sq-AL"/>
        </w:rPr>
        <w:t>矿安</w:t>
      </w:r>
      <w:r>
        <w:rPr>
          <w:rFonts w:hint="eastAsia"/>
          <w:highlight w:val="black"/>
        </w:rPr>
        <w:t>〔</w:t>
      </w:r>
      <w:r>
        <w:rPr>
          <w:highlight w:val="black"/>
        </w:rPr>
        <w:t>202</w:t>
      </w:r>
      <w:r>
        <w:rPr>
          <w:rFonts w:hint="eastAsia"/>
          <w:highlight w:val="black"/>
        </w:rPr>
        <w:t>2〕4</w:t>
      </w:r>
      <w:r>
        <w:rPr>
          <w:highlight w:val="black"/>
        </w:rPr>
        <w:t>号</w:t>
      </w:r>
      <w:r>
        <w:rPr>
          <w:highlight w:val="black"/>
          <w:lang w:val="sq-AL"/>
        </w:rPr>
        <w:t>，国家矿山安全监察局，</w:t>
      </w:r>
      <w:r>
        <w:rPr>
          <w:highlight w:val="black"/>
        </w:rPr>
        <w:t>202</w:t>
      </w:r>
      <w:r>
        <w:rPr>
          <w:rFonts w:hint="eastAsia"/>
          <w:highlight w:val="black"/>
        </w:rPr>
        <w:t>2</w:t>
      </w:r>
      <w:r>
        <w:rPr>
          <w:highlight w:val="black"/>
        </w:rPr>
        <w:t>年</w:t>
      </w:r>
      <w:r>
        <w:rPr>
          <w:rFonts w:hint="eastAsia"/>
          <w:highlight w:val="black"/>
        </w:rPr>
        <w:t>2</w:t>
      </w:r>
      <w:r>
        <w:rPr>
          <w:highlight w:val="black"/>
        </w:rPr>
        <w:t>月</w:t>
      </w:r>
      <w:r>
        <w:rPr>
          <w:rFonts w:hint="eastAsia"/>
          <w:highlight w:val="black"/>
        </w:rPr>
        <w:t>8</w:t>
      </w:r>
      <w:r>
        <w:rPr>
          <w:highlight w:val="black"/>
        </w:rPr>
        <w:t>日</w:t>
      </w:r>
      <w:r>
        <w:rPr>
          <w:rFonts w:hint="eastAsia"/>
          <w:highlight w:val="black"/>
          <w:lang w:val="sq-AL"/>
        </w:rPr>
        <w:t>）</w:t>
      </w:r>
      <w:r>
        <w:rPr>
          <w:rFonts w:hint="eastAsia"/>
          <w:highlight w:val="black"/>
        </w:rPr>
        <w:t>；</w:t>
      </w:r>
    </w:p>
    <w:p w14:paraId="4B265DC2">
      <w:pPr>
        <w:ind w:firstLine="583"/>
        <w:rPr>
          <w:highlight w:val="black"/>
          <w:lang w:val="en-GB"/>
        </w:rPr>
      </w:pPr>
      <w:r>
        <w:rPr>
          <w:rFonts w:hint="eastAsia"/>
          <w:highlight w:val="black"/>
          <w:lang w:val="en-GB"/>
        </w:rPr>
        <w:t>（</w:t>
      </w:r>
      <w:r>
        <w:rPr>
          <w:rFonts w:hint="eastAsia"/>
          <w:highlight w:val="black"/>
        </w:rPr>
        <w:t>17</w:t>
      </w:r>
      <w:r>
        <w:rPr>
          <w:rFonts w:hint="eastAsia"/>
          <w:highlight w:val="black"/>
          <w:lang w:val="en-GB"/>
        </w:rPr>
        <w:t>）《国家矿山安全监察局关于印发〈非煤矿山建设项目安全设施重大变更范围〉的通知》（矿安〔2023〕147号，2023年11月14日）；</w:t>
      </w:r>
    </w:p>
    <w:p w14:paraId="19E7B744">
      <w:pPr>
        <w:ind w:firstLine="583"/>
        <w:rPr>
          <w:snapToGrid w:val="0"/>
          <w:kern w:val="0"/>
          <w:szCs w:val="28"/>
          <w:highlight w:val="black"/>
        </w:rPr>
      </w:pPr>
      <w:r>
        <w:rPr>
          <w:rFonts w:hint="eastAsia"/>
          <w:snapToGrid w:val="0"/>
          <w:color w:val="000000"/>
          <w:kern w:val="0"/>
          <w:szCs w:val="28"/>
          <w:highlight w:val="black"/>
        </w:rPr>
        <w:t>（18）</w:t>
      </w:r>
      <w:r>
        <w:rPr>
          <w:snapToGrid w:val="0"/>
          <w:color w:val="000000"/>
          <w:kern w:val="0"/>
          <w:szCs w:val="28"/>
          <w:highlight w:val="black"/>
        </w:rPr>
        <w:t>《关于印发执行安全标志管理的矿用产品目录的通知》（矿安</w:t>
      </w:r>
      <w:r>
        <w:rPr>
          <w:rFonts w:hint="eastAsia"/>
          <w:snapToGrid w:val="0"/>
          <w:color w:val="000000"/>
          <w:kern w:val="0"/>
          <w:szCs w:val="28"/>
          <w:highlight w:val="black"/>
        </w:rPr>
        <w:t>〔2022〕123号</w:t>
      </w:r>
      <w:r>
        <w:rPr>
          <w:rFonts w:hint="eastAsia"/>
          <w:snapToGrid w:val="0"/>
          <w:kern w:val="0"/>
          <w:szCs w:val="28"/>
          <w:highlight w:val="black"/>
        </w:rPr>
        <w:t>，自2022年12月10日起施行</w:t>
      </w:r>
      <w:r>
        <w:rPr>
          <w:snapToGrid w:val="0"/>
          <w:kern w:val="0"/>
          <w:szCs w:val="28"/>
          <w:highlight w:val="black"/>
        </w:rPr>
        <w:t>）；</w:t>
      </w:r>
    </w:p>
    <w:p w14:paraId="696E72BC">
      <w:pPr>
        <w:ind w:firstLine="583"/>
        <w:rPr>
          <w:snapToGrid w:val="0"/>
          <w:color w:val="000000"/>
          <w:kern w:val="0"/>
          <w:szCs w:val="28"/>
          <w:highlight w:val="black"/>
        </w:rPr>
      </w:pPr>
      <w:r>
        <w:rPr>
          <w:rFonts w:hint="eastAsia"/>
          <w:snapToGrid w:val="0"/>
          <w:color w:val="000000"/>
          <w:kern w:val="0"/>
          <w:szCs w:val="28"/>
          <w:highlight w:val="black"/>
        </w:rPr>
        <w:t>（19）《国家矿山安全监察局印发〈关于进一步强化安全生产责任落实坚决防范遏制矿山重特大事故的若干措施〉的通知》矿安〔2022〕70号；</w:t>
      </w:r>
    </w:p>
    <w:p w14:paraId="4D3477A1">
      <w:pPr>
        <w:ind w:firstLine="583"/>
        <w:rPr>
          <w:snapToGrid w:val="0"/>
          <w:color w:val="000000"/>
          <w:kern w:val="0"/>
          <w:szCs w:val="28"/>
          <w:highlight w:val="black"/>
        </w:rPr>
      </w:pPr>
      <w:r>
        <w:rPr>
          <w:rFonts w:hint="eastAsia"/>
          <w:snapToGrid w:val="0"/>
          <w:color w:val="000000"/>
          <w:kern w:val="0"/>
          <w:szCs w:val="28"/>
          <w:highlight w:val="black"/>
        </w:rPr>
        <w:t>（20）</w:t>
      </w:r>
      <w:r>
        <w:rPr>
          <w:snapToGrid w:val="0"/>
          <w:color w:val="000000"/>
          <w:kern w:val="0"/>
          <w:szCs w:val="28"/>
          <w:highlight w:val="black"/>
        </w:rPr>
        <w:t>《国家矿山安全监察局关于印发〈地下矿山动火作业安全管理规定〉的通知》矿安〔2023〕149号</w:t>
      </w:r>
      <w:r>
        <w:rPr>
          <w:rFonts w:hint="eastAsia"/>
          <w:snapToGrid w:val="0"/>
          <w:color w:val="000000"/>
          <w:kern w:val="0"/>
          <w:szCs w:val="28"/>
          <w:highlight w:val="black"/>
        </w:rPr>
        <w:t>；</w:t>
      </w:r>
    </w:p>
    <w:p w14:paraId="70DE3374">
      <w:pPr>
        <w:ind w:firstLine="583"/>
        <w:rPr>
          <w:snapToGrid w:val="0"/>
          <w:color w:val="000000"/>
          <w:kern w:val="0"/>
          <w:szCs w:val="28"/>
          <w:highlight w:val="black"/>
        </w:rPr>
      </w:pPr>
      <w:r>
        <w:rPr>
          <w:rFonts w:hint="eastAsia"/>
          <w:snapToGrid w:val="0"/>
          <w:color w:val="000000"/>
          <w:kern w:val="0"/>
          <w:szCs w:val="28"/>
          <w:highlight w:val="black"/>
        </w:rPr>
        <w:t>（21）</w:t>
      </w:r>
      <w:r>
        <w:rPr>
          <w:snapToGrid w:val="0"/>
          <w:color w:val="000000"/>
          <w:kern w:val="0"/>
          <w:szCs w:val="28"/>
          <w:highlight w:val="black"/>
        </w:rPr>
        <w:t>《</w:t>
      </w:r>
      <w:r>
        <w:rPr>
          <w:rFonts w:hint="eastAsia"/>
          <w:snapToGrid w:val="0"/>
          <w:color w:val="000000"/>
          <w:kern w:val="0"/>
          <w:szCs w:val="28"/>
          <w:highlight w:val="black"/>
        </w:rPr>
        <w:t>国务院安全生产委员会印发</w:t>
      </w:r>
      <w:r>
        <w:rPr>
          <w:snapToGrid w:val="0"/>
          <w:color w:val="000000"/>
          <w:kern w:val="0"/>
          <w:szCs w:val="28"/>
          <w:highlight w:val="black"/>
        </w:rPr>
        <w:t>〈</w:t>
      </w:r>
      <w:r>
        <w:rPr>
          <w:rFonts w:hint="eastAsia"/>
          <w:snapToGrid w:val="0"/>
          <w:color w:val="000000"/>
          <w:kern w:val="0"/>
          <w:szCs w:val="28"/>
          <w:highlight w:val="black"/>
        </w:rPr>
        <w:t>关于防范遏制矿山领域重特大生产安全事故的硬措施</w:t>
      </w:r>
      <w:r>
        <w:rPr>
          <w:snapToGrid w:val="0"/>
          <w:color w:val="000000"/>
          <w:kern w:val="0"/>
          <w:szCs w:val="28"/>
          <w:highlight w:val="black"/>
        </w:rPr>
        <w:t>〉</w:t>
      </w:r>
      <w:r>
        <w:rPr>
          <w:rFonts w:hint="eastAsia"/>
          <w:snapToGrid w:val="0"/>
          <w:color w:val="000000"/>
          <w:kern w:val="0"/>
          <w:szCs w:val="28"/>
          <w:highlight w:val="black"/>
        </w:rPr>
        <w:t>的通知</w:t>
      </w:r>
      <w:r>
        <w:rPr>
          <w:snapToGrid w:val="0"/>
          <w:color w:val="000000"/>
          <w:kern w:val="0"/>
          <w:szCs w:val="28"/>
          <w:highlight w:val="black"/>
        </w:rPr>
        <w:t>》</w:t>
      </w:r>
      <w:r>
        <w:rPr>
          <w:rFonts w:hint="eastAsia"/>
          <w:snapToGrid w:val="0"/>
          <w:color w:val="000000"/>
          <w:kern w:val="0"/>
          <w:szCs w:val="28"/>
          <w:highlight w:val="black"/>
        </w:rPr>
        <w:t>安委〔2024〕1号；</w:t>
      </w:r>
    </w:p>
    <w:p w14:paraId="1768CC6C">
      <w:pPr>
        <w:pStyle w:val="24"/>
        <w:ind w:firstLine="583"/>
        <w:rPr>
          <w:highlight w:val="black"/>
          <w:lang w:val="en-GB"/>
        </w:rPr>
      </w:pPr>
      <w:r>
        <w:rPr>
          <w:rFonts w:hint="eastAsia"/>
          <w:snapToGrid w:val="0"/>
          <w:color w:val="000000"/>
          <w:kern w:val="0"/>
          <w:szCs w:val="28"/>
          <w:highlight w:val="black"/>
        </w:rPr>
        <w:t>（22）《国家矿山安全监察局关于开展非煤地下矿山隐蔽致灾因素普查治理工作的通知》矿安〔2022〕76号；</w:t>
      </w:r>
    </w:p>
    <w:p w14:paraId="2A7718A3">
      <w:pPr>
        <w:ind w:firstLine="583"/>
        <w:rPr>
          <w:highlight w:val="black"/>
          <w:lang w:val="en-GB"/>
        </w:rPr>
      </w:pPr>
      <w:r>
        <w:rPr>
          <w:rFonts w:hint="eastAsia"/>
          <w:szCs w:val="28"/>
          <w:highlight w:val="black"/>
        </w:rPr>
        <w:t>（23）</w:t>
      </w:r>
      <w:r>
        <w:rPr>
          <w:szCs w:val="28"/>
          <w:highlight w:val="black"/>
          <w:lang w:val="sq-AL"/>
        </w:rPr>
        <w:t>《国家安全监管总局关于印发金属非金属矿山建设项目安全评价报告编写提纲的通知》（安监总管—〔2016〕49号，2016年5月30日实施）</w:t>
      </w:r>
      <w:r>
        <w:rPr>
          <w:rFonts w:hint="eastAsia"/>
          <w:szCs w:val="28"/>
          <w:highlight w:val="black"/>
          <w:lang w:val="sq-AL"/>
        </w:rPr>
        <w:t>；</w:t>
      </w:r>
    </w:p>
    <w:p w14:paraId="35F8F10B">
      <w:pPr>
        <w:ind w:firstLine="583"/>
        <w:rPr>
          <w:highlight w:val="black"/>
        </w:rPr>
      </w:pPr>
      <w:r>
        <w:rPr>
          <w:rFonts w:hint="eastAsia"/>
          <w:highlight w:val="black"/>
        </w:rPr>
        <w:t>（24）</w:t>
      </w:r>
      <w:r>
        <w:rPr>
          <w:highlight w:val="black"/>
        </w:rPr>
        <w:t>《关于印发执行安全标志管理的矿用产品目录的通知》（矿安</w:t>
      </w:r>
      <w:r>
        <w:rPr>
          <w:rFonts w:hint="eastAsia"/>
          <w:highlight w:val="black"/>
        </w:rPr>
        <w:t>〔</w:t>
      </w:r>
      <w:r>
        <w:rPr>
          <w:highlight w:val="black"/>
        </w:rPr>
        <w:t>2022</w:t>
      </w:r>
      <w:r>
        <w:rPr>
          <w:rFonts w:hint="eastAsia"/>
          <w:highlight w:val="black"/>
        </w:rPr>
        <w:t>〕</w:t>
      </w:r>
      <w:r>
        <w:rPr>
          <w:highlight w:val="black"/>
        </w:rPr>
        <w:t>123号</w:t>
      </w:r>
      <w:r>
        <w:rPr>
          <w:rFonts w:hint="eastAsia"/>
          <w:highlight w:val="black"/>
        </w:rPr>
        <w:t>，自2022年12月10日起施行</w:t>
      </w:r>
      <w:r>
        <w:rPr>
          <w:highlight w:val="black"/>
        </w:rPr>
        <w:t>）；</w:t>
      </w:r>
    </w:p>
    <w:p w14:paraId="2A4405F2">
      <w:pPr>
        <w:ind w:firstLine="583"/>
        <w:rPr>
          <w:rFonts w:hint="eastAsia" w:eastAsia="宋体"/>
          <w:highlight w:val="black"/>
          <w:lang w:eastAsia="zh-CN"/>
        </w:rPr>
      </w:pPr>
      <w:r>
        <w:rPr>
          <w:rFonts w:hint="eastAsia"/>
          <w:highlight w:val="black"/>
        </w:rPr>
        <w:t>（25）</w:t>
      </w:r>
      <w:r>
        <w:rPr>
          <w:highlight w:val="black"/>
        </w:rPr>
        <w:t>《国家矿山安全监察局关于印发《金属非金属矿山重大事故隐患判定标准补充情形》的通知》（矿安〔2024〕41号</w:t>
      </w:r>
      <w:r>
        <w:rPr>
          <w:rFonts w:hint="eastAsia"/>
          <w:highlight w:val="black"/>
        </w:rPr>
        <w:t>，</w:t>
      </w:r>
      <w:r>
        <w:rPr>
          <w:highlight w:val="black"/>
          <w:lang w:val="sq-AL"/>
        </w:rPr>
        <w:t>国家矿山安全监察局，</w:t>
      </w:r>
      <w:r>
        <w:rPr>
          <w:highlight w:val="black"/>
        </w:rPr>
        <w:t>202</w:t>
      </w:r>
      <w:r>
        <w:rPr>
          <w:rFonts w:hint="eastAsia"/>
          <w:highlight w:val="black"/>
        </w:rPr>
        <w:t>4</w:t>
      </w:r>
      <w:r>
        <w:rPr>
          <w:highlight w:val="black"/>
        </w:rPr>
        <w:t>年</w:t>
      </w:r>
      <w:r>
        <w:rPr>
          <w:rFonts w:hint="eastAsia"/>
          <w:highlight w:val="black"/>
        </w:rPr>
        <w:t>4</w:t>
      </w:r>
      <w:r>
        <w:rPr>
          <w:highlight w:val="black"/>
        </w:rPr>
        <w:t>月</w:t>
      </w:r>
      <w:r>
        <w:rPr>
          <w:rFonts w:hint="eastAsia"/>
          <w:highlight w:val="black"/>
        </w:rPr>
        <w:t>23</w:t>
      </w:r>
      <w:r>
        <w:rPr>
          <w:highlight w:val="black"/>
        </w:rPr>
        <w:t>日）</w:t>
      </w:r>
      <w:r>
        <w:rPr>
          <w:rFonts w:hint="eastAsia"/>
          <w:highlight w:val="black"/>
          <w:lang w:eastAsia="zh-CN"/>
        </w:rPr>
        <w:t>；</w:t>
      </w:r>
    </w:p>
    <w:p w14:paraId="0EA4CB51">
      <w:pPr>
        <w:ind w:firstLine="583"/>
        <w:rPr>
          <w:highlight w:val="black"/>
        </w:rPr>
      </w:pPr>
      <w:r>
        <w:rPr>
          <w:rFonts w:hint="eastAsia"/>
          <w:highlight w:val="black"/>
        </w:rPr>
        <w:t>（26）《国家矿山安全监察局关于进一步加强非煤矿山安全生产行政许可工作的通知》（矿安〔2024〕70号，2024年6月28日）</w:t>
      </w:r>
    </w:p>
    <w:p w14:paraId="631890F4">
      <w:pPr>
        <w:ind w:firstLine="583"/>
        <w:rPr>
          <w:highlight w:val="black"/>
        </w:rPr>
      </w:pPr>
      <w:r>
        <w:rPr>
          <w:rFonts w:hint="eastAsia"/>
          <w:highlight w:val="black"/>
        </w:rPr>
        <w:t>（27）《国家矿山安全监察局关于印发2024年矿山安全先进适用技术及装备推广目录与落后工艺及设备淘汰目录的通知》（矿安〔2024〕68号，自2024年6月17日起施行）；</w:t>
      </w:r>
    </w:p>
    <w:p w14:paraId="407DD920">
      <w:pPr>
        <w:ind w:firstLine="583"/>
        <w:rPr>
          <w:highlight w:val="black"/>
        </w:rPr>
      </w:pPr>
      <w:r>
        <w:rPr>
          <w:rFonts w:hint="eastAsia"/>
          <w:highlight w:val="black"/>
        </w:rPr>
        <w:t>（28）《关于深入推进矿山智能化建设促进矿山安全发展的指导意见》（国家矿山安监局、应急管理部、国家发展改革委、工业和信息化部、科技部、财政部、教育部，自2024年4月24日起施行）；</w:t>
      </w:r>
    </w:p>
    <w:p w14:paraId="36FF7D76">
      <w:pPr>
        <w:ind w:firstLine="583"/>
        <w:rPr>
          <w:highlight w:val="black"/>
        </w:rPr>
      </w:pPr>
      <w:r>
        <w:rPr>
          <w:rFonts w:hint="eastAsia"/>
          <w:highlight w:val="black"/>
        </w:rPr>
        <w:t>（29）</w:t>
      </w:r>
      <w:r>
        <w:rPr>
          <w:highlight w:val="black"/>
        </w:rPr>
        <w:t>《矿山救援规程》</w:t>
      </w:r>
      <w:r>
        <w:rPr>
          <w:rFonts w:hint="eastAsia"/>
          <w:highlight w:val="black"/>
        </w:rPr>
        <w:t>（</w:t>
      </w:r>
      <w:r>
        <w:rPr>
          <w:highlight w:val="black"/>
        </w:rPr>
        <w:t>中华人民共和国应急管理部令第16号，自2024年7月1日起施行</w:t>
      </w:r>
      <w:r>
        <w:rPr>
          <w:rFonts w:hint="eastAsia"/>
          <w:highlight w:val="black"/>
        </w:rPr>
        <w:t>）；</w:t>
      </w:r>
    </w:p>
    <w:p w14:paraId="027CF3BC">
      <w:pPr>
        <w:ind w:firstLine="583"/>
        <w:rPr>
          <w:highlight w:val="black"/>
          <w:lang w:val="zh-CN"/>
        </w:rPr>
      </w:pPr>
      <w:r>
        <w:rPr>
          <w:rFonts w:hint="eastAsia"/>
          <w:highlight w:val="black"/>
          <w:lang w:val="zh-CN"/>
        </w:rPr>
        <w:t>（</w:t>
      </w:r>
      <w:r>
        <w:rPr>
          <w:rFonts w:hint="eastAsia"/>
          <w:highlight w:val="black"/>
        </w:rPr>
        <w:t>30</w:t>
      </w:r>
      <w:r>
        <w:rPr>
          <w:rFonts w:hint="eastAsia"/>
          <w:highlight w:val="black"/>
          <w:lang w:val="zh-CN"/>
        </w:rPr>
        <w:t>）</w:t>
      </w:r>
      <w:r>
        <w:rPr>
          <w:highlight w:val="black"/>
          <w:lang w:val="zh-CN"/>
        </w:rPr>
        <w:t>《国务院安全生产委员会印发</w:t>
      </w:r>
      <w:r>
        <w:rPr>
          <w:rFonts w:hint="eastAsia"/>
          <w:highlight w:val="black"/>
          <w:lang w:val="zh-CN"/>
        </w:rPr>
        <w:t>〈</w:t>
      </w:r>
      <w:r>
        <w:rPr>
          <w:highlight w:val="black"/>
          <w:lang w:val="zh-CN"/>
        </w:rPr>
        <w:t>关于防范遏制矿山领域重特大生产安全事故的硬措施</w:t>
      </w:r>
      <w:r>
        <w:rPr>
          <w:rFonts w:hint="eastAsia"/>
          <w:highlight w:val="black"/>
          <w:lang w:val="zh-CN"/>
        </w:rPr>
        <w:t>〉</w:t>
      </w:r>
      <w:r>
        <w:rPr>
          <w:highlight w:val="black"/>
          <w:lang w:val="zh-CN"/>
        </w:rPr>
        <w:t>的通知》</w:t>
      </w:r>
      <w:r>
        <w:rPr>
          <w:rFonts w:hint="eastAsia"/>
          <w:highlight w:val="black"/>
          <w:lang w:val="zh-CN"/>
        </w:rPr>
        <w:t>（</w:t>
      </w:r>
      <w:r>
        <w:rPr>
          <w:highlight w:val="black"/>
          <w:lang w:val="zh-CN"/>
        </w:rPr>
        <w:t>安委〔2024〕1号，自2024年1月16日起施行</w:t>
      </w:r>
      <w:r>
        <w:rPr>
          <w:rFonts w:hint="eastAsia"/>
          <w:highlight w:val="black"/>
          <w:lang w:val="zh-CN"/>
        </w:rPr>
        <w:t>）</w:t>
      </w:r>
      <w:r>
        <w:rPr>
          <w:highlight w:val="black"/>
          <w:lang w:val="zh-CN"/>
        </w:rPr>
        <w:t>；</w:t>
      </w:r>
    </w:p>
    <w:p w14:paraId="0E9F1AF0">
      <w:pPr>
        <w:ind w:firstLine="583"/>
        <w:rPr>
          <w:highlight w:val="black"/>
          <w:lang w:val="zh-CN"/>
        </w:rPr>
      </w:pPr>
      <w:r>
        <w:rPr>
          <w:rFonts w:hint="eastAsia"/>
          <w:highlight w:val="black"/>
          <w:lang w:val="zh-CN"/>
        </w:rPr>
        <w:t>（</w:t>
      </w:r>
      <w:r>
        <w:rPr>
          <w:rFonts w:hint="eastAsia"/>
          <w:highlight w:val="black"/>
        </w:rPr>
        <w:t>31</w:t>
      </w:r>
      <w:r>
        <w:rPr>
          <w:rFonts w:hint="eastAsia"/>
          <w:highlight w:val="black"/>
          <w:lang w:val="zh-CN"/>
        </w:rPr>
        <w:t>）</w:t>
      </w:r>
      <w:r>
        <w:rPr>
          <w:highlight w:val="black"/>
          <w:lang w:val="zh-CN"/>
        </w:rPr>
        <w:t>《辽宁省应急管理厅 国家矿山安全监察局辽宁局关于印发</w:t>
      </w:r>
      <w:r>
        <w:rPr>
          <w:rFonts w:hint="eastAsia"/>
          <w:highlight w:val="black"/>
          <w:lang w:val="zh-CN"/>
        </w:rPr>
        <w:t>〈</w:t>
      </w:r>
      <w:r>
        <w:rPr>
          <w:highlight w:val="black"/>
          <w:lang w:val="zh-CN"/>
        </w:rPr>
        <w:t>辽宁省金属非金属地下矿山顶板管理指导意见</w:t>
      </w:r>
      <w:r>
        <w:rPr>
          <w:rFonts w:hint="eastAsia"/>
          <w:highlight w:val="black"/>
          <w:lang w:val="zh-CN"/>
        </w:rPr>
        <w:t>（</w:t>
      </w:r>
      <w:r>
        <w:rPr>
          <w:highlight w:val="black"/>
          <w:lang w:val="zh-CN"/>
        </w:rPr>
        <w:t>试行</w:t>
      </w:r>
      <w:r>
        <w:rPr>
          <w:rFonts w:hint="eastAsia"/>
          <w:highlight w:val="black"/>
          <w:lang w:val="zh-CN"/>
        </w:rPr>
        <w:t>）〉</w:t>
      </w:r>
      <w:r>
        <w:rPr>
          <w:highlight w:val="black"/>
          <w:lang w:val="zh-CN"/>
        </w:rPr>
        <w:t>的通知》</w:t>
      </w:r>
      <w:r>
        <w:rPr>
          <w:rFonts w:hint="eastAsia"/>
          <w:highlight w:val="black"/>
          <w:lang w:val="zh-CN"/>
        </w:rPr>
        <w:t>（</w:t>
      </w:r>
      <w:r>
        <w:rPr>
          <w:highlight w:val="black"/>
          <w:lang w:val="zh-CN"/>
        </w:rPr>
        <w:t>矿安辽〔2023〕74号，自2023年12月7日起施行</w:t>
      </w:r>
      <w:r>
        <w:rPr>
          <w:rFonts w:hint="eastAsia"/>
          <w:highlight w:val="black"/>
          <w:lang w:val="zh-CN"/>
        </w:rPr>
        <w:t>）</w:t>
      </w:r>
      <w:r>
        <w:rPr>
          <w:highlight w:val="black"/>
          <w:lang w:val="zh-CN"/>
        </w:rPr>
        <w:t>；</w:t>
      </w:r>
    </w:p>
    <w:p w14:paraId="08D9200B">
      <w:pPr>
        <w:pStyle w:val="4"/>
        <w:ind w:firstLine="0" w:firstLineChars="0"/>
      </w:pPr>
      <w:r>
        <w:t>1.2.</w:t>
      </w:r>
      <w:r>
        <w:rPr>
          <w:rFonts w:hint="eastAsia"/>
        </w:rPr>
        <w:t>3</w:t>
      </w:r>
      <w:r>
        <w:t xml:space="preserve"> </w:t>
      </w:r>
      <w:r>
        <w:rPr>
          <w:rFonts w:hint="eastAsia"/>
        </w:rPr>
        <w:t>标准规范</w:t>
      </w:r>
      <w:bookmarkEnd w:id="77"/>
      <w:bookmarkEnd w:id="78"/>
      <w:bookmarkEnd w:id="79"/>
    </w:p>
    <w:p w14:paraId="0CAEE89E">
      <w:pPr>
        <w:adjustRightInd w:val="0"/>
        <w:ind w:firstLine="583"/>
        <w:rPr>
          <w:szCs w:val="28"/>
          <w:highlight w:val="black"/>
          <w:lang w:val="sq-AL"/>
        </w:rPr>
      </w:pPr>
      <w:r>
        <w:rPr>
          <w:rFonts w:hint="eastAsia"/>
          <w:szCs w:val="28"/>
          <w:highlight w:val="black"/>
          <w:lang w:val="sq-AL"/>
        </w:rPr>
        <w:t>（</w:t>
      </w:r>
      <w:r>
        <w:rPr>
          <w:rFonts w:hint="eastAsia"/>
          <w:szCs w:val="28"/>
          <w:highlight w:val="black"/>
        </w:rPr>
        <w:t>1</w:t>
      </w:r>
      <w:r>
        <w:rPr>
          <w:rFonts w:hint="eastAsia"/>
          <w:szCs w:val="28"/>
          <w:highlight w:val="black"/>
          <w:lang w:val="sq-AL"/>
        </w:rPr>
        <w:t>）</w:t>
      </w:r>
      <w:r>
        <w:rPr>
          <w:szCs w:val="28"/>
          <w:highlight w:val="black"/>
          <w:lang w:val="sq-AL"/>
        </w:rPr>
        <w:t>《企业职工伤亡事故分类》（GB6441-1986）；</w:t>
      </w:r>
    </w:p>
    <w:p w14:paraId="2D1EA5BB">
      <w:pPr>
        <w:adjustRightInd w:val="0"/>
        <w:ind w:firstLine="583"/>
        <w:rPr>
          <w:szCs w:val="28"/>
          <w:highlight w:val="black"/>
          <w:lang w:val="sq-AL"/>
        </w:rPr>
      </w:pPr>
      <w:r>
        <w:rPr>
          <w:rFonts w:hint="eastAsia"/>
          <w:szCs w:val="28"/>
          <w:highlight w:val="black"/>
          <w:lang w:val="sq-AL"/>
        </w:rPr>
        <w:t>（</w:t>
      </w:r>
      <w:r>
        <w:rPr>
          <w:rFonts w:hint="eastAsia"/>
          <w:szCs w:val="28"/>
          <w:highlight w:val="black"/>
        </w:rPr>
        <w:t>2</w:t>
      </w:r>
      <w:r>
        <w:rPr>
          <w:rFonts w:hint="eastAsia"/>
          <w:szCs w:val="28"/>
          <w:highlight w:val="black"/>
          <w:lang w:val="sq-AL"/>
        </w:rPr>
        <w:t>）</w:t>
      </w:r>
      <w:r>
        <w:rPr>
          <w:szCs w:val="28"/>
          <w:highlight w:val="black"/>
          <w:lang w:val="sq-AL"/>
        </w:rPr>
        <w:t>《厂矿道路设计设计规范》（GBJ22-1987）；</w:t>
      </w:r>
    </w:p>
    <w:p w14:paraId="0BC8B07B">
      <w:pPr>
        <w:adjustRightInd w:val="0"/>
        <w:ind w:firstLine="583"/>
        <w:rPr>
          <w:szCs w:val="28"/>
          <w:highlight w:val="black"/>
          <w:lang w:val="sq-AL"/>
        </w:rPr>
      </w:pPr>
      <w:r>
        <w:rPr>
          <w:rFonts w:hint="eastAsia"/>
          <w:szCs w:val="28"/>
          <w:highlight w:val="black"/>
          <w:lang w:val="sq-AL"/>
        </w:rPr>
        <w:t>（</w:t>
      </w:r>
      <w:r>
        <w:rPr>
          <w:rFonts w:hint="eastAsia"/>
          <w:szCs w:val="28"/>
          <w:highlight w:val="black"/>
        </w:rPr>
        <w:t>3</w:t>
      </w:r>
      <w:r>
        <w:rPr>
          <w:rFonts w:hint="eastAsia"/>
          <w:szCs w:val="28"/>
          <w:highlight w:val="black"/>
          <w:lang w:val="sq-AL"/>
        </w:rPr>
        <w:t>）</w:t>
      </w:r>
      <w:r>
        <w:rPr>
          <w:szCs w:val="28"/>
          <w:highlight w:val="black"/>
          <w:lang w:val="sq-AL"/>
        </w:rPr>
        <w:t>《工作场所有害因素职业接触限值 物理因素》（GBZ2.2-2007）；</w:t>
      </w:r>
    </w:p>
    <w:p w14:paraId="2D272558">
      <w:pPr>
        <w:adjustRightInd w:val="0"/>
        <w:ind w:firstLine="583"/>
        <w:rPr>
          <w:szCs w:val="28"/>
          <w:highlight w:val="black"/>
          <w:lang w:val="sq-AL"/>
        </w:rPr>
      </w:pPr>
      <w:r>
        <w:rPr>
          <w:rFonts w:hint="eastAsia"/>
          <w:szCs w:val="28"/>
          <w:highlight w:val="black"/>
          <w:lang w:val="sq-AL"/>
        </w:rPr>
        <w:t>（</w:t>
      </w:r>
      <w:r>
        <w:rPr>
          <w:rFonts w:hint="eastAsia"/>
          <w:szCs w:val="28"/>
          <w:highlight w:val="black"/>
        </w:rPr>
        <w:t>4</w:t>
      </w:r>
      <w:r>
        <w:rPr>
          <w:rFonts w:hint="eastAsia"/>
          <w:szCs w:val="28"/>
          <w:highlight w:val="black"/>
          <w:lang w:val="sq-AL"/>
        </w:rPr>
        <w:t>）</w:t>
      </w:r>
      <w:r>
        <w:rPr>
          <w:szCs w:val="28"/>
          <w:highlight w:val="black"/>
          <w:lang w:val="sq-AL"/>
        </w:rPr>
        <w:t>《工业企业厂内铁路、道路运输安全规程》（GB4387-2008）；</w:t>
      </w:r>
    </w:p>
    <w:p w14:paraId="51D05F75">
      <w:pPr>
        <w:adjustRightInd w:val="0"/>
        <w:ind w:firstLine="583"/>
        <w:rPr>
          <w:szCs w:val="28"/>
          <w:highlight w:val="black"/>
          <w:lang w:val="sq-AL"/>
        </w:rPr>
      </w:pPr>
      <w:r>
        <w:rPr>
          <w:rFonts w:hint="eastAsia"/>
          <w:szCs w:val="28"/>
          <w:highlight w:val="black"/>
          <w:lang w:val="sq-AL"/>
        </w:rPr>
        <w:t>（</w:t>
      </w:r>
      <w:r>
        <w:rPr>
          <w:rFonts w:hint="eastAsia"/>
          <w:szCs w:val="28"/>
          <w:highlight w:val="black"/>
        </w:rPr>
        <w:t>5</w:t>
      </w:r>
      <w:r>
        <w:rPr>
          <w:rFonts w:hint="eastAsia"/>
          <w:szCs w:val="28"/>
          <w:highlight w:val="black"/>
          <w:lang w:val="sq-AL"/>
        </w:rPr>
        <w:t>）</w:t>
      </w:r>
      <w:r>
        <w:rPr>
          <w:szCs w:val="28"/>
          <w:highlight w:val="black"/>
          <w:lang w:val="sq-AL"/>
        </w:rPr>
        <w:t>《工业企业厂界环境噪声排放标准》（GB12348-2008）；</w:t>
      </w:r>
    </w:p>
    <w:p w14:paraId="41EAF813">
      <w:pPr>
        <w:adjustRightInd w:val="0"/>
        <w:ind w:firstLine="583"/>
        <w:rPr>
          <w:szCs w:val="28"/>
          <w:highlight w:val="black"/>
          <w:lang w:val="sq-AL"/>
        </w:rPr>
      </w:pPr>
      <w:r>
        <w:rPr>
          <w:rFonts w:hint="eastAsia"/>
          <w:szCs w:val="28"/>
          <w:highlight w:val="black"/>
          <w:lang w:val="sq-AL"/>
        </w:rPr>
        <w:t>（</w:t>
      </w:r>
      <w:r>
        <w:rPr>
          <w:rFonts w:hint="eastAsia"/>
          <w:szCs w:val="28"/>
          <w:highlight w:val="black"/>
        </w:rPr>
        <w:t>6</w:t>
      </w:r>
      <w:r>
        <w:rPr>
          <w:rFonts w:hint="eastAsia"/>
          <w:szCs w:val="28"/>
          <w:highlight w:val="black"/>
          <w:lang w:val="sq-AL"/>
        </w:rPr>
        <w:t>）</w:t>
      </w:r>
      <w:r>
        <w:rPr>
          <w:szCs w:val="28"/>
          <w:highlight w:val="black"/>
          <w:lang w:val="sq-AL"/>
        </w:rPr>
        <w:t>《建设灭火器配置验收及检查规范》（GB50444-2008）；</w:t>
      </w:r>
    </w:p>
    <w:p w14:paraId="6E3BD24E">
      <w:pPr>
        <w:adjustRightInd w:val="0"/>
        <w:ind w:firstLine="583"/>
        <w:rPr>
          <w:szCs w:val="28"/>
          <w:highlight w:val="black"/>
          <w:lang w:val="sq-AL"/>
        </w:rPr>
      </w:pPr>
      <w:r>
        <w:rPr>
          <w:rFonts w:hint="eastAsia"/>
          <w:szCs w:val="28"/>
          <w:highlight w:val="black"/>
          <w:lang w:val="sq-AL"/>
        </w:rPr>
        <w:t>（</w:t>
      </w:r>
      <w:r>
        <w:rPr>
          <w:rFonts w:hint="eastAsia"/>
          <w:szCs w:val="28"/>
          <w:highlight w:val="black"/>
        </w:rPr>
        <w:t>7</w:t>
      </w:r>
      <w:r>
        <w:rPr>
          <w:rFonts w:hint="eastAsia"/>
          <w:szCs w:val="28"/>
          <w:highlight w:val="black"/>
          <w:lang w:val="sq-AL"/>
        </w:rPr>
        <w:t>）</w:t>
      </w:r>
      <w:r>
        <w:rPr>
          <w:szCs w:val="28"/>
          <w:highlight w:val="black"/>
          <w:lang w:val="sq-AL"/>
        </w:rPr>
        <w:t>《安全标志及其使用导则》（GB2894-2008）；</w:t>
      </w:r>
    </w:p>
    <w:p w14:paraId="07FFFFA3">
      <w:pPr>
        <w:adjustRightInd w:val="0"/>
        <w:ind w:firstLine="583"/>
        <w:rPr>
          <w:szCs w:val="28"/>
          <w:highlight w:val="black"/>
          <w:lang w:val="en-GB"/>
        </w:rPr>
      </w:pPr>
      <w:r>
        <w:rPr>
          <w:rFonts w:hint="eastAsia"/>
          <w:szCs w:val="28"/>
          <w:highlight w:val="black"/>
          <w:lang w:val="en-GB"/>
        </w:rPr>
        <w:t>（</w:t>
      </w:r>
      <w:r>
        <w:rPr>
          <w:rFonts w:hint="eastAsia"/>
          <w:szCs w:val="28"/>
          <w:highlight w:val="black"/>
        </w:rPr>
        <w:t>8</w:t>
      </w:r>
      <w:r>
        <w:rPr>
          <w:rFonts w:hint="eastAsia"/>
          <w:szCs w:val="28"/>
          <w:highlight w:val="black"/>
          <w:lang w:val="en-GB"/>
        </w:rPr>
        <w:t>）</w:t>
      </w:r>
      <w:r>
        <w:rPr>
          <w:szCs w:val="28"/>
          <w:highlight w:val="black"/>
          <w:lang w:val="en-GB"/>
        </w:rPr>
        <w:t>《矿山安全标志》（GB14161-2008）；</w:t>
      </w:r>
    </w:p>
    <w:p w14:paraId="02FEC917">
      <w:pPr>
        <w:adjustRightInd w:val="0"/>
        <w:ind w:firstLine="583"/>
        <w:rPr>
          <w:szCs w:val="28"/>
          <w:highlight w:val="black"/>
          <w:lang w:val="en-GB"/>
        </w:rPr>
      </w:pPr>
      <w:r>
        <w:rPr>
          <w:rFonts w:hint="eastAsia"/>
          <w:szCs w:val="28"/>
          <w:highlight w:val="black"/>
          <w:lang w:val="en-GB"/>
        </w:rPr>
        <w:t>（</w:t>
      </w:r>
      <w:r>
        <w:rPr>
          <w:rFonts w:hint="eastAsia"/>
          <w:szCs w:val="28"/>
          <w:highlight w:val="black"/>
        </w:rPr>
        <w:t>9</w:t>
      </w:r>
      <w:r>
        <w:rPr>
          <w:rFonts w:hint="eastAsia"/>
          <w:szCs w:val="28"/>
          <w:highlight w:val="black"/>
          <w:lang w:val="en-GB"/>
        </w:rPr>
        <w:t>）</w:t>
      </w:r>
      <w:r>
        <w:rPr>
          <w:szCs w:val="28"/>
          <w:highlight w:val="black"/>
          <w:lang w:val="en-GB"/>
        </w:rPr>
        <w:t>《安全色》（GB2893-2008）；</w:t>
      </w:r>
    </w:p>
    <w:p w14:paraId="037525AA">
      <w:pPr>
        <w:adjustRightInd w:val="0"/>
        <w:ind w:firstLine="583"/>
        <w:rPr>
          <w:szCs w:val="28"/>
          <w:highlight w:val="black"/>
          <w:lang w:val="en-GB"/>
        </w:rPr>
      </w:pPr>
      <w:r>
        <w:rPr>
          <w:rFonts w:hint="eastAsia"/>
          <w:szCs w:val="28"/>
          <w:highlight w:val="black"/>
          <w:lang w:val="en-GB"/>
        </w:rPr>
        <w:t>（</w:t>
      </w:r>
      <w:r>
        <w:rPr>
          <w:rFonts w:hint="eastAsia"/>
          <w:szCs w:val="28"/>
          <w:highlight w:val="black"/>
        </w:rPr>
        <w:t>10</w:t>
      </w:r>
      <w:r>
        <w:rPr>
          <w:rFonts w:hint="eastAsia"/>
          <w:szCs w:val="28"/>
          <w:highlight w:val="black"/>
          <w:lang w:val="en-GB"/>
        </w:rPr>
        <w:t>）</w:t>
      </w:r>
      <w:r>
        <w:rPr>
          <w:szCs w:val="28"/>
          <w:highlight w:val="black"/>
          <w:lang w:val="en-GB"/>
        </w:rPr>
        <w:t>《安全标志及其使用导则》（GB2894-2008）；</w:t>
      </w:r>
    </w:p>
    <w:p w14:paraId="7262FBA6">
      <w:pPr>
        <w:adjustRightInd w:val="0"/>
        <w:ind w:firstLine="583"/>
        <w:rPr>
          <w:szCs w:val="28"/>
          <w:highlight w:val="black"/>
          <w:lang w:val="en-GB"/>
        </w:rPr>
      </w:pPr>
      <w:r>
        <w:rPr>
          <w:rFonts w:hint="eastAsia"/>
          <w:szCs w:val="28"/>
          <w:highlight w:val="black"/>
          <w:lang w:val="en-GB"/>
        </w:rPr>
        <w:t>（</w:t>
      </w:r>
      <w:r>
        <w:rPr>
          <w:rFonts w:hint="eastAsia"/>
          <w:szCs w:val="28"/>
          <w:highlight w:val="black"/>
        </w:rPr>
        <w:t>1</w:t>
      </w:r>
      <w:r>
        <w:rPr>
          <w:rFonts w:hint="eastAsia"/>
          <w:szCs w:val="28"/>
          <w:highlight w:val="black"/>
          <w:lang w:val="en-US" w:eastAsia="zh-CN"/>
        </w:rPr>
        <w:t>1</w:t>
      </w:r>
      <w:r>
        <w:rPr>
          <w:rFonts w:hint="eastAsia"/>
          <w:szCs w:val="28"/>
          <w:highlight w:val="black"/>
          <w:lang w:val="en-GB"/>
        </w:rPr>
        <w:t>）</w:t>
      </w:r>
      <w:r>
        <w:rPr>
          <w:szCs w:val="28"/>
          <w:highlight w:val="black"/>
          <w:lang w:val="en-GB"/>
        </w:rPr>
        <w:t>《爆破安全规程》（GB6722-2014）；</w:t>
      </w:r>
    </w:p>
    <w:p w14:paraId="5A5CF80E">
      <w:pPr>
        <w:adjustRightInd w:val="0"/>
        <w:ind w:firstLine="583"/>
        <w:rPr>
          <w:szCs w:val="28"/>
          <w:highlight w:val="black"/>
          <w:lang w:val="en-GB"/>
        </w:rPr>
      </w:pPr>
      <w:r>
        <w:rPr>
          <w:rFonts w:hint="eastAsia"/>
          <w:szCs w:val="28"/>
          <w:highlight w:val="black"/>
          <w:lang w:val="en-GB"/>
        </w:rPr>
        <w:t>（1</w:t>
      </w:r>
      <w:r>
        <w:rPr>
          <w:rFonts w:hint="eastAsia"/>
          <w:szCs w:val="28"/>
          <w:highlight w:val="black"/>
          <w:lang w:val="en-US" w:eastAsia="zh-CN"/>
        </w:rPr>
        <w:t>2</w:t>
      </w:r>
      <w:r>
        <w:rPr>
          <w:rFonts w:hint="eastAsia"/>
          <w:szCs w:val="28"/>
          <w:highlight w:val="black"/>
          <w:lang w:val="en-GB"/>
        </w:rPr>
        <w:t>）</w:t>
      </w:r>
      <w:r>
        <w:rPr>
          <w:szCs w:val="28"/>
          <w:highlight w:val="black"/>
          <w:lang w:val="en-GB"/>
        </w:rPr>
        <w:t>《防洪标准》（GB50201-2014）；</w:t>
      </w:r>
    </w:p>
    <w:p w14:paraId="3BA50887">
      <w:pPr>
        <w:adjustRightInd w:val="0"/>
        <w:ind w:firstLine="583"/>
        <w:rPr>
          <w:szCs w:val="28"/>
          <w:highlight w:val="black"/>
          <w:lang w:val="sq-AL"/>
        </w:rPr>
      </w:pPr>
      <w:r>
        <w:rPr>
          <w:rFonts w:hint="eastAsia"/>
          <w:szCs w:val="28"/>
          <w:highlight w:val="black"/>
          <w:lang w:val="sq-AL"/>
        </w:rPr>
        <w:t>（</w:t>
      </w:r>
      <w:r>
        <w:rPr>
          <w:rFonts w:hint="eastAsia"/>
          <w:szCs w:val="28"/>
          <w:highlight w:val="black"/>
        </w:rPr>
        <w:t>1</w:t>
      </w:r>
      <w:r>
        <w:rPr>
          <w:rFonts w:hint="eastAsia"/>
          <w:szCs w:val="28"/>
          <w:highlight w:val="black"/>
          <w:lang w:val="en-US" w:eastAsia="zh-CN"/>
        </w:rPr>
        <w:t>3</w:t>
      </w:r>
      <w:r>
        <w:rPr>
          <w:rFonts w:hint="eastAsia"/>
          <w:szCs w:val="28"/>
          <w:highlight w:val="black"/>
          <w:lang w:val="sq-AL"/>
        </w:rPr>
        <w:t>）</w:t>
      </w:r>
      <w:r>
        <w:rPr>
          <w:szCs w:val="28"/>
          <w:highlight w:val="black"/>
          <w:lang w:val="sq-AL"/>
        </w:rPr>
        <w:t>《中国地震动参数区划图》（GB 18306</w:t>
      </w:r>
      <w:r>
        <w:rPr>
          <w:szCs w:val="28"/>
          <w:highlight w:val="black"/>
        </w:rPr>
        <w:t>-</w:t>
      </w:r>
      <w:r>
        <w:rPr>
          <w:szCs w:val="28"/>
          <w:highlight w:val="black"/>
          <w:lang w:val="sq-AL"/>
        </w:rPr>
        <w:t>2015）；</w:t>
      </w:r>
    </w:p>
    <w:p w14:paraId="4544FBE8">
      <w:pPr>
        <w:adjustRightInd w:val="0"/>
        <w:ind w:firstLine="583"/>
        <w:rPr>
          <w:szCs w:val="28"/>
          <w:highlight w:val="black"/>
          <w:lang w:val="sq-AL"/>
        </w:rPr>
      </w:pPr>
      <w:bookmarkStart w:id="81" w:name="_Hlk71134559"/>
      <w:r>
        <w:rPr>
          <w:rFonts w:hint="eastAsia"/>
          <w:szCs w:val="28"/>
          <w:highlight w:val="black"/>
          <w:lang w:val="sq-AL"/>
        </w:rPr>
        <w:t>（</w:t>
      </w:r>
      <w:r>
        <w:rPr>
          <w:rFonts w:hint="eastAsia"/>
          <w:szCs w:val="28"/>
          <w:highlight w:val="black"/>
        </w:rPr>
        <w:t>1</w:t>
      </w:r>
      <w:r>
        <w:rPr>
          <w:rFonts w:hint="eastAsia"/>
          <w:szCs w:val="28"/>
          <w:highlight w:val="black"/>
          <w:lang w:val="en-US" w:eastAsia="zh-CN"/>
        </w:rPr>
        <w:t>4</w:t>
      </w:r>
      <w:r>
        <w:rPr>
          <w:rFonts w:hint="eastAsia"/>
          <w:szCs w:val="28"/>
          <w:highlight w:val="black"/>
          <w:lang w:val="sq-AL"/>
        </w:rPr>
        <w:t>）</w:t>
      </w:r>
      <w:r>
        <w:rPr>
          <w:szCs w:val="28"/>
          <w:highlight w:val="black"/>
          <w:lang w:val="sq-AL"/>
        </w:rPr>
        <w:t>《危险化学品重大危险源辨识》(GB18218-2018)；</w:t>
      </w:r>
    </w:p>
    <w:bookmarkEnd w:id="81"/>
    <w:p w14:paraId="0280DD75">
      <w:pPr>
        <w:adjustRightInd w:val="0"/>
        <w:ind w:firstLine="583"/>
        <w:rPr>
          <w:szCs w:val="28"/>
          <w:highlight w:val="black"/>
          <w:lang w:val="sq-AL"/>
        </w:rPr>
      </w:pPr>
      <w:r>
        <w:rPr>
          <w:rFonts w:hint="eastAsia"/>
          <w:szCs w:val="28"/>
          <w:highlight w:val="black"/>
          <w:lang w:val="sq-AL"/>
        </w:rPr>
        <w:t>（</w:t>
      </w:r>
      <w:r>
        <w:rPr>
          <w:rFonts w:hint="eastAsia"/>
          <w:szCs w:val="28"/>
          <w:highlight w:val="black"/>
        </w:rPr>
        <w:t>1</w:t>
      </w:r>
      <w:r>
        <w:rPr>
          <w:rFonts w:hint="eastAsia"/>
          <w:szCs w:val="28"/>
          <w:highlight w:val="black"/>
          <w:lang w:val="en-US" w:eastAsia="zh-CN"/>
        </w:rPr>
        <w:t>5</w:t>
      </w:r>
      <w:r>
        <w:rPr>
          <w:rFonts w:hint="eastAsia"/>
          <w:szCs w:val="28"/>
          <w:highlight w:val="black"/>
          <w:lang w:val="sq-AL"/>
        </w:rPr>
        <w:t>）</w:t>
      </w:r>
      <w:r>
        <w:rPr>
          <w:szCs w:val="28"/>
          <w:highlight w:val="black"/>
          <w:lang w:val="sq-AL"/>
        </w:rPr>
        <w:t>《工作场所有害因素职业接触限值 化学有害因素》（GBZ2.1-2019）；</w:t>
      </w:r>
    </w:p>
    <w:p w14:paraId="24BC93BE">
      <w:pPr>
        <w:adjustRightInd w:val="0"/>
        <w:ind w:firstLine="583"/>
        <w:rPr>
          <w:szCs w:val="28"/>
          <w:highlight w:val="black"/>
          <w:lang w:val="sq-AL"/>
        </w:rPr>
      </w:pPr>
      <w:r>
        <w:rPr>
          <w:rFonts w:hint="eastAsia"/>
          <w:szCs w:val="28"/>
          <w:highlight w:val="black"/>
          <w:lang w:val="sq-AL"/>
        </w:rPr>
        <w:t>（</w:t>
      </w:r>
      <w:r>
        <w:rPr>
          <w:rFonts w:hint="eastAsia"/>
          <w:szCs w:val="28"/>
          <w:highlight w:val="black"/>
        </w:rPr>
        <w:t>1</w:t>
      </w:r>
      <w:r>
        <w:rPr>
          <w:rFonts w:hint="eastAsia"/>
          <w:szCs w:val="28"/>
          <w:highlight w:val="black"/>
          <w:lang w:val="en-US" w:eastAsia="zh-CN"/>
        </w:rPr>
        <w:t>6</w:t>
      </w:r>
      <w:r>
        <w:rPr>
          <w:rFonts w:hint="eastAsia"/>
          <w:szCs w:val="28"/>
          <w:highlight w:val="black"/>
          <w:lang w:val="sq-AL"/>
        </w:rPr>
        <w:t>）</w:t>
      </w:r>
      <w:r>
        <w:rPr>
          <w:szCs w:val="28"/>
          <w:highlight w:val="black"/>
          <w:lang w:val="sq-AL"/>
        </w:rPr>
        <w:t>《金属非金属矿山安全规程》（GB16423-20</w:t>
      </w:r>
      <w:r>
        <w:rPr>
          <w:szCs w:val="28"/>
          <w:highlight w:val="black"/>
        </w:rPr>
        <w:t>20</w:t>
      </w:r>
      <w:r>
        <w:rPr>
          <w:szCs w:val="28"/>
          <w:highlight w:val="black"/>
          <w:lang w:val="sq-AL"/>
        </w:rPr>
        <w:t>）；</w:t>
      </w:r>
    </w:p>
    <w:p w14:paraId="717CA961">
      <w:pPr>
        <w:adjustRightInd w:val="0"/>
        <w:ind w:firstLine="583"/>
        <w:rPr>
          <w:szCs w:val="28"/>
          <w:highlight w:val="black"/>
          <w:lang w:val="sq-AL"/>
        </w:rPr>
      </w:pPr>
      <w:r>
        <w:rPr>
          <w:rFonts w:hint="eastAsia"/>
          <w:szCs w:val="28"/>
          <w:highlight w:val="black"/>
          <w:lang w:val="sq-AL"/>
        </w:rPr>
        <w:t>（</w:t>
      </w:r>
      <w:r>
        <w:rPr>
          <w:rFonts w:hint="eastAsia"/>
          <w:szCs w:val="28"/>
          <w:highlight w:val="black"/>
        </w:rPr>
        <w:t>1</w:t>
      </w:r>
      <w:r>
        <w:rPr>
          <w:rFonts w:hint="eastAsia"/>
          <w:szCs w:val="28"/>
          <w:highlight w:val="black"/>
          <w:lang w:val="en-US" w:eastAsia="zh-CN"/>
        </w:rPr>
        <w:t>7</w:t>
      </w:r>
      <w:r>
        <w:rPr>
          <w:rFonts w:hint="eastAsia"/>
          <w:szCs w:val="28"/>
          <w:highlight w:val="black"/>
          <w:lang w:val="sq-AL"/>
        </w:rPr>
        <w:t>）</w:t>
      </w:r>
      <w:r>
        <w:rPr>
          <w:szCs w:val="28"/>
          <w:highlight w:val="black"/>
          <w:lang w:val="sq-AL"/>
        </w:rPr>
        <w:t>《生产经营单位生产安全事故应急预案编制导则》（GB/T29639-2020）</w:t>
      </w:r>
      <w:r>
        <w:rPr>
          <w:rFonts w:hint="eastAsia"/>
          <w:szCs w:val="28"/>
          <w:highlight w:val="black"/>
          <w:lang w:val="sq-AL"/>
        </w:rPr>
        <w:t>；</w:t>
      </w:r>
    </w:p>
    <w:p w14:paraId="567AD869">
      <w:pPr>
        <w:adjustRightInd w:val="0"/>
        <w:ind w:firstLine="583"/>
        <w:rPr>
          <w:szCs w:val="28"/>
          <w:highlight w:val="black"/>
          <w:lang w:val="en-GB"/>
        </w:rPr>
      </w:pPr>
      <w:r>
        <w:rPr>
          <w:rFonts w:hint="eastAsia"/>
          <w:szCs w:val="28"/>
          <w:highlight w:val="black"/>
          <w:lang w:val="en-GB"/>
        </w:rPr>
        <w:t>（</w:t>
      </w:r>
      <w:r>
        <w:rPr>
          <w:rFonts w:hint="eastAsia"/>
          <w:szCs w:val="28"/>
          <w:highlight w:val="black"/>
        </w:rPr>
        <w:t>1</w:t>
      </w:r>
      <w:r>
        <w:rPr>
          <w:rFonts w:hint="eastAsia"/>
          <w:szCs w:val="28"/>
          <w:highlight w:val="black"/>
          <w:lang w:val="en-US" w:eastAsia="zh-CN"/>
        </w:rPr>
        <w:t>8</w:t>
      </w:r>
      <w:r>
        <w:rPr>
          <w:rFonts w:hint="eastAsia"/>
          <w:szCs w:val="28"/>
          <w:highlight w:val="black"/>
          <w:lang w:val="en-GB"/>
        </w:rPr>
        <w:t>）《个体防护装备配备规范 第1部分：总则》（GB 39800.1-2020）；</w:t>
      </w:r>
    </w:p>
    <w:p w14:paraId="41CD1CD2">
      <w:pPr>
        <w:pStyle w:val="24"/>
        <w:ind w:firstLine="583"/>
        <w:rPr>
          <w:szCs w:val="28"/>
          <w:highlight w:val="black"/>
          <w:lang w:val="en-GB"/>
        </w:rPr>
      </w:pPr>
      <w:r>
        <w:rPr>
          <w:rFonts w:hint="eastAsia"/>
          <w:szCs w:val="28"/>
          <w:highlight w:val="black"/>
          <w:lang w:val="en-GB"/>
        </w:rPr>
        <w:t>（</w:t>
      </w:r>
      <w:r>
        <w:rPr>
          <w:rFonts w:hint="eastAsia"/>
          <w:szCs w:val="28"/>
          <w:highlight w:val="black"/>
          <w:lang w:val="en-US" w:eastAsia="zh-CN"/>
        </w:rPr>
        <w:t>19</w:t>
      </w:r>
      <w:r>
        <w:rPr>
          <w:rFonts w:hint="eastAsia"/>
          <w:szCs w:val="28"/>
          <w:highlight w:val="black"/>
          <w:lang w:val="en-GB"/>
        </w:rPr>
        <w:t>）</w:t>
      </w:r>
      <w:r>
        <w:rPr>
          <w:szCs w:val="28"/>
          <w:highlight w:val="black"/>
          <w:lang w:val="en-GB"/>
        </w:rPr>
        <w:t>《个体防护装备配备规范 第 4 部分：非煤矿山》（GB39800.4-2020）</w:t>
      </w:r>
      <w:r>
        <w:rPr>
          <w:rFonts w:hint="eastAsia"/>
          <w:szCs w:val="28"/>
          <w:highlight w:val="black"/>
          <w:lang w:val="en-GB"/>
        </w:rPr>
        <w:t>；</w:t>
      </w:r>
    </w:p>
    <w:p w14:paraId="74D7749C">
      <w:pPr>
        <w:adjustRightInd w:val="0"/>
        <w:ind w:firstLine="583"/>
        <w:rPr>
          <w:szCs w:val="28"/>
          <w:highlight w:val="black"/>
          <w:lang w:val="en-GB"/>
        </w:rPr>
      </w:pPr>
      <w:r>
        <w:rPr>
          <w:rFonts w:hint="eastAsia"/>
          <w:szCs w:val="28"/>
          <w:highlight w:val="black"/>
          <w:lang w:val="en-GB"/>
        </w:rPr>
        <w:t>（</w:t>
      </w:r>
      <w:r>
        <w:rPr>
          <w:rFonts w:hint="eastAsia"/>
          <w:szCs w:val="28"/>
          <w:highlight w:val="black"/>
        </w:rPr>
        <w:t>2</w:t>
      </w:r>
      <w:r>
        <w:rPr>
          <w:rFonts w:hint="eastAsia"/>
          <w:szCs w:val="28"/>
          <w:highlight w:val="black"/>
          <w:lang w:val="en-US" w:eastAsia="zh-CN"/>
        </w:rPr>
        <w:t>0</w:t>
      </w:r>
      <w:r>
        <w:rPr>
          <w:rFonts w:hint="eastAsia"/>
          <w:szCs w:val="28"/>
          <w:highlight w:val="black"/>
          <w:lang w:val="en-GB"/>
        </w:rPr>
        <w:t>）</w:t>
      </w:r>
      <w:r>
        <w:rPr>
          <w:szCs w:val="28"/>
          <w:highlight w:val="black"/>
          <w:lang w:val="en-GB"/>
        </w:rPr>
        <w:t>《</w:t>
      </w:r>
      <w:r>
        <w:rPr>
          <w:rFonts w:hint="eastAsia"/>
          <w:szCs w:val="28"/>
          <w:highlight w:val="black"/>
          <w:lang w:val="en-GB"/>
        </w:rPr>
        <w:t>建筑防火通用规范</w:t>
      </w:r>
      <w:r>
        <w:rPr>
          <w:szCs w:val="28"/>
          <w:highlight w:val="black"/>
          <w:lang w:val="en-GB"/>
        </w:rPr>
        <w:t>》（</w:t>
      </w:r>
      <w:r>
        <w:rPr>
          <w:rFonts w:hint="eastAsia"/>
          <w:szCs w:val="28"/>
          <w:highlight w:val="black"/>
          <w:lang w:val="en-GB"/>
        </w:rPr>
        <w:t>GB55037-2022</w:t>
      </w:r>
      <w:r>
        <w:rPr>
          <w:szCs w:val="28"/>
          <w:highlight w:val="black"/>
          <w:lang w:val="en-GB"/>
        </w:rPr>
        <w:t>）；</w:t>
      </w:r>
    </w:p>
    <w:p w14:paraId="08A17A17">
      <w:pPr>
        <w:adjustRightInd w:val="0"/>
        <w:ind w:firstLine="583"/>
        <w:rPr>
          <w:szCs w:val="28"/>
          <w:highlight w:val="black"/>
          <w:lang w:val="sq-AL"/>
        </w:rPr>
      </w:pPr>
      <w:r>
        <w:rPr>
          <w:rFonts w:hint="eastAsia"/>
          <w:szCs w:val="28"/>
          <w:highlight w:val="black"/>
          <w:lang w:val="sq-AL"/>
        </w:rPr>
        <w:t>（</w:t>
      </w:r>
      <w:r>
        <w:rPr>
          <w:rFonts w:hint="eastAsia"/>
          <w:szCs w:val="28"/>
          <w:highlight w:val="black"/>
        </w:rPr>
        <w:t>2</w:t>
      </w:r>
      <w:r>
        <w:rPr>
          <w:rFonts w:hint="eastAsia"/>
          <w:szCs w:val="28"/>
          <w:highlight w:val="black"/>
          <w:lang w:val="en-US" w:eastAsia="zh-CN"/>
        </w:rPr>
        <w:t>1</w:t>
      </w:r>
      <w:r>
        <w:rPr>
          <w:rFonts w:hint="eastAsia"/>
          <w:szCs w:val="28"/>
          <w:highlight w:val="black"/>
          <w:lang w:val="sq-AL"/>
        </w:rPr>
        <w:t>）</w:t>
      </w:r>
      <w:r>
        <w:rPr>
          <w:szCs w:val="28"/>
          <w:highlight w:val="black"/>
          <w:lang w:val="sq-AL"/>
        </w:rPr>
        <w:t>《生产过程危险和有害因素分类与代码》（GB/T13861-2009）；</w:t>
      </w:r>
    </w:p>
    <w:p w14:paraId="35D569BF">
      <w:pPr>
        <w:adjustRightInd w:val="0"/>
        <w:ind w:firstLine="583"/>
        <w:rPr>
          <w:szCs w:val="28"/>
          <w:highlight w:val="black"/>
          <w:lang w:val="en-GB"/>
        </w:rPr>
      </w:pPr>
      <w:r>
        <w:rPr>
          <w:rFonts w:hint="eastAsia"/>
          <w:szCs w:val="28"/>
          <w:highlight w:val="black"/>
          <w:lang w:val="en-GB"/>
        </w:rPr>
        <w:t>（2</w:t>
      </w:r>
      <w:r>
        <w:rPr>
          <w:rFonts w:hint="eastAsia"/>
          <w:szCs w:val="28"/>
          <w:highlight w:val="black"/>
          <w:lang w:val="en-US" w:eastAsia="zh-CN"/>
        </w:rPr>
        <w:t>2</w:t>
      </w:r>
      <w:r>
        <w:rPr>
          <w:rFonts w:hint="eastAsia"/>
          <w:szCs w:val="28"/>
          <w:highlight w:val="black"/>
          <w:lang w:val="en-GB"/>
        </w:rPr>
        <w:t>）</w:t>
      </w:r>
      <w:r>
        <w:rPr>
          <w:szCs w:val="28"/>
          <w:highlight w:val="black"/>
          <w:lang w:val="en-GB"/>
        </w:rPr>
        <w:t>《粉尘作业场所危害程度分级》（GB/T5817-2009）</w:t>
      </w:r>
      <w:r>
        <w:rPr>
          <w:rFonts w:hint="eastAsia"/>
          <w:szCs w:val="28"/>
          <w:highlight w:val="black"/>
          <w:lang w:val="en-GB"/>
        </w:rPr>
        <w:t>；</w:t>
      </w:r>
    </w:p>
    <w:p w14:paraId="5746905D">
      <w:pPr>
        <w:adjustRightInd w:val="0"/>
        <w:ind w:firstLine="583"/>
        <w:rPr>
          <w:szCs w:val="28"/>
          <w:highlight w:val="black"/>
          <w:lang w:val="en-GB"/>
        </w:rPr>
      </w:pPr>
      <w:r>
        <w:rPr>
          <w:rFonts w:hint="eastAsia"/>
          <w:szCs w:val="28"/>
          <w:highlight w:val="black"/>
          <w:lang w:val="en-GB"/>
        </w:rPr>
        <w:t>（2</w:t>
      </w:r>
      <w:r>
        <w:rPr>
          <w:rFonts w:hint="eastAsia"/>
          <w:szCs w:val="28"/>
          <w:highlight w:val="black"/>
          <w:lang w:val="en-US" w:eastAsia="zh-CN"/>
        </w:rPr>
        <w:t>3</w:t>
      </w:r>
      <w:r>
        <w:rPr>
          <w:rFonts w:hint="eastAsia"/>
          <w:szCs w:val="28"/>
          <w:highlight w:val="black"/>
          <w:lang w:val="en-GB"/>
        </w:rPr>
        <w:t>）</w:t>
      </w:r>
      <w:r>
        <w:rPr>
          <w:szCs w:val="28"/>
          <w:highlight w:val="black"/>
          <w:lang w:val="en-GB"/>
        </w:rPr>
        <w:t>《非煤矿山采矿术语标准》（GB/T 51339-2018）；</w:t>
      </w:r>
    </w:p>
    <w:p w14:paraId="491D20AB">
      <w:pPr>
        <w:adjustRightInd w:val="0"/>
        <w:ind w:firstLine="583"/>
        <w:rPr>
          <w:szCs w:val="28"/>
          <w:highlight w:val="black"/>
          <w:lang w:val="en-GB"/>
        </w:rPr>
      </w:pPr>
      <w:r>
        <w:rPr>
          <w:rFonts w:hint="eastAsia"/>
          <w:szCs w:val="28"/>
          <w:highlight w:val="black"/>
          <w:lang w:val="en-GB"/>
        </w:rPr>
        <w:t>（2</w:t>
      </w:r>
      <w:r>
        <w:rPr>
          <w:rFonts w:hint="eastAsia"/>
          <w:szCs w:val="28"/>
          <w:highlight w:val="black"/>
          <w:lang w:val="en-US" w:eastAsia="zh-CN"/>
        </w:rPr>
        <w:t>4</w:t>
      </w:r>
      <w:r>
        <w:rPr>
          <w:rFonts w:hint="eastAsia"/>
          <w:szCs w:val="28"/>
          <w:highlight w:val="black"/>
          <w:lang w:val="en-GB"/>
        </w:rPr>
        <w:t>）</w:t>
      </w:r>
      <w:r>
        <w:rPr>
          <w:szCs w:val="28"/>
          <w:highlight w:val="black"/>
          <w:lang w:val="en-GB"/>
        </w:rPr>
        <w:t>《机械安全 防护装置 固定式和活动式防护装置的设计与制造一般要求》（GB/T8196-2018）；</w:t>
      </w:r>
    </w:p>
    <w:p w14:paraId="75D3AD38">
      <w:pPr>
        <w:adjustRightInd w:val="0"/>
        <w:ind w:firstLine="583"/>
        <w:rPr>
          <w:szCs w:val="28"/>
          <w:highlight w:val="black"/>
          <w:lang w:val="en-GB"/>
        </w:rPr>
      </w:pPr>
      <w:r>
        <w:rPr>
          <w:rFonts w:hint="eastAsia"/>
          <w:szCs w:val="28"/>
          <w:highlight w:val="black"/>
          <w:lang w:val="en-GB"/>
        </w:rPr>
        <w:t>（</w:t>
      </w:r>
      <w:r>
        <w:rPr>
          <w:rFonts w:hint="eastAsia"/>
          <w:szCs w:val="28"/>
          <w:highlight w:val="black"/>
        </w:rPr>
        <w:t>2</w:t>
      </w:r>
      <w:r>
        <w:rPr>
          <w:rFonts w:hint="eastAsia"/>
          <w:szCs w:val="28"/>
          <w:highlight w:val="black"/>
          <w:lang w:val="en-US" w:eastAsia="zh-CN"/>
        </w:rPr>
        <w:t>5</w:t>
      </w:r>
      <w:r>
        <w:rPr>
          <w:rFonts w:hint="eastAsia"/>
          <w:szCs w:val="28"/>
          <w:highlight w:val="black"/>
          <w:lang w:val="en-GB"/>
        </w:rPr>
        <w:t>）</w:t>
      </w:r>
      <w:r>
        <w:rPr>
          <w:szCs w:val="28"/>
          <w:highlight w:val="black"/>
          <w:lang w:val="en-GB"/>
        </w:rPr>
        <w:t>《机械安全 防止人体部位挤压的最小间距》（GB/T12265-2021）；</w:t>
      </w:r>
    </w:p>
    <w:p w14:paraId="54A92EDC">
      <w:pPr>
        <w:adjustRightInd w:val="0"/>
        <w:ind w:firstLine="583"/>
        <w:rPr>
          <w:szCs w:val="28"/>
          <w:highlight w:val="black"/>
          <w:lang w:val="en-GB"/>
        </w:rPr>
      </w:pPr>
      <w:r>
        <w:rPr>
          <w:rFonts w:hint="eastAsia"/>
          <w:szCs w:val="28"/>
          <w:highlight w:val="black"/>
          <w:lang w:val="en-GB"/>
        </w:rPr>
        <w:t>（</w:t>
      </w:r>
      <w:r>
        <w:rPr>
          <w:rFonts w:hint="eastAsia"/>
          <w:szCs w:val="28"/>
          <w:highlight w:val="black"/>
        </w:rPr>
        <w:t>2</w:t>
      </w:r>
      <w:r>
        <w:rPr>
          <w:rFonts w:hint="eastAsia"/>
          <w:szCs w:val="28"/>
          <w:highlight w:val="black"/>
          <w:lang w:val="en-US" w:eastAsia="zh-CN"/>
        </w:rPr>
        <w:t>6</w:t>
      </w:r>
      <w:r>
        <w:rPr>
          <w:rFonts w:hint="eastAsia"/>
          <w:szCs w:val="28"/>
          <w:highlight w:val="black"/>
          <w:lang w:val="en-GB"/>
        </w:rPr>
        <w:t>）</w:t>
      </w:r>
      <w:r>
        <w:rPr>
          <w:szCs w:val="28"/>
          <w:highlight w:val="black"/>
          <w:lang w:val="en-GB"/>
        </w:rPr>
        <w:t>《机械安全 防止上下肢触及危险区的安全距离》（</w:t>
      </w:r>
      <w:r>
        <w:rPr>
          <w:rFonts w:hint="eastAsia"/>
          <w:szCs w:val="28"/>
          <w:highlight w:val="black"/>
          <w:lang w:val="en-GB"/>
        </w:rPr>
        <w:t>GB/T 23821-2022</w:t>
      </w:r>
      <w:r>
        <w:rPr>
          <w:szCs w:val="28"/>
          <w:highlight w:val="black"/>
          <w:lang w:val="en-GB"/>
        </w:rPr>
        <w:t>）；</w:t>
      </w:r>
    </w:p>
    <w:p w14:paraId="79778EF3">
      <w:pPr>
        <w:adjustRightInd w:val="0"/>
        <w:ind w:firstLine="583"/>
        <w:rPr>
          <w:szCs w:val="28"/>
          <w:highlight w:val="black"/>
          <w:lang w:val="sq-AL"/>
        </w:rPr>
      </w:pPr>
      <w:r>
        <w:rPr>
          <w:rFonts w:hint="eastAsia"/>
          <w:szCs w:val="28"/>
          <w:highlight w:val="black"/>
          <w:lang w:val="sq-AL"/>
        </w:rPr>
        <w:t>（</w:t>
      </w:r>
      <w:r>
        <w:rPr>
          <w:rFonts w:hint="eastAsia"/>
          <w:szCs w:val="28"/>
          <w:highlight w:val="black"/>
        </w:rPr>
        <w:t>2</w:t>
      </w:r>
      <w:r>
        <w:rPr>
          <w:rFonts w:hint="eastAsia"/>
          <w:szCs w:val="28"/>
          <w:highlight w:val="black"/>
          <w:lang w:val="en-US" w:eastAsia="zh-CN"/>
        </w:rPr>
        <w:t>7</w:t>
      </w:r>
      <w:r>
        <w:rPr>
          <w:rFonts w:hint="eastAsia"/>
          <w:szCs w:val="28"/>
          <w:highlight w:val="black"/>
          <w:lang w:val="sq-AL"/>
        </w:rPr>
        <w:t>）</w:t>
      </w:r>
      <w:r>
        <w:rPr>
          <w:szCs w:val="28"/>
          <w:highlight w:val="black"/>
          <w:lang w:val="sq-AL"/>
        </w:rPr>
        <w:t>《矿用产品安全标志标识》（AQ1043-2007）；</w:t>
      </w:r>
    </w:p>
    <w:p w14:paraId="7AB40918">
      <w:pPr>
        <w:adjustRightInd w:val="0"/>
        <w:ind w:firstLine="583"/>
        <w:rPr>
          <w:szCs w:val="28"/>
          <w:highlight w:val="black"/>
          <w:lang w:val="sq-AL"/>
        </w:rPr>
      </w:pPr>
      <w:r>
        <w:rPr>
          <w:rFonts w:hint="eastAsia"/>
          <w:szCs w:val="28"/>
          <w:highlight w:val="black"/>
          <w:lang w:val="sq-AL"/>
        </w:rPr>
        <w:t>（</w:t>
      </w:r>
      <w:r>
        <w:rPr>
          <w:rFonts w:hint="eastAsia"/>
          <w:szCs w:val="28"/>
          <w:highlight w:val="black"/>
          <w:lang w:val="en-US" w:eastAsia="zh-CN"/>
        </w:rPr>
        <w:t>28</w:t>
      </w:r>
      <w:r>
        <w:rPr>
          <w:rFonts w:hint="eastAsia"/>
          <w:szCs w:val="28"/>
          <w:highlight w:val="black"/>
          <w:lang w:val="sq-AL"/>
        </w:rPr>
        <w:t>）</w:t>
      </w:r>
      <w:r>
        <w:rPr>
          <w:szCs w:val="28"/>
          <w:highlight w:val="black"/>
          <w:lang w:val="sq-AL"/>
        </w:rPr>
        <w:t>《安全评价通则》（AQ8001-2007）；</w:t>
      </w:r>
    </w:p>
    <w:p w14:paraId="67CDD1A1">
      <w:pPr>
        <w:adjustRightInd w:val="0"/>
        <w:ind w:firstLine="583"/>
        <w:rPr>
          <w:szCs w:val="28"/>
          <w:highlight w:val="black"/>
          <w:lang w:val="sq-AL"/>
        </w:rPr>
      </w:pPr>
      <w:bookmarkStart w:id="82" w:name="_Hlk71134713"/>
      <w:bookmarkStart w:id="83" w:name="_Hlk71138086"/>
      <w:r>
        <w:rPr>
          <w:rFonts w:hint="eastAsia"/>
          <w:szCs w:val="28"/>
          <w:highlight w:val="black"/>
          <w:lang w:val="sq-AL"/>
        </w:rPr>
        <w:t>（</w:t>
      </w:r>
      <w:r>
        <w:rPr>
          <w:rFonts w:hint="eastAsia"/>
          <w:szCs w:val="28"/>
          <w:highlight w:val="black"/>
          <w:lang w:val="en-US" w:eastAsia="zh-CN"/>
        </w:rPr>
        <w:t>29</w:t>
      </w:r>
      <w:r>
        <w:rPr>
          <w:rFonts w:hint="eastAsia"/>
          <w:szCs w:val="28"/>
          <w:highlight w:val="black"/>
          <w:lang w:val="sq-AL"/>
        </w:rPr>
        <w:t>）</w:t>
      </w:r>
      <w:r>
        <w:rPr>
          <w:szCs w:val="28"/>
          <w:highlight w:val="black"/>
          <w:lang w:val="sq-AL"/>
        </w:rPr>
        <w:t>《生产经营单位生产安全事故应急预案评估指南》（AQ∕T 9011-2019）；</w:t>
      </w:r>
    </w:p>
    <w:bookmarkEnd w:id="82"/>
    <w:p w14:paraId="5DF00DB0">
      <w:pPr>
        <w:adjustRightInd w:val="0"/>
        <w:ind w:firstLine="583"/>
        <w:rPr>
          <w:szCs w:val="28"/>
          <w:highlight w:val="black"/>
        </w:rPr>
      </w:pPr>
      <w:r>
        <w:rPr>
          <w:rFonts w:hint="eastAsia"/>
          <w:szCs w:val="28"/>
          <w:highlight w:val="black"/>
          <w:lang w:val="sq-AL"/>
        </w:rPr>
        <w:t>（</w:t>
      </w:r>
      <w:r>
        <w:rPr>
          <w:rFonts w:hint="eastAsia"/>
          <w:szCs w:val="28"/>
          <w:highlight w:val="black"/>
        </w:rPr>
        <w:t>3</w:t>
      </w:r>
      <w:r>
        <w:rPr>
          <w:rFonts w:hint="eastAsia"/>
          <w:szCs w:val="28"/>
          <w:highlight w:val="black"/>
          <w:lang w:val="en-US" w:eastAsia="zh-CN"/>
        </w:rPr>
        <w:t>0</w:t>
      </w:r>
      <w:r>
        <w:rPr>
          <w:rFonts w:hint="eastAsia"/>
          <w:szCs w:val="28"/>
          <w:highlight w:val="black"/>
          <w:lang w:val="sq-AL"/>
        </w:rPr>
        <w:t>）</w:t>
      </w:r>
      <w:r>
        <w:rPr>
          <w:szCs w:val="28"/>
          <w:highlight w:val="black"/>
          <w:lang w:val="sq-AL"/>
        </w:rPr>
        <w:t>《生产安全事故应急演练基本规范》（AQT9007-2019）</w:t>
      </w:r>
      <w:r>
        <w:rPr>
          <w:rFonts w:hint="eastAsia"/>
          <w:szCs w:val="28"/>
          <w:highlight w:val="black"/>
        </w:rPr>
        <w:t>；</w:t>
      </w:r>
    </w:p>
    <w:p w14:paraId="5D4A10F9">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1</w:t>
      </w:r>
      <w:r>
        <w:rPr>
          <w:rFonts w:hint="eastAsia"/>
          <w:highlight w:val="black"/>
          <w:lang w:val="zh-CN"/>
        </w:rPr>
        <w:t>）</w:t>
      </w:r>
      <w:r>
        <w:rPr>
          <w:highlight w:val="black"/>
          <w:lang w:val="zh-CN"/>
        </w:rPr>
        <w:t>《金属非金属地下矿山紧急避险系统建设规范》(</w:t>
      </w:r>
      <w:r>
        <w:rPr>
          <w:rFonts w:hint="eastAsia"/>
          <w:highlight w:val="black"/>
          <w:lang w:val="zh-CN"/>
        </w:rPr>
        <w:t>KA</w:t>
      </w:r>
      <w:r>
        <w:rPr>
          <w:highlight w:val="black"/>
          <w:lang w:val="zh-CN"/>
        </w:rPr>
        <w:t>/T2033-2023)；</w:t>
      </w:r>
    </w:p>
    <w:p w14:paraId="7D79F9D8">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2</w:t>
      </w:r>
      <w:r>
        <w:rPr>
          <w:rFonts w:hint="eastAsia"/>
          <w:highlight w:val="black"/>
          <w:lang w:val="zh-CN"/>
        </w:rPr>
        <w:t>）</w:t>
      </w:r>
      <w:r>
        <w:rPr>
          <w:highlight w:val="black"/>
          <w:lang w:val="zh-CN"/>
        </w:rPr>
        <w:t>《金属非金属地下矿山压风自救系统建设规范》(</w:t>
      </w:r>
      <w:r>
        <w:rPr>
          <w:rFonts w:hint="eastAsia"/>
          <w:highlight w:val="black"/>
          <w:lang w:val="zh-CN"/>
        </w:rPr>
        <w:t>KA</w:t>
      </w:r>
      <w:r>
        <w:rPr>
          <w:highlight w:val="black"/>
          <w:lang w:val="zh-CN"/>
        </w:rPr>
        <w:t>/T2034-2023)；</w:t>
      </w:r>
    </w:p>
    <w:p w14:paraId="4B72C80F">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3</w:t>
      </w:r>
      <w:r>
        <w:rPr>
          <w:rFonts w:hint="eastAsia"/>
          <w:highlight w:val="black"/>
          <w:lang w:val="zh-CN"/>
        </w:rPr>
        <w:t>）</w:t>
      </w:r>
      <w:r>
        <w:rPr>
          <w:highlight w:val="black"/>
          <w:lang w:val="zh-CN"/>
        </w:rPr>
        <w:t>《金属非金属地下矿山供水施救系统建设规范》(</w:t>
      </w:r>
      <w:r>
        <w:rPr>
          <w:rFonts w:hint="eastAsia"/>
          <w:highlight w:val="black"/>
          <w:lang w:val="zh-CN"/>
        </w:rPr>
        <w:t>KA</w:t>
      </w:r>
      <w:r>
        <w:rPr>
          <w:highlight w:val="black"/>
          <w:lang w:val="zh-CN"/>
        </w:rPr>
        <w:t>/T2035-2023)；</w:t>
      </w:r>
    </w:p>
    <w:p w14:paraId="0D71B335">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4</w:t>
      </w:r>
      <w:r>
        <w:rPr>
          <w:rFonts w:hint="eastAsia"/>
          <w:highlight w:val="black"/>
          <w:lang w:val="zh-CN"/>
        </w:rPr>
        <w:t>）</w:t>
      </w:r>
      <w:r>
        <w:rPr>
          <w:highlight w:val="black"/>
          <w:lang w:val="zh-CN"/>
        </w:rPr>
        <w:t>《金属非金属矿山在用设备设施安全检测检验目录》(</w:t>
      </w:r>
      <w:r>
        <w:rPr>
          <w:rFonts w:hint="eastAsia"/>
          <w:highlight w:val="black"/>
          <w:lang w:val="zh-CN"/>
        </w:rPr>
        <w:t>KA</w:t>
      </w:r>
      <w:r>
        <w:rPr>
          <w:highlight w:val="black"/>
          <w:lang w:val="zh-CN"/>
        </w:rPr>
        <w:t>/T2075-2019)；</w:t>
      </w:r>
    </w:p>
    <w:p w14:paraId="5DF49DDE">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5</w:t>
      </w:r>
      <w:r>
        <w:rPr>
          <w:rFonts w:hint="eastAsia"/>
          <w:highlight w:val="black"/>
          <w:lang w:val="zh-CN"/>
        </w:rPr>
        <w:t>）</w:t>
      </w:r>
      <w:r>
        <w:rPr>
          <w:highlight w:val="black"/>
          <w:lang w:val="zh-CN"/>
        </w:rPr>
        <w:t>《金属非金属地下矿山防治水安全技术规范》(AQ 2061-2018)；</w:t>
      </w:r>
    </w:p>
    <w:p w14:paraId="0C592E89">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6</w:t>
      </w:r>
      <w:r>
        <w:rPr>
          <w:rFonts w:hint="eastAsia"/>
          <w:highlight w:val="black"/>
          <w:lang w:val="zh-CN"/>
        </w:rPr>
        <w:t>）</w:t>
      </w:r>
      <w:r>
        <w:rPr>
          <w:highlight w:val="black"/>
          <w:lang w:val="zh-CN"/>
        </w:rPr>
        <w:t>《金属非金属地下矿山人员定位系统通用技术要求》(</w:t>
      </w:r>
      <w:r>
        <w:rPr>
          <w:rFonts w:hint="eastAsia"/>
          <w:highlight w:val="black"/>
          <w:lang w:val="zh-CN"/>
        </w:rPr>
        <w:t>KA</w:t>
      </w:r>
      <w:r>
        <w:rPr>
          <w:highlight w:val="black"/>
          <w:lang w:val="zh-CN"/>
        </w:rPr>
        <w:t>/T2051-2016)；</w:t>
      </w:r>
    </w:p>
    <w:p w14:paraId="545AEBED">
      <w:pPr>
        <w:ind w:firstLine="583"/>
        <w:rPr>
          <w:highlight w:val="black"/>
          <w:lang w:val="zh-CN"/>
        </w:rPr>
      </w:pPr>
      <w:r>
        <w:rPr>
          <w:rFonts w:hint="eastAsia"/>
          <w:highlight w:val="black"/>
          <w:lang w:val="zh-CN"/>
        </w:rPr>
        <w:t>（</w:t>
      </w:r>
      <w:r>
        <w:rPr>
          <w:rFonts w:hint="eastAsia"/>
          <w:highlight w:val="black"/>
        </w:rPr>
        <w:t>3</w:t>
      </w:r>
      <w:r>
        <w:rPr>
          <w:rFonts w:hint="eastAsia"/>
          <w:highlight w:val="black"/>
          <w:lang w:val="en-US" w:eastAsia="zh-CN"/>
        </w:rPr>
        <w:t>7</w:t>
      </w:r>
      <w:r>
        <w:rPr>
          <w:rFonts w:hint="eastAsia"/>
          <w:highlight w:val="black"/>
          <w:lang w:val="zh-CN"/>
        </w:rPr>
        <w:t>）</w:t>
      </w:r>
      <w:r>
        <w:rPr>
          <w:highlight w:val="black"/>
          <w:lang w:val="zh-CN"/>
        </w:rPr>
        <w:t>《金属非金属地下矿山通信联络系统通用技术要求》(</w:t>
      </w:r>
      <w:r>
        <w:rPr>
          <w:rFonts w:hint="eastAsia"/>
          <w:highlight w:val="black"/>
          <w:lang w:val="zh-CN"/>
        </w:rPr>
        <w:t>KA</w:t>
      </w:r>
      <w:r>
        <w:rPr>
          <w:highlight w:val="black"/>
          <w:lang w:val="zh-CN"/>
        </w:rPr>
        <w:t>/T2052-2016)；</w:t>
      </w:r>
    </w:p>
    <w:p w14:paraId="3F19B8BE">
      <w:pPr>
        <w:ind w:firstLine="583"/>
        <w:rPr>
          <w:highlight w:val="black"/>
          <w:lang w:val="zh-CN"/>
        </w:rPr>
      </w:pPr>
      <w:r>
        <w:rPr>
          <w:rFonts w:hint="eastAsia"/>
          <w:highlight w:val="black"/>
          <w:lang w:val="zh-CN"/>
        </w:rPr>
        <w:t>（</w:t>
      </w:r>
      <w:r>
        <w:rPr>
          <w:rFonts w:hint="eastAsia"/>
          <w:highlight w:val="black"/>
          <w:lang w:val="en-US" w:eastAsia="zh-CN"/>
        </w:rPr>
        <w:t>38</w:t>
      </w:r>
      <w:r>
        <w:rPr>
          <w:rFonts w:hint="eastAsia"/>
          <w:highlight w:val="black"/>
          <w:lang w:val="zh-CN"/>
        </w:rPr>
        <w:t>）</w:t>
      </w:r>
      <w:r>
        <w:rPr>
          <w:highlight w:val="black"/>
          <w:lang w:val="zh-CN"/>
        </w:rPr>
        <w:t>《金属非金属地下矿山监测监控系统通用技术要求》(</w:t>
      </w:r>
      <w:r>
        <w:rPr>
          <w:rFonts w:hint="eastAsia"/>
          <w:highlight w:val="black"/>
          <w:lang w:val="zh-CN"/>
        </w:rPr>
        <w:t>KA</w:t>
      </w:r>
      <w:r>
        <w:rPr>
          <w:highlight w:val="black"/>
          <w:lang w:val="zh-CN"/>
        </w:rPr>
        <w:t>/T2053-2016)；</w:t>
      </w:r>
    </w:p>
    <w:p w14:paraId="58D11C1A">
      <w:pPr>
        <w:ind w:firstLine="583"/>
        <w:rPr>
          <w:highlight w:val="black"/>
          <w:lang w:val="zh-CN"/>
        </w:rPr>
      </w:pPr>
      <w:r>
        <w:rPr>
          <w:rFonts w:hint="eastAsia"/>
          <w:highlight w:val="black"/>
          <w:lang w:val="zh-CN"/>
        </w:rPr>
        <w:t>（</w:t>
      </w:r>
      <w:r>
        <w:rPr>
          <w:rFonts w:hint="eastAsia"/>
          <w:highlight w:val="black"/>
          <w:lang w:val="en-US" w:eastAsia="zh-CN"/>
        </w:rPr>
        <w:t>39</w:t>
      </w:r>
      <w:r>
        <w:rPr>
          <w:rFonts w:hint="eastAsia"/>
          <w:highlight w:val="black"/>
          <w:lang w:val="zh-CN"/>
        </w:rPr>
        <w:t>）</w:t>
      </w:r>
      <w:r>
        <w:rPr>
          <w:highlight w:val="black"/>
          <w:lang w:val="zh-CN"/>
        </w:rPr>
        <w:t>《金属非金属矿山在用主通风机系统安全检验规范》(AQ2054-2016)；</w:t>
      </w:r>
    </w:p>
    <w:p w14:paraId="692FEB6F">
      <w:pPr>
        <w:ind w:firstLine="583"/>
        <w:rPr>
          <w:highlight w:val="black"/>
          <w:lang w:val="zh-CN"/>
        </w:rPr>
      </w:pPr>
      <w:r>
        <w:rPr>
          <w:rFonts w:hint="eastAsia"/>
          <w:highlight w:val="black"/>
          <w:lang w:val="zh-CN"/>
        </w:rPr>
        <w:t>（</w:t>
      </w:r>
      <w:r>
        <w:rPr>
          <w:rFonts w:hint="eastAsia"/>
          <w:highlight w:val="black"/>
        </w:rPr>
        <w:t>4</w:t>
      </w:r>
      <w:r>
        <w:rPr>
          <w:rFonts w:hint="eastAsia"/>
          <w:highlight w:val="black"/>
          <w:lang w:val="en-US" w:eastAsia="zh-CN"/>
        </w:rPr>
        <w:t>0</w:t>
      </w:r>
      <w:r>
        <w:rPr>
          <w:rFonts w:hint="eastAsia"/>
          <w:highlight w:val="black"/>
          <w:lang w:val="zh-CN"/>
        </w:rPr>
        <w:t>）</w:t>
      </w:r>
      <w:r>
        <w:rPr>
          <w:highlight w:val="black"/>
          <w:lang w:val="zh-CN"/>
        </w:rPr>
        <w:t>《金属非金属地下矿山监测监控系统建设规范》(AQ2031-2011)；</w:t>
      </w:r>
    </w:p>
    <w:p w14:paraId="6E67E0EE">
      <w:pPr>
        <w:ind w:firstLine="583"/>
        <w:rPr>
          <w:highlight w:val="black"/>
          <w:lang w:val="zh-CN"/>
        </w:rPr>
      </w:pPr>
      <w:r>
        <w:rPr>
          <w:rFonts w:hint="eastAsia"/>
          <w:highlight w:val="black"/>
          <w:lang w:val="zh-CN"/>
        </w:rPr>
        <w:t>（</w:t>
      </w:r>
      <w:r>
        <w:rPr>
          <w:rFonts w:hint="eastAsia"/>
          <w:highlight w:val="black"/>
          <w:lang w:val="en-US" w:eastAsia="zh-CN"/>
        </w:rPr>
        <w:t>41</w:t>
      </w:r>
      <w:r>
        <w:rPr>
          <w:rFonts w:hint="eastAsia"/>
          <w:highlight w:val="black"/>
          <w:lang w:val="zh-CN"/>
        </w:rPr>
        <w:t>）</w:t>
      </w:r>
      <w:r>
        <w:rPr>
          <w:highlight w:val="black"/>
          <w:lang w:val="zh-CN"/>
        </w:rPr>
        <w:t>《金属非金属地下矿山人员定位系统建设规范》(AQ2032-2011)；</w:t>
      </w:r>
    </w:p>
    <w:p w14:paraId="222D01F9">
      <w:pPr>
        <w:ind w:firstLine="583"/>
        <w:rPr>
          <w:highlight w:val="black"/>
          <w:lang w:val="zh-CN"/>
        </w:rPr>
      </w:pPr>
      <w:r>
        <w:rPr>
          <w:rFonts w:hint="eastAsia"/>
          <w:highlight w:val="black"/>
          <w:lang w:val="zh-CN"/>
        </w:rPr>
        <w:t>（</w:t>
      </w:r>
      <w:r>
        <w:rPr>
          <w:rFonts w:hint="eastAsia"/>
          <w:highlight w:val="black"/>
        </w:rPr>
        <w:t>4</w:t>
      </w:r>
      <w:r>
        <w:rPr>
          <w:rFonts w:hint="eastAsia"/>
          <w:highlight w:val="black"/>
          <w:lang w:val="en-US" w:eastAsia="zh-CN"/>
        </w:rPr>
        <w:t>2</w:t>
      </w:r>
      <w:r>
        <w:rPr>
          <w:rFonts w:hint="eastAsia"/>
          <w:highlight w:val="black"/>
          <w:lang w:val="zh-CN"/>
        </w:rPr>
        <w:t>）</w:t>
      </w:r>
      <w:r>
        <w:rPr>
          <w:highlight w:val="black"/>
          <w:lang w:val="zh-CN"/>
        </w:rPr>
        <w:t>《金属非金属地下矿山通信联络系统建设规范》(AQ2036-2011)；</w:t>
      </w:r>
    </w:p>
    <w:p w14:paraId="33B17C82">
      <w:pPr>
        <w:ind w:firstLine="583"/>
        <w:rPr>
          <w:highlight w:val="black"/>
          <w:lang w:val="zh-CN"/>
        </w:rPr>
      </w:pPr>
      <w:bookmarkStart w:id="84" w:name="_Hlk162256036"/>
      <w:r>
        <w:rPr>
          <w:rFonts w:hint="eastAsia"/>
          <w:highlight w:val="black"/>
          <w:lang w:val="zh-CN"/>
        </w:rPr>
        <w:t>（</w:t>
      </w:r>
      <w:r>
        <w:rPr>
          <w:rFonts w:hint="eastAsia"/>
          <w:highlight w:val="black"/>
        </w:rPr>
        <w:t>4</w:t>
      </w:r>
      <w:r>
        <w:rPr>
          <w:rFonts w:hint="eastAsia"/>
          <w:highlight w:val="black"/>
          <w:lang w:val="en-US" w:eastAsia="zh-CN"/>
        </w:rPr>
        <w:t>3</w:t>
      </w:r>
      <w:r>
        <w:rPr>
          <w:rFonts w:hint="eastAsia"/>
          <w:highlight w:val="black"/>
          <w:lang w:val="zh-CN"/>
        </w:rPr>
        <w:t>）</w:t>
      </w:r>
      <w:r>
        <w:rPr>
          <w:highlight w:val="black"/>
          <w:lang w:val="zh-CN"/>
        </w:rPr>
        <w:t>《金属非金属地下矿山通风技术规范通风系统》(AQ2013.1-2008)；</w:t>
      </w:r>
    </w:p>
    <w:p w14:paraId="3B0252E8">
      <w:pPr>
        <w:ind w:firstLine="583"/>
        <w:rPr>
          <w:highlight w:val="black"/>
          <w:lang w:val="zh-CN"/>
        </w:rPr>
      </w:pPr>
      <w:r>
        <w:rPr>
          <w:rFonts w:hint="eastAsia"/>
          <w:highlight w:val="black"/>
          <w:lang w:val="zh-CN"/>
        </w:rPr>
        <w:t>（</w:t>
      </w:r>
      <w:r>
        <w:rPr>
          <w:rFonts w:hint="eastAsia"/>
          <w:highlight w:val="black"/>
        </w:rPr>
        <w:t>4</w:t>
      </w:r>
      <w:r>
        <w:rPr>
          <w:rFonts w:hint="eastAsia"/>
          <w:highlight w:val="black"/>
          <w:lang w:val="en-US" w:eastAsia="zh-CN"/>
        </w:rPr>
        <w:t>4</w:t>
      </w:r>
      <w:r>
        <w:rPr>
          <w:rFonts w:hint="eastAsia"/>
          <w:highlight w:val="black"/>
          <w:lang w:val="zh-CN"/>
        </w:rPr>
        <w:t>）</w:t>
      </w:r>
      <w:r>
        <w:rPr>
          <w:highlight w:val="black"/>
          <w:lang w:val="zh-CN"/>
        </w:rPr>
        <w:t>《金属非金属地下矿山通风技术规范局部通风》(AQ2013.2-2008)；</w:t>
      </w:r>
    </w:p>
    <w:p w14:paraId="6333534A">
      <w:pPr>
        <w:ind w:firstLine="583"/>
        <w:rPr>
          <w:highlight w:val="black"/>
          <w:lang w:val="zh-CN"/>
        </w:rPr>
      </w:pPr>
      <w:r>
        <w:rPr>
          <w:rFonts w:hint="eastAsia"/>
          <w:highlight w:val="black"/>
          <w:lang w:val="zh-CN"/>
        </w:rPr>
        <w:t>（</w:t>
      </w:r>
      <w:r>
        <w:rPr>
          <w:rFonts w:hint="eastAsia"/>
          <w:highlight w:val="black"/>
        </w:rPr>
        <w:t>4</w:t>
      </w:r>
      <w:r>
        <w:rPr>
          <w:rFonts w:hint="eastAsia"/>
          <w:highlight w:val="black"/>
          <w:lang w:val="en-US" w:eastAsia="zh-CN"/>
        </w:rPr>
        <w:t>5</w:t>
      </w:r>
      <w:r>
        <w:rPr>
          <w:rFonts w:hint="eastAsia"/>
          <w:highlight w:val="black"/>
          <w:lang w:val="zh-CN"/>
        </w:rPr>
        <w:t>）</w:t>
      </w:r>
      <w:r>
        <w:rPr>
          <w:highlight w:val="black"/>
          <w:lang w:val="zh-CN"/>
        </w:rPr>
        <w:t>《金属非金属地下矿山通风技术规范通风管理》(AQ2013.4-2008)；</w:t>
      </w:r>
    </w:p>
    <w:bookmarkEnd w:id="84"/>
    <w:p w14:paraId="430F22E3">
      <w:pPr>
        <w:ind w:firstLine="583"/>
        <w:rPr>
          <w:szCs w:val="28"/>
          <w:highlight w:val="black"/>
          <w:lang w:val="sq-AL"/>
        </w:rPr>
      </w:pPr>
      <w:r>
        <w:rPr>
          <w:rFonts w:hint="eastAsia"/>
          <w:highlight w:val="black"/>
          <w:lang w:val="zh-CN"/>
        </w:rPr>
        <w:t>（</w:t>
      </w:r>
      <w:r>
        <w:rPr>
          <w:rFonts w:hint="eastAsia"/>
          <w:highlight w:val="black"/>
        </w:rPr>
        <w:t>4</w:t>
      </w:r>
      <w:r>
        <w:rPr>
          <w:rFonts w:hint="eastAsia"/>
          <w:highlight w:val="black"/>
          <w:lang w:val="en-US" w:eastAsia="zh-CN"/>
        </w:rPr>
        <w:t>6</w:t>
      </w:r>
      <w:r>
        <w:rPr>
          <w:rFonts w:hint="eastAsia"/>
          <w:highlight w:val="black"/>
          <w:lang w:val="zh-CN"/>
        </w:rPr>
        <w:t>）《</w:t>
      </w:r>
      <w:r>
        <w:rPr>
          <w:highlight w:val="black"/>
          <w:lang w:val="zh-CN"/>
        </w:rPr>
        <w:t>金属非金属地下矿山通风技术规范通风系统鉴定指标》(AQ2013.5-2008)</w:t>
      </w:r>
      <w:r>
        <w:rPr>
          <w:rFonts w:hint="eastAsia"/>
          <w:highlight w:val="black"/>
          <w:lang w:val="zh-CN"/>
        </w:rPr>
        <w:t>。</w:t>
      </w:r>
    </w:p>
    <w:bookmarkEnd w:id="83"/>
    <w:p w14:paraId="36BA329C">
      <w:pPr>
        <w:pStyle w:val="4"/>
        <w:ind w:firstLine="0" w:firstLineChars="0"/>
      </w:pPr>
      <w:r>
        <w:rPr>
          <w:rFonts w:hint="eastAsia"/>
        </w:rPr>
        <w:t xml:space="preserve">1.2.4 </w:t>
      </w:r>
      <w:r>
        <w:t>建设项目合法证明文件及技术资料</w:t>
      </w:r>
    </w:p>
    <w:p w14:paraId="203463D7">
      <w:pPr>
        <w:ind w:firstLine="583"/>
        <w:rPr>
          <w:highlight w:val="black"/>
        </w:rPr>
      </w:pPr>
      <w:bookmarkStart w:id="85" w:name="_Hlk172675246"/>
      <w:r>
        <w:rPr>
          <w:rFonts w:hint="eastAsia"/>
          <w:highlight w:val="black"/>
        </w:rPr>
        <w:t>（1）《采矿许可证》，证号：</w:t>
      </w:r>
      <w:r>
        <w:rPr>
          <w:highlight w:val="black"/>
        </w:rPr>
        <w:t>C210000</w:t>
      </w:r>
      <w:r>
        <w:rPr>
          <w:rFonts w:hint="eastAsia"/>
          <w:highlight w:val="black"/>
        </w:rPr>
        <w:t>2024082110157249，有效期：2024年8月9日至2034年8月9日，辽宁省自然资源厅；</w:t>
      </w:r>
    </w:p>
    <w:p w14:paraId="14E6E86E">
      <w:pPr>
        <w:ind w:firstLine="583"/>
        <w:rPr>
          <w:highlight w:val="black"/>
        </w:rPr>
      </w:pPr>
      <w:r>
        <w:rPr>
          <w:rFonts w:hint="eastAsia"/>
          <w:highlight w:val="black"/>
        </w:rPr>
        <w:t>（2）《营业执照》，统一社会信用代码：</w:t>
      </w:r>
      <w:r>
        <w:rPr>
          <w:highlight w:val="black"/>
        </w:rPr>
        <w:t>91210500673777615H</w:t>
      </w:r>
      <w:r>
        <w:rPr>
          <w:rFonts w:hint="eastAsia"/>
          <w:highlight w:val="black"/>
        </w:rPr>
        <w:t>，经营期限为：2008年5月12日至长期，本溪市溪湖区市场监督管理局；</w:t>
      </w:r>
    </w:p>
    <w:p w14:paraId="796F75B6">
      <w:pPr>
        <w:ind w:firstLine="583"/>
        <w:rPr>
          <w:highlight w:val="black"/>
        </w:rPr>
      </w:pPr>
      <w:r>
        <w:rPr>
          <w:rFonts w:hint="eastAsia"/>
          <w:highlight w:val="black"/>
        </w:rPr>
        <w:t>（3）《省发展改革委关于本溪市昱蕴铁选有限公司大柳峪矿北采区建设项目核准的批复》（辽发改工业〔2024〕661号），2024年</w:t>
      </w:r>
      <w:r>
        <w:rPr>
          <w:highlight w:val="black"/>
        </w:rPr>
        <w:t>12</w:t>
      </w:r>
      <w:r>
        <w:rPr>
          <w:rFonts w:hint="eastAsia"/>
          <w:highlight w:val="black"/>
        </w:rPr>
        <w:t>月</w:t>
      </w:r>
      <w:r>
        <w:rPr>
          <w:highlight w:val="black"/>
        </w:rPr>
        <w:t>9</w:t>
      </w:r>
      <w:r>
        <w:rPr>
          <w:rFonts w:hint="eastAsia"/>
          <w:highlight w:val="black"/>
        </w:rPr>
        <w:t>日，辽宁省发展和改革委员会</w:t>
      </w:r>
      <w:r>
        <w:rPr>
          <w:highlight w:val="black"/>
        </w:rPr>
        <w:t>；</w:t>
      </w:r>
    </w:p>
    <w:bookmarkEnd w:id="85"/>
    <w:p w14:paraId="2ADECA1C">
      <w:pPr>
        <w:ind w:firstLine="583"/>
        <w:rPr>
          <w:rFonts w:hint="eastAsia"/>
          <w:highlight w:val="black"/>
        </w:rPr>
      </w:pPr>
      <w:bookmarkStart w:id="86" w:name="_Hlk185459217"/>
      <w:r>
        <w:rPr>
          <w:rFonts w:hint="eastAsia"/>
          <w:highlight w:val="black"/>
          <w:lang w:eastAsia="zh-CN"/>
        </w:rPr>
        <w:t>（</w:t>
      </w:r>
      <w:r>
        <w:rPr>
          <w:rFonts w:hint="eastAsia"/>
          <w:highlight w:val="black"/>
          <w:lang w:val="en-US" w:eastAsia="zh-CN"/>
        </w:rPr>
        <w:t>4</w:t>
      </w:r>
      <w:r>
        <w:rPr>
          <w:rFonts w:hint="eastAsia"/>
          <w:highlight w:val="black"/>
          <w:lang w:eastAsia="zh-CN"/>
        </w:rPr>
        <w:t>）</w:t>
      </w:r>
      <w:r>
        <w:rPr>
          <w:rFonts w:hint="eastAsia"/>
          <w:highlight w:val="black"/>
        </w:rPr>
        <w:t>《辽宁省本溪市歪头山大柳峪铁矿详查报告》，辽宁省第八地质大队有限责任公司，2023年6月；</w:t>
      </w:r>
    </w:p>
    <w:p w14:paraId="1D1750DE">
      <w:pPr>
        <w:ind w:firstLine="583"/>
        <w:rPr>
          <w:rFonts w:hint="eastAsia"/>
          <w:highlight w:val="black"/>
        </w:rPr>
      </w:pPr>
      <w:r>
        <w:rPr>
          <w:rFonts w:hint="eastAsia"/>
          <w:highlight w:val="black"/>
          <w:lang w:eastAsia="zh-CN"/>
        </w:rPr>
        <w:t>（</w:t>
      </w:r>
      <w:r>
        <w:rPr>
          <w:rFonts w:hint="eastAsia"/>
          <w:highlight w:val="black"/>
          <w:lang w:val="en-US" w:eastAsia="zh-CN"/>
        </w:rPr>
        <w:t>5</w:t>
      </w:r>
      <w:r>
        <w:rPr>
          <w:rFonts w:hint="eastAsia"/>
          <w:highlight w:val="black"/>
          <w:lang w:eastAsia="zh-CN"/>
        </w:rPr>
        <w:t>）</w:t>
      </w:r>
      <w:r>
        <w:rPr>
          <w:rFonts w:hint="eastAsia"/>
          <w:highlight w:val="black"/>
        </w:rPr>
        <w:t>《〈辽宁省本溪市歪头山大柳峪铁矿详查报告〉评审意见书》，辽储评(储)字[2023]30号，辽宁省自然资源事务中心，2023年9月11日；</w:t>
      </w:r>
    </w:p>
    <w:p w14:paraId="1A22E40D">
      <w:pPr>
        <w:ind w:firstLine="583"/>
        <w:rPr>
          <w:rFonts w:hint="eastAsia"/>
          <w:highlight w:val="black"/>
        </w:rPr>
      </w:pPr>
      <w:r>
        <w:rPr>
          <w:rFonts w:hint="eastAsia"/>
          <w:highlight w:val="black"/>
          <w:lang w:eastAsia="zh-CN"/>
        </w:rPr>
        <w:t>（</w:t>
      </w:r>
      <w:r>
        <w:rPr>
          <w:rFonts w:hint="eastAsia"/>
          <w:highlight w:val="black"/>
          <w:lang w:val="en-US" w:eastAsia="zh-CN"/>
        </w:rPr>
        <w:t>6</w:t>
      </w:r>
      <w:r>
        <w:rPr>
          <w:rFonts w:hint="eastAsia"/>
          <w:highlight w:val="black"/>
          <w:lang w:eastAsia="zh-CN"/>
        </w:rPr>
        <w:t>）</w:t>
      </w:r>
      <w:r>
        <w:rPr>
          <w:rFonts w:hint="eastAsia"/>
          <w:highlight w:val="black"/>
        </w:rPr>
        <w:t>《关于〈辽宁省本溪市歪头山大柳峪铁矿详查报告〉矿产资源储量评审备案的复函》(辽自然资储备字[2023]30号)，辽宁省自然资源厅，2023年9月15日；</w:t>
      </w:r>
    </w:p>
    <w:p w14:paraId="2B28856F">
      <w:pPr>
        <w:ind w:firstLine="583"/>
        <w:rPr>
          <w:rFonts w:hint="eastAsia"/>
          <w:highlight w:val="black"/>
        </w:rPr>
      </w:pPr>
      <w:r>
        <w:rPr>
          <w:rFonts w:hint="eastAsia"/>
          <w:highlight w:val="black"/>
          <w:lang w:eastAsia="zh-CN"/>
        </w:rPr>
        <w:t>（</w:t>
      </w:r>
      <w:r>
        <w:rPr>
          <w:rFonts w:hint="eastAsia"/>
          <w:highlight w:val="black"/>
          <w:lang w:val="en-US" w:eastAsia="zh-CN"/>
        </w:rPr>
        <w:t>7</w:t>
      </w:r>
      <w:r>
        <w:rPr>
          <w:rFonts w:hint="eastAsia"/>
          <w:highlight w:val="black"/>
          <w:lang w:eastAsia="zh-CN"/>
        </w:rPr>
        <w:t>）</w:t>
      </w:r>
      <w:r>
        <w:rPr>
          <w:rFonts w:hint="eastAsia"/>
          <w:highlight w:val="black"/>
        </w:rPr>
        <w:t>《</w:t>
      </w:r>
      <w:bookmarkStart w:id="87" w:name="_Hlk185543286"/>
      <w:r>
        <w:rPr>
          <w:rFonts w:hint="eastAsia"/>
          <w:highlight w:val="black"/>
        </w:rPr>
        <w:t>本溪市昱蕴铁选有限公司大柳峪铁矿北采区矿产资源开发利用方案</w:t>
      </w:r>
      <w:bookmarkEnd w:id="87"/>
      <w:r>
        <w:rPr>
          <w:rFonts w:hint="eastAsia"/>
          <w:highlight w:val="black"/>
        </w:rPr>
        <w:t>》，</w:t>
      </w:r>
      <w:bookmarkStart w:id="88" w:name="_Hlk185543294"/>
      <w:r>
        <w:rPr>
          <w:rFonts w:hint="eastAsia"/>
          <w:highlight w:val="black"/>
        </w:rPr>
        <w:t>沈阳嘉纳工程技术有限公司，2023年10月</w:t>
      </w:r>
      <w:bookmarkEnd w:id="88"/>
      <w:r>
        <w:rPr>
          <w:rFonts w:hint="eastAsia"/>
          <w:highlight w:val="black"/>
        </w:rPr>
        <w:t>；</w:t>
      </w:r>
    </w:p>
    <w:p w14:paraId="67E8EAB2">
      <w:pPr>
        <w:ind w:firstLine="583"/>
        <w:rPr>
          <w:rFonts w:hint="eastAsia"/>
          <w:highlight w:val="black"/>
        </w:rPr>
      </w:pPr>
      <w:r>
        <w:rPr>
          <w:rFonts w:hint="eastAsia"/>
          <w:highlight w:val="black"/>
          <w:lang w:eastAsia="zh-CN"/>
        </w:rPr>
        <w:t>（</w:t>
      </w:r>
      <w:r>
        <w:rPr>
          <w:rFonts w:hint="eastAsia"/>
          <w:highlight w:val="black"/>
          <w:lang w:val="en-US" w:eastAsia="zh-CN"/>
        </w:rPr>
        <w:t>8</w:t>
      </w:r>
      <w:r>
        <w:rPr>
          <w:rFonts w:hint="eastAsia"/>
          <w:highlight w:val="black"/>
          <w:lang w:eastAsia="zh-CN"/>
        </w:rPr>
        <w:t>）</w:t>
      </w:r>
      <w:r>
        <w:rPr>
          <w:rFonts w:hint="eastAsia"/>
          <w:highlight w:val="black"/>
        </w:rPr>
        <w:t>《&lt;本溪市昱蕴铁选有限公司大柳峪铁矿北采区矿产资源开发利用方案&gt;审查意见书》，辽自然资事矿(开)审字[2023]C065号，2023年12月；</w:t>
      </w:r>
    </w:p>
    <w:p w14:paraId="67062CBB">
      <w:pPr>
        <w:ind w:firstLine="583"/>
        <w:rPr>
          <w:rFonts w:hint="eastAsia"/>
          <w:highlight w:val="black"/>
        </w:rPr>
      </w:pPr>
      <w:r>
        <w:rPr>
          <w:rFonts w:hint="eastAsia"/>
          <w:highlight w:val="black"/>
          <w:lang w:eastAsia="zh-CN"/>
        </w:rPr>
        <w:t>（</w:t>
      </w:r>
      <w:r>
        <w:rPr>
          <w:rFonts w:hint="eastAsia"/>
          <w:highlight w:val="black"/>
          <w:lang w:val="en-US" w:eastAsia="zh-CN"/>
        </w:rPr>
        <w:t>9</w:t>
      </w:r>
      <w:r>
        <w:rPr>
          <w:rFonts w:hint="eastAsia"/>
          <w:highlight w:val="black"/>
          <w:lang w:eastAsia="zh-CN"/>
        </w:rPr>
        <w:t>）</w:t>
      </w:r>
      <w:r>
        <w:rPr>
          <w:rFonts w:hint="eastAsia"/>
          <w:highlight w:val="black"/>
        </w:rPr>
        <w:t>《辽宁省本溪市歪头山大柳峪矿区(北区)铁矿勘探报告》，辽宁省第八地质大队有限责任公司，2024年1月；</w:t>
      </w:r>
    </w:p>
    <w:p w14:paraId="4CA80964">
      <w:pPr>
        <w:ind w:firstLine="583"/>
        <w:rPr>
          <w:rFonts w:hint="eastAsia"/>
          <w:highlight w:val="black"/>
        </w:rPr>
      </w:pPr>
      <w:bookmarkStart w:id="89" w:name="_Hlk187703958"/>
      <w:bookmarkStart w:id="90" w:name="_Hlk170842308"/>
      <w:r>
        <w:rPr>
          <w:rFonts w:hint="eastAsia"/>
          <w:highlight w:val="black"/>
          <w:lang w:eastAsia="zh-CN"/>
        </w:rPr>
        <w:t>（</w:t>
      </w:r>
      <w:r>
        <w:rPr>
          <w:rFonts w:hint="eastAsia"/>
          <w:highlight w:val="black"/>
          <w:lang w:val="en-US" w:eastAsia="zh-CN"/>
        </w:rPr>
        <w:t>10</w:t>
      </w:r>
      <w:r>
        <w:rPr>
          <w:rFonts w:hint="eastAsia"/>
          <w:highlight w:val="black"/>
          <w:lang w:eastAsia="zh-CN"/>
        </w:rPr>
        <w:t>）</w:t>
      </w:r>
      <w:r>
        <w:rPr>
          <w:rFonts w:hint="eastAsia"/>
          <w:highlight w:val="black"/>
        </w:rPr>
        <w:t>《</w:t>
      </w:r>
      <w:bookmarkStart w:id="91" w:name="_Hlk170842866"/>
      <w:r>
        <w:rPr>
          <w:rFonts w:hint="eastAsia"/>
          <w:highlight w:val="black"/>
        </w:rPr>
        <w:t>&lt;辽宁省本溪市歪头山大柳峪矿区(北区)铁矿勘探报告&gt;评审意见书》</w:t>
      </w:r>
      <w:bookmarkEnd w:id="91"/>
      <w:r>
        <w:rPr>
          <w:rFonts w:hint="eastAsia"/>
          <w:highlight w:val="black"/>
        </w:rPr>
        <w:t>，辽溪评(储)字本[2024]002号</w:t>
      </w:r>
      <w:bookmarkEnd w:id="89"/>
      <w:r>
        <w:rPr>
          <w:rFonts w:hint="eastAsia"/>
          <w:highlight w:val="black"/>
        </w:rPr>
        <w:t>，辽宁溪源土地矿产资源评估有限公司；</w:t>
      </w:r>
    </w:p>
    <w:p w14:paraId="3549A810">
      <w:pPr>
        <w:ind w:firstLine="583"/>
        <w:rPr>
          <w:rFonts w:hint="eastAsia"/>
          <w:highlight w:val="black"/>
        </w:rPr>
      </w:pPr>
      <w:bookmarkStart w:id="92" w:name="_Hlk185461646"/>
      <w:r>
        <w:rPr>
          <w:rFonts w:hint="eastAsia"/>
          <w:highlight w:val="black"/>
          <w:lang w:eastAsia="zh-CN"/>
        </w:rPr>
        <w:t>（</w:t>
      </w:r>
      <w:r>
        <w:rPr>
          <w:rFonts w:hint="eastAsia"/>
          <w:highlight w:val="black"/>
          <w:lang w:val="en-US" w:eastAsia="zh-CN"/>
        </w:rPr>
        <w:t>11</w:t>
      </w:r>
      <w:r>
        <w:rPr>
          <w:rFonts w:hint="eastAsia"/>
          <w:highlight w:val="black"/>
          <w:lang w:eastAsia="zh-CN"/>
        </w:rPr>
        <w:t>）</w:t>
      </w:r>
      <w:r>
        <w:rPr>
          <w:rFonts w:hint="eastAsia"/>
          <w:highlight w:val="black"/>
        </w:rPr>
        <w:t>《本溪市昱蕴铁选有限公司大柳峪铁矿北采区地下开采建设项目可行性研究报告》，本溪市昱蕴铁选有限公司，2024年10月；</w:t>
      </w:r>
    </w:p>
    <w:p w14:paraId="114E1183">
      <w:pPr>
        <w:ind w:firstLine="583"/>
        <w:rPr>
          <w:rFonts w:hint="eastAsia"/>
          <w:highlight w:val="black"/>
        </w:rPr>
      </w:pPr>
      <w:r>
        <w:rPr>
          <w:rFonts w:hint="eastAsia"/>
          <w:highlight w:val="black"/>
          <w:lang w:eastAsia="zh-CN"/>
        </w:rPr>
        <w:t>（</w:t>
      </w:r>
      <w:r>
        <w:rPr>
          <w:rFonts w:hint="eastAsia"/>
          <w:highlight w:val="black"/>
          <w:lang w:val="en-US" w:eastAsia="zh-CN"/>
        </w:rPr>
        <w:t>12</w:t>
      </w:r>
      <w:r>
        <w:rPr>
          <w:rFonts w:hint="eastAsia"/>
          <w:highlight w:val="black"/>
          <w:lang w:eastAsia="zh-CN"/>
        </w:rPr>
        <w:t>）</w:t>
      </w:r>
      <w:r>
        <w:rPr>
          <w:rFonts w:hint="eastAsia"/>
          <w:highlight w:val="black"/>
        </w:rPr>
        <w:t>《本溪市昱蕴铁选有限公司大柳峪铁矿隐蔽致灾因素普查报告》，中盎工程设计咨询有限公司，2024年11月；</w:t>
      </w:r>
    </w:p>
    <w:bookmarkEnd w:id="86"/>
    <w:bookmarkEnd w:id="90"/>
    <w:bookmarkEnd w:id="92"/>
    <w:p w14:paraId="4F2DD741">
      <w:pPr>
        <w:ind w:firstLine="583"/>
        <w:rPr>
          <w:rFonts w:hint="eastAsia"/>
          <w:highlight w:val="black"/>
        </w:rPr>
      </w:pPr>
      <w:bookmarkStart w:id="93" w:name="_Hlk185801745"/>
      <w:r>
        <w:rPr>
          <w:rFonts w:hint="eastAsia"/>
          <w:highlight w:val="black"/>
          <w:lang w:eastAsia="zh-CN"/>
        </w:rPr>
        <w:t>（</w:t>
      </w:r>
      <w:r>
        <w:rPr>
          <w:rFonts w:hint="eastAsia"/>
          <w:highlight w:val="black"/>
          <w:lang w:val="en-US" w:eastAsia="zh-CN"/>
        </w:rPr>
        <w:t>13</w:t>
      </w:r>
      <w:r>
        <w:rPr>
          <w:rFonts w:hint="eastAsia"/>
          <w:highlight w:val="black"/>
          <w:lang w:eastAsia="zh-CN"/>
        </w:rPr>
        <w:t>）</w:t>
      </w:r>
      <w:r>
        <w:rPr>
          <w:rFonts w:hint="eastAsia"/>
          <w:highlight w:val="black"/>
        </w:rPr>
        <w:t>《本溪市昱蕴铁选有限公司大柳峪铁矿北采区充填实验与充填采场稳定性分析及结构参数优化研究项目研究报告》，东北大学资源与土木工程学院，2024年11月；</w:t>
      </w:r>
      <w:bookmarkEnd w:id="93"/>
    </w:p>
    <w:p w14:paraId="3A977CAB">
      <w:pPr>
        <w:ind w:firstLine="583"/>
        <w:rPr>
          <w:rFonts w:hint="eastAsia"/>
          <w:highlight w:val="black"/>
        </w:rPr>
      </w:pPr>
      <w:r>
        <w:rPr>
          <w:rFonts w:hint="eastAsia"/>
          <w:highlight w:val="black"/>
        </w:rPr>
        <w:t>（1</w:t>
      </w:r>
      <w:r>
        <w:rPr>
          <w:rFonts w:hint="eastAsia"/>
          <w:highlight w:val="black"/>
          <w:lang w:val="en-US" w:eastAsia="zh-CN"/>
        </w:rPr>
        <w:t>4</w:t>
      </w:r>
      <w:r>
        <w:rPr>
          <w:rFonts w:hint="eastAsia"/>
          <w:highlight w:val="black"/>
        </w:rPr>
        <w:t>）企业提供实测图纸等其他相关资料。</w:t>
      </w:r>
    </w:p>
    <w:p w14:paraId="42DD96E9">
      <w:pPr>
        <w:pStyle w:val="7"/>
        <w:rPr>
          <w:rFonts w:hint="eastAsia"/>
        </w:rPr>
      </w:pPr>
    </w:p>
    <w:p w14:paraId="72802AE8">
      <w:pPr>
        <w:rPr>
          <w:rFonts w:hint="eastAsia"/>
        </w:rPr>
      </w:pPr>
    </w:p>
    <w:p w14:paraId="5E0EF033">
      <w:pPr>
        <w:pStyle w:val="7"/>
        <w:rPr>
          <w:rFonts w:hint="eastAsia"/>
        </w:rPr>
      </w:pPr>
    </w:p>
    <w:p w14:paraId="11E11AB2">
      <w:pPr>
        <w:rPr>
          <w:rFonts w:hint="eastAsia"/>
        </w:rPr>
      </w:pPr>
    </w:p>
    <w:p w14:paraId="2C6D08DC">
      <w:pPr>
        <w:pStyle w:val="7"/>
        <w:rPr>
          <w:rFonts w:hint="eastAsia"/>
        </w:rPr>
      </w:pPr>
    </w:p>
    <w:p w14:paraId="159D251B">
      <w:pPr>
        <w:rPr>
          <w:rFonts w:hint="eastAsia"/>
        </w:rPr>
      </w:pPr>
    </w:p>
    <w:p w14:paraId="2BC4414A">
      <w:pPr>
        <w:pStyle w:val="7"/>
        <w:rPr>
          <w:rFonts w:hint="eastAsia"/>
        </w:rPr>
      </w:pPr>
    </w:p>
    <w:p w14:paraId="3BC22236">
      <w:pPr>
        <w:rPr>
          <w:rFonts w:hint="eastAsia"/>
        </w:rPr>
      </w:pPr>
    </w:p>
    <w:p w14:paraId="708575EC">
      <w:pPr>
        <w:pStyle w:val="7"/>
        <w:rPr>
          <w:rFonts w:hint="eastAsia"/>
        </w:rPr>
      </w:pPr>
    </w:p>
    <w:p w14:paraId="475D8883">
      <w:pPr>
        <w:rPr>
          <w:rFonts w:hint="eastAsia"/>
        </w:rPr>
      </w:pPr>
    </w:p>
    <w:p w14:paraId="5DCE449F">
      <w:pPr>
        <w:pStyle w:val="7"/>
        <w:rPr>
          <w:rFonts w:hint="eastAsia"/>
        </w:rPr>
      </w:pPr>
    </w:p>
    <w:p w14:paraId="6B6F1780">
      <w:pPr>
        <w:rPr>
          <w:rFonts w:hint="eastAsia"/>
        </w:rPr>
      </w:pPr>
    </w:p>
    <w:p w14:paraId="7DA4E410">
      <w:pPr>
        <w:pStyle w:val="7"/>
        <w:rPr>
          <w:rFonts w:hint="eastAsia"/>
        </w:rPr>
      </w:pPr>
    </w:p>
    <w:p w14:paraId="433421A1">
      <w:pPr>
        <w:pStyle w:val="2"/>
        <w:numPr>
          <w:ilvl w:val="0"/>
          <w:numId w:val="0"/>
        </w:numPr>
        <w:jc w:val="center"/>
      </w:pPr>
      <w:bookmarkStart w:id="94" w:name="_Toc29484"/>
      <w:bookmarkStart w:id="95" w:name="_Toc6965"/>
      <w:r>
        <w:rPr>
          <w:rFonts w:hint="eastAsia"/>
        </w:rPr>
        <w:t>第二章 建设项目概述</w:t>
      </w:r>
      <w:bookmarkEnd w:id="94"/>
      <w:bookmarkEnd w:id="95"/>
    </w:p>
    <w:p w14:paraId="41FAFB99">
      <w:pPr>
        <w:pStyle w:val="3"/>
        <w:ind w:firstLine="0" w:firstLineChars="0"/>
      </w:pPr>
      <w:bookmarkStart w:id="96" w:name="_Toc22046"/>
      <w:r>
        <w:rPr>
          <w:rFonts w:hint="eastAsia"/>
        </w:rPr>
        <w:t>2.1 建设单位概况</w:t>
      </w:r>
      <w:bookmarkEnd w:id="96"/>
    </w:p>
    <w:p w14:paraId="5492FBD1">
      <w:pPr>
        <w:pStyle w:val="4"/>
        <w:ind w:firstLine="0" w:firstLineChars="0"/>
      </w:pPr>
      <w:r>
        <w:rPr>
          <w:rFonts w:hint="eastAsia"/>
        </w:rPr>
        <w:t>2.1.1历史沿革</w:t>
      </w:r>
    </w:p>
    <w:p w14:paraId="25D35599">
      <w:pPr>
        <w:ind w:firstLine="583"/>
        <w:rPr>
          <w:rFonts w:ascii="宋体" w:hAnsi="宋体" w:cs="宋体"/>
          <w:highlight w:val="black"/>
        </w:rPr>
      </w:pPr>
      <w:r>
        <w:rPr>
          <w:rFonts w:hint="eastAsia" w:ascii="宋体" w:hAnsi="宋体" w:cs="宋体"/>
          <w:highlight w:val="black"/>
        </w:rPr>
        <w:t>辽宁省本溪市歪头山大柳峪铁矿详查项目是辽宁省第八地质大队于2005年10月18日首次取得的探矿权，有效期为2005年10月18日至2008年10月18日，批准单位：辽宁省国土资源厅，证号为：2100000510154。</w:t>
      </w:r>
    </w:p>
    <w:p w14:paraId="37878BCD">
      <w:pPr>
        <w:ind w:firstLine="583"/>
        <w:rPr>
          <w:highlight w:val="black"/>
        </w:rPr>
      </w:pPr>
      <w:r>
        <w:rPr>
          <w:rFonts w:hint="eastAsia"/>
          <w:highlight w:val="black"/>
        </w:rPr>
        <w:t>2006年该探矿权转让，受让人为辽宁省本溪市昱蕴铁选有限公司。</w:t>
      </w:r>
    </w:p>
    <w:p w14:paraId="660AFA4F">
      <w:pPr>
        <w:ind w:firstLine="583"/>
        <w:rPr>
          <w:highlight w:val="black"/>
        </w:rPr>
      </w:pPr>
      <w:r>
        <w:rPr>
          <w:rFonts w:hint="eastAsia"/>
          <w:highlight w:val="black"/>
        </w:rPr>
        <w:t>2008年10月该探矿权进行了延续，有效期为2008年10月10日至2009年10月9日，批准单位：辽宁省国土资源厅，证号为T21120081202019565。</w:t>
      </w:r>
    </w:p>
    <w:p w14:paraId="4E318370">
      <w:pPr>
        <w:ind w:firstLine="583"/>
        <w:rPr>
          <w:highlight w:val="black"/>
        </w:rPr>
      </w:pPr>
      <w:r>
        <w:rPr>
          <w:rFonts w:hint="eastAsia"/>
          <w:highlight w:val="black"/>
        </w:rPr>
        <w:t>2009年10月该矿权进行了第二次延续，有效期为2009年10月10日至2010年10月9日，批准单位：辽宁省国土资源厅，证号为T21120081202019565。</w:t>
      </w:r>
    </w:p>
    <w:p w14:paraId="5C8C3840">
      <w:pPr>
        <w:ind w:firstLine="583"/>
        <w:rPr>
          <w:highlight w:val="black"/>
        </w:rPr>
      </w:pPr>
      <w:r>
        <w:rPr>
          <w:rFonts w:hint="eastAsia"/>
          <w:highlight w:val="black"/>
        </w:rPr>
        <w:t>2010年10月该探矿权进行了第三次延续同时进行详查区面积缩减，有效期为2010年10月10日至2012年10月9日，批准单位：辽宁省国土资源厅，证号为T21120081202019565，缩减后勘查面积为3.36km</w:t>
      </w:r>
      <w:r>
        <w:rPr>
          <w:rFonts w:hint="eastAsia"/>
          <w:highlight w:val="black"/>
          <w:vertAlign w:val="superscript"/>
        </w:rPr>
        <w:t>2</w:t>
      </w:r>
      <w:r>
        <w:rPr>
          <w:rFonts w:hint="eastAsia"/>
          <w:highlight w:val="black"/>
        </w:rPr>
        <w:t>。</w:t>
      </w:r>
    </w:p>
    <w:p w14:paraId="0A56E3EB">
      <w:pPr>
        <w:ind w:firstLine="583"/>
        <w:rPr>
          <w:highlight w:val="black"/>
        </w:rPr>
      </w:pPr>
      <w:r>
        <w:rPr>
          <w:rFonts w:hint="eastAsia"/>
          <w:highlight w:val="black"/>
        </w:rPr>
        <w:t>2012年10月该探矿权进行了探矿权保留，有效期为2010年10月10日至2013年10月9日，批准单位：辽宁省国土资源厅，证号为T21120081202019565。</w:t>
      </w:r>
    </w:p>
    <w:p w14:paraId="42725ABB">
      <w:pPr>
        <w:ind w:firstLine="583"/>
        <w:rPr>
          <w:highlight w:val="black"/>
        </w:rPr>
      </w:pPr>
      <w:r>
        <w:rPr>
          <w:rFonts w:hint="eastAsia"/>
          <w:highlight w:val="black"/>
        </w:rPr>
        <w:t>2013年10月该探矿权进行了第四次延续，有效期为2013年10月10日至2015年10月9日，批准单位：辽宁省国土资源厅，证号为T21120081202019565。</w:t>
      </w:r>
    </w:p>
    <w:p w14:paraId="380F7FCA">
      <w:pPr>
        <w:ind w:firstLine="583"/>
        <w:rPr>
          <w:highlight w:val="black"/>
        </w:rPr>
      </w:pPr>
      <w:r>
        <w:rPr>
          <w:rFonts w:hint="eastAsia"/>
          <w:highlight w:val="black"/>
        </w:rPr>
        <w:t>2015年10月至2022年12月再次延续，但因本溪市政府会议讨论无果，未能收到回复。</w:t>
      </w:r>
    </w:p>
    <w:p w14:paraId="45A649A4">
      <w:pPr>
        <w:ind w:firstLine="583"/>
        <w:rPr>
          <w:highlight w:val="black"/>
        </w:rPr>
      </w:pPr>
      <w:r>
        <w:rPr>
          <w:rFonts w:hint="eastAsia"/>
          <w:highlight w:val="black"/>
        </w:rPr>
        <w:t>2022年12月28日至今再次延续，因占有II级保护林地详查区面积再次缩减，缩减后勘查面积为2.7107km</w:t>
      </w:r>
      <w:r>
        <w:rPr>
          <w:rFonts w:hint="eastAsia"/>
          <w:highlight w:val="black"/>
          <w:vertAlign w:val="superscript"/>
        </w:rPr>
        <w:t>2</w:t>
      </w:r>
      <w:r>
        <w:rPr>
          <w:rFonts w:hint="eastAsia"/>
          <w:highlight w:val="black"/>
        </w:rPr>
        <w:t>。</w:t>
      </w:r>
    </w:p>
    <w:p w14:paraId="1763E994">
      <w:pPr>
        <w:ind w:firstLine="583"/>
        <w:rPr>
          <w:highlight w:val="black"/>
        </w:rPr>
      </w:pPr>
      <w:r>
        <w:rPr>
          <w:rFonts w:hint="eastAsia"/>
          <w:highlight w:val="black"/>
        </w:rPr>
        <w:t>2023年6月辽宁省第八地质大队有限责任公司提交了《辽宁省本溪市歪头山大柳峪铁矿详查报告》，在此基础上沈阳嘉纳工程技术有限公司于2023年10月编制完成《本溪市昱蕴铁选有限公司大柳峪铁矿北采区矿产资源开发利用方案》，并于2024年8月9日取得辽宁省自然资源厅颁发的《采矿许可证》（证号：C2100002024082110157249）。</w:t>
      </w:r>
    </w:p>
    <w:p w14:paraId="6F0493CD">
      <w:pPr>
        <w:ind w:firstLine="583"/>
        <w:rPr>
          <w:highlight w:val="black"/>
        </w:rPr>
      </w:pPr>
      <w:r>
        <w:rPr>
          <w:rFonts w:hint="eastAsia"/>
          <w:highlight w:val="black"/>
        </w:rPr>
        <w:t>为了地质工作达到勘探程度，采矿权人委托辽宁省第八地质大队有限责任公司，在充分收集综合研究以往地质资料的基础上，通过地质测量工作，</w:t>
      </w:r>
      <w:r>
        <w:rPr>
          <w:rFonts w:hint="eastAsia"/>
          <w:sz w:val="26"/>
          <w:highlight w:val="black"/>
          <w:lang w:val="en-US" w:eastAsia="zh-CN"/>
        </w:rPr>
        <w:t>于2024年1月提交了</w:t>
      </w:r>
      <w:r>
        <w:rPr>
          <w:rFonts w:hint="eastAsia"/>
          <w:highlight w:val="black"/>
        </w:rPr>
        <w:t>《辽宁省本溪市大柳峪矿区（北区）铁矿勘探报告》，本矿区地质工作达到勘探级别。</w:t>
      </w:r>
    </w:p>
    <w:p w14:paraId="1DA712CA">
      <w:pPr>
        <w:ind w:firstLine="583"/>
        <w:rPr>
          <w:highlight w:val="black"/>
        </w:rPr>
      </w:pPr>
      <w:r>
        <w:rPr>
          <w:rFonts w:hint="eastAsia"/>
          <w:highlight w:val="black"/>
        </w:rPr>
        <w:t>矿山现处于履行“三同时”手续中，并未进行建设和开采</w:t>
      </w:r>
      <w:r>
        <w:rPr>
          <w:highlight w:val="black"/>
        </w:rPr>
        <w:t>。</w:t>
      </w:r>
    </w:p>
    <w:p w14:paraId="2D8897D7">
      <w:pPr>
        <w:pStyle w:val="4"/>
        <w:ind w:firstLine="0" w:firstLineChars="0"/>
      </w:pPr>
      <w:r>
        <w:rPr>
          <w:rFonts w:hint="eastAsia"/>
        </w:rPr>
        <w:t>2.1.2 项目背景及立项情况</w:t>
      </w:r>
    </w:p>
    <w:p w14:paraId="6C35DF61">
      <w:pPr>
        <w:ind w:firstLine="583"/>
        <w:rPr>
          <w:highlight w:val="black"/>
        </w:rPr>
      </w:pPr>
      <w:r>
        <w:rPr>
          <w:rFonts w:hint="eastAsia"/>
          <w:highlight w:val="black"/>
          <w:lang w:val="zh-CN"/>
        </w:rPr>
        <w:t>本溪市昱蕴铁选有限公司</w:t>
      </w:r>
      <w:r>
        <w:rPr>
          <w:highlight w:val="black"/>
        </w:rPr>
        <w:t>企业性质为有限责任公司</w:t>
      </w:r>
      <w:r>
        <w:rPr>
          <w:rFonts w:hint="eastAsia"/>
          <w:highlight w:val="black"/>
        </w:rPr>
        <w:t>，法人代表为</w:t>
      </w:r>
      <w:r>
        <w:rPr>
          <w:rFonts w:hint="eastAsia"/>
          <w:highlight w:val="black"/>
          <w:lang w:val="zh-CN"/>
        </w:rPr>
        <w:t>于德财</w:t>
      </w:r>
      <w:r>
        <w:rPr>
          <w:rFonts w:hint="eastAsia"/>
          <w:highlight w:val="black"/>
        </w:rPr>
        <w:t>，统一社会信用代码为91210500673777615H，经营期限为：2008年5月12日至长期。</w:t>
      </w:r>
    </w:p>
    <w:p w14:paraId="69C788FE">
      <w:pPr>
        <w:ind w:firstLine="583"/>
        <w:rPr>
          <w:highlight w:val="black"/>
        </w:rPr>
      </w:pPr>
      <w:r>
        <w:rPr>
          <w:rFonts w:hint="eastAsia"/>
          <w:highlight w:val="black"/>
        </w:rPr>
        <w:t>本矿山为新立采矿权，在取得采矿许可证后，为了指导矿山安全、高效的回收矿产资源，</w:t>
      </w:r>
      <w:r>
        <w:rPr>
          <w:rFonts w:hint="eastAsia"/>
          <w:kern w:val="0"/>
          <w:sz w:val="26"/>
          <w:highlight w:val="black"/>
        </w:rPr>
        <w:t>本溪市昱蕴铁选有限公司于2024年10月编制完成了</w:t>
      </w:r>
      <w:r>
        <w:rPr>
          <w:rFonts w:hint="eastAsia"/>
          <w:highlight w:val="black"/>
        </w:rPr>
        <w:t>《</w:t>
      </w:r>
      <w:r>
        <w:rPr>
          <w:rFonts w:hint="eastAsia"/>
          <w:kern w:val="0"/>
          <w:sz w:val="26"/>
          <w:highlight w:val="black"/>
        </w:rPr>
        <w:t>本溪市昱蕴铁选有限公司大柳峪铁矿北采区地下开采建设项目可行性研究报告</w:t>
      </w:r>
      <w:r>
        <w:rPr>
          <w:rFonts w:hint="eastAsia"/>
          <w:highlight w:val="black"/>
        </w:rPr>
        <w:t>》</w:t>
      </w:r>
      <w:r>
        <w:rPr>
          <w:highlight w:val="black"/>
        </w:rPr>
        <w:t>。</w:t>
      </w:r>
    </w:p>
    <w:p w14:paraId="26DF62C0">
      <w:pPr>
        <w:ind w:firstLine="583"/>
        <w:rPr>
          <w:highlight w:val="black"/>
        </w:rPr>
      </w:pPr>
      <w:r>
        <w:rPr>
          <w:highlight w:val="black"/>
        </w:rPr>
        <w:t>辽宁省发展和改革委员</w:t>
      </w:r>
      <w:r>
        <w:rPr>
          <w:rFonts w:hint="eastAsia"/>
          <w:highlight w:val="black"/>
        </w:rPr>
        <w:t>会</w:t>
      </w:r>
      <w:r>
        <w:rPr>
          <w:highlight w:val="black"/>
        </w:rPr>
        <w:t>于2024年12月9日</w:t>
      </w:r>
      <w:r>
        <w:rPr>
          <w:rFonts w:hint="eastAsia"/>
          <w:highlight w:val="black"/>
        </w:rPr>
        <w:t>下</w:t>
      </w:r>
      <w:r>
        <w:rPr>
          <w:highlight w:val="black"/>
        </w:rPr>
        <w:t>发</w:t>
      </w:r>
      <w:r>
        <w:rPr>
          <w:rFonts w:hint="eastAsia"/>
          <w:highlight w:val="black"/>
        </w:rPr>
        <w:t>项目立项</w:t>
      </w:r>
      <w:r>
        <w:rPr>
          <w:highlight w:val="black"/>
        </w:rPr>
        <w:t>批复文件，批复文号：辽发改工业〔2024〕661号</w:t>
      </w:r>
      <w:r>
        <w:rPr>
          <w:rFonts w:hint="eastAsia"/>
          <w:highlight w:val="black"/>
        </w:rPr>
        <w:t>。</w:t>
      </w:r>
    </w:p>
    <w:p w14:paraId="62DC177F">
      <w:pPr>
        <w:pStyle w:val="4"/>
        <w:ind w:firstLine="0" w:firstLineChars="0"/>
      </w:pPr>
      <w:r>
        <w:rPr>
          <w:rFonts w:hint="eastAsia"/>
        </w:rPr>
        <w:t xml:space="preserve">2.1.3 </w:t>
      </w:r>
      <w:r>
        <w:rPr>
          <w:rFonts w:hint="eastAsia"/>
          <w:lang w:val="en-GB"/>
        </w:rPr>
        <w:t>矿区位置、交通</w:t>
      </w:r>
    </w:p>
    <w:p w14:paraId="307E425F">
      <w:pPr>
        <w:ind w:firstLine="583"/>
        <w:rPr>
          <w:highlight w:val="black"/>
        </w:rPr>
      </w:pPr>
      <w:r>
        <w:rPr>
          <w:rFonts w:hint="eastAsia"/>
          <w:highlight w:val="black"/>
        </w:rPr>
        <w:t>本溪市昱蕴铁选有限公司大柳峪铁矿北采区位于本溪市区北西方向，距本溪市约27km，行政区划隶属于辽宁省本溪市溪湖区歪头山镇大柳峪村管辖。距石桥子火车站北西方向直距1.1km。G1113丹阜高速以及G304国道从矿区东部通过。区内有乡级公路相连，交通便利（详见交通位置图）。</w:t>
      </w:r>
    </w:p>
    <w:p w14:paraId="76C50B2D">
      <w:pPr>
        <w:ind w:firstLine="583"/>
        <w:rPr>
          <w:highlight w:val="black"/>
        </w:rPr>
      </w:pPr>
      <w:r>
        <w:rPr>
          <w:rFonts w:hint="eastAsia"/>
          <w:highlight w:val="black"/>
        </w:rPr>
        <w:drawing>
          <wp:anchor distT="0" distB="0" distL="114300" distR="114300" simplePos="0" relativeHeight="251662336" behindDoc="0" locked="0" layoutInCell="1" allowOverlap="1">
            <wp:simplePos x="0" y="0"/>
            <wp:positionH relativeFrom="margin">
              <wp:posOffset>649605</wp:posOffset>
            </wp:positionH>
            <wp:positionV relativeFrom="paragraph">
              <wp:posOffset>761365</wp:posOffset>
            </wp:positionV>
            <wp:extent cx="4135755" cy="4147185"/>
            <wp:effectExtent l="0" t="0" r="9525" b="13335"/>
            <wp:wrapTopAndBottom/>
            <wp:docPr id="9022295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9502"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35755" cy="4147185"/>
                    </a:xfrm>
                    <a:prstGeom prst="rect">
                      <a:avLst/>
                    </a:prstGeom>
                    <a:noFill/>
                    <a:ln>
                      <a:noFill/>
                    </a:ln>
                  </pic:spPr>
                </pic:pic>
              </a:graphicData>
            </a:graphic>
          </wp:anchor>
        </w:drawing>
      </w:r>
      <w:r>
        <w:rPr>
          <w:rFonts w:hint="eastAsia"/>
          <w:highlight w:val="black"/>
        </w:rPr>
        <w:t>矿区中心地理坐标：东经：123°39′08″；北纬：41°27′56″</w:t>
      </w:r>
      <w:r>
        <w:rPr>
          <w:highlight w:val="black"/>
        </w:rPr>
        <w:t>。</w:t>
      </w:r>
    </w:p>
    <w:p w14:paraId="004AC74B">
      <w:pPr>
        <w:ind w:firstLine="0" w:firstLineChars="0"/>
        <w:jc w:val="center"/>
        <w:rPr>
          <w:b/>
          <w:bCs/>
          <w:sz w:val="21"/>
          <w:szCs w:val="21"/>
        </w:rPr>
      </w:pPr>
      <w:r>
        <w:rPr>
          <w:rFonts w:hint="eastAsia"/>
          <w:b/>
          <w:bCs/>
          <w:sz w:val="21"/>
          <w:szCs w:val="21"/>
        </w:rPr>
        <w:t>图2-1 交通位置图</w:t>
      </w:r>
    </w:p>
    <w:p w14:paraId="4FCC4B28">
      <w:pPr>
        <w:pStyle w:val="4"/>
        <w:ind w:firstLine="0" w:firstLineChars="0"/>
      </w:pPr>
      <w:r>
        <w:rPr>
          <w:rFonts w:hint="eastAsia"/>
        </w:rPr>
        <w:t>2.1.4 周边环境</w:t>
      </w:r>
    </w:p>
    <w:p w14:paraId="6B6C1F3D">
      <w:pPr>
        <w:ind w:firstLine="583"/>
        <w:rPr>
          <w:highlight w:val="black"/>
        </w:rPr>
      </w:pPr>
      <w:bookmarkStart w:id="97" w:name="_Hlk190035297"/>
      <w:bookmarkStart w:id="98" w:name="_Toc11418"/>
      <w:r>
        <w:rPr>
          <w:rFonts w:hint="eastAsia"/>
          <w:highlight w:val="black"/>
        </w:rPr>
        <w:t>矿山位于低山丘陵区，根据现场踏勘并参考“天地图”影像资料，矿区周边环境较为简单，矿区东侧、西侧以及北侧均为山地，无任何建筑构筑物，在矿区南侧有S304省道、大柳峪村以及河流。</w:t>
      </w:r>
    </w:p>
    <w:p w14:paraId="2DF749FE">
      <w:pPr>
        <w:ind w:firstLine="583"/>
        <w:rPr>
          <w:highlight w:val="black"/>
        </w:rPr>
      </w:pPr>
      <w:r>
        <w:rPr>
          <w:rFonts w:hint="eastAsia"/>
          <w:highlight w:val="black"/>
        </w:rPr>
        <w:t>（1）S304省道</w:t>
      </w:r>
      <w:bookmarkEnd w:id="97"/>
    </w:p>
    <w:p w14:paraId="02DE5F3B">
      <w:pPr>
        <w:ind w:firstLine="583"/>
        <w:rPr>
          <w:highlight w:val="black"/>
        </w:rPr>
      </w:pPr>
      <w:r>
        <w:rPr>
          <w:rFonts w:hint="eastAsia"/>
          <w:highlight w:val="black"/>
        </w:rPr>
        <w:t>矿区范围南侧外部有S304省道经过，根据《中华人民共和国公路法》《公路安全保护条例》第十七条禁止在下列范围内从事采矿、采石、取土、爆破作业等危及公路、公路桥梁、公路隧道、公路渡口安全的活动。第一小节国道、省道、县道的公路用地外缘起向外100m。因此本次设计省级公路两侧用地外缘起向外100m范围内矿岩留作保护矿柱，本次设计地表岩石移动范围距离S304省道最小距离104m。</w:t>
      </w:r>
    </w:p>
    <w:p w14:paraId="27F818A0">
      <w:pPr>
        <w:ind w:firstLine="583"/>
        <w:rPr>
          <w:highlight w:val="black"/>
        </w:rPr>
      </w:pPr>
      <w:r>
        <w:rPr>
          <w:rFonts w:hint="eastAsia"/>
          <w:highlight w:val="black"/>
        </w:rPr>
        <w:t>在矿区内部有一条已经废弃的“小小线”国道，该道路自矿区西南部进入矿区然后自东北部驶出矿界，该道路目前已经废弃，在废弃道路两端设置有废弃公告已经警示牌。矿山在后期开采过程中应将道路两端进行封闭，并在废弃公路沿线设置警示牌。</w:t>
      </w:r>
    </w:p>
    <w:p w14:paraId="73D582D3">
      <w:pPr>
        <w:ind w:firstLine="583"/>
        <w:rPr>
          <w:rFonts w:asciiTheme="minorEastAsia" w:hAnsiTheme="minorEastAsia" w:eastAsiaTheme="minorEastAsia" w:cstheme="minorEastAsia"/>
          <w:highlight w:val="black"/>
        </w:rPr>
      </w:pPr>
      <w:bookmarkStart w:id="99" w:name="_Hlk190035306"/>
      <w:r>
        <w:rPr>
          <w:rFonts w:hint="eastAsia" w:asciiTheme="minorEastAsia" w:hAnsiTheme="minorEastAsia" w:eastAsiaTheme="minorEastAsia" w:cstheme="minorEastAsia"/>
          <w:highlight w:val="black"/>
        </w:rPr>
        <w:t>（2）大柳峪村</w:t>
      </w:r>
    </w:p>
    <w:bookmarkEnd w:id="99"/>
    <w:p w14:paraId="6108BB2E">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对于南侧大柳峪村内民房，均按照地表Ⅰ级保护进行保护，即地表所有建构筑物均位于地表岩石移动界限20m以外。另外通过井下爆破时地表建构筑物的质点运动速度论证矿山开采对其影响。</w:t>
      </w:r>
    </w:p>
    <w:p w14:paraId="2701CE85">
      <w:pPr>
        <w:pStyle w:val="7"/>
        <w:ind w:firstLine="0" w:firstLineChars="0"/>
        <w:jc w:val="center"/>
      </w:pPr>
      <w:r>
        <w:rPr>
          <w:rFonts w:hint="eastAsia"/>
        </w:rPr>
        <w:drawing>
          <wp:inline distT="0" distB="0" distL="114300" distR="114300">
            <wp:extent cx="5219700" cy="3886200"/>
            <wp:effectExtent l="0" t="0" r="7620" b="0"/>
            <wp:docPr id="1" name="图片 1" descr="174225869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2258692918"/>
                    <pic:cNvPicPr>
                      <a:picLocks noChangeAspect="1"/>
                    </pic:cNvPicPr>
                  </pic:nvPicPr>
                  <pic:blipFill>
                    <a:blip r:embed="rId18"/>
                    <a:stretch>
                      <a:fillRect/>
                    </a:stretch>
                  </pic:blipFill>
                  <pic:spPr>
                    <a:xfrm>
                      <a:off x="0" y="0"/>
                      <a:ext cx="5219700" cy="3886200"/>
                    </a:xfrm>
                    <a:prstGeom prst="rect">
                      <a:avLst/>
                    </a:prstGeom>
                  </pic:spPr>
                </pic:pic>
              </a:graphicData>
            </a:graphic>
          </wp:inline>
        </w:drawing>
      </w:r>
    </w:p>
    <w:p w14:paraId="0B5C92FF">
      <w:pPr>
        <w:spacing w:after="120" w:line="240" w:lineRule="auto"/>
        <w:ind w:firstLine="0" w:firstLineChars="0"/>
        <w:jc w:val="center"/>
        <w:rPr>
          <w:b/>
          <w:bCs/>
          <w:sz w:val="21"/>
          <w:szCs w:val="21"/>
        </w:rPr>
      </w:pPr>
      <w:r>
        <w:rPr>
          <w:b/>
          <w:bCs/>
          <w:sz w:val="21"/>
          <w:szCs w:val="21"/>
        </w:rPr>
        <w:t>图</w:t>
      </w:r>
      <w:r>
        <w:rPr>
          <w:rFonts w:hint="eastAsia"/>
          <w:b/>
          <w:bCs/>
          <w:sz w:val="21"/>
          <w:szCs w:val="21"/>
        </w:rPr>
        <w:t>2</w:t>
      </w:r>
      <w:r>
        <w:rPr>
          <w:b/>
          <w:bCs/>
          <w:sz w:val="21"/>
          <w:szCs w:val="21"/>
        </w:rPr>
        <w:t>-</w:t>
      </w:r>
      <w:r>
        <w:rPr>
          <w:rFonts w:hint="eastAsia"/>
          <w:b/>
          <w:bCs/>
          <w:sz w:val="21"/>
          <w:szCs w:val="21"/>
        </w:rPr>
        <w:t>2</w:t>
      </w:r>
      <w:r>
        <w:rPr>
          <w:b/>
          <w:bCs/>
          <w:sz w:val="21"/>
          <w:szCs w:val="21"/>
        </w:rPr>
        <w:t xml:space="preserve"> 矿区范围、</w:t>
      </w:r>
      <w:r>
        <w:rPr>
          <w:rFonts w:hint="eastAsia"/>
          <w:b/>
          <w:bCs/>
          <w:sz w:val="21"/>
          <w:szCs w:val="21"/>
        </w:rPr>
        <w:t>岩移监测范围</w:t>
      </w:r>
      <w:r>
        <w:rPr>
          <w:b/>
          <w:bCs/>
          <w:sz w:val="21"/>
          <w:szCs w:val="21"/>
        </w:rPr>
        <w:t>与公路</w:t>
      </w:r>
      <w:r>
        <w:rPr>
          <w:rFonts w:hint="eastAsia"/>
          <w:b/>
          <w:bCs/>
          <w:sz w:val="21"/>
          <w:szCs w:val="21"/>
        </w:rPr>
        <w:t>、村庄、河流</w:t>
      </w:r>
      <w:r>
        <w:rPr>
          <w:b/>
          <w:bCs/>
          <w:sz w:val="21"/>
          <w:szCs w:val="21"/>
        </w:rPr>
        <w:t>位置关系示意图</w:t>
      </w:r>
    </w:p>
    <w:p w14:paraId="797FE978">
      <w:pPr>
        <w:ind w:firstLine="583"/>
        <w:rPr>
          <w:rFonts w:asciiTheme="minorEastAsia" w:hAnsiTheme="minorEastAsia" w:eastAsiaTheme="minorEastAsia" w:cstheme="minorEastAsia"/>
          <w:highlight w:val="black"/>
        </w:rPr>
      </w:pPr>
      <w:bookmarkStart w:id="100" w:name="_Hlk190035319"/>
      <w:r>
        <w:rPr>
          <w:rFonts w:hint="eastAsia" w:asciiTheme="minorEastAsia" w:hAnsiTheme="minorEastAsia" w:eastAsiaTheme="minorEastAsia" w:cstheme="minorEastAsia"/>
          <w:highlight w:val="black"/>
        </w:rPr>
        <w:t>井下爆破作业最小安全允许距离计算：</w:t>
      </w:r>
    </w:p>
    <w:p w14:paraId="3B2CA092">
      <w:pPr>
        <w:ind w:firstLine="1746" w:firstLineChars="6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R=(k/v)1/a×q1/m=</w:t>
      </w:r>
      <w:r>
        <w:rPr>
          <w:rFonts w:hint="eastAsia" w:asciiTheme="minorEastAsia" w:hAnsiTheme="minorEastAsia" w:eastAsiaTheme="minorEastAsia" w:cstheme="minorEastAsia"/>
          <w:highlight w:val="black"/>
        </w:rPr>
        <w:object>
          <v:shape id="_x0000_i1025" o:spt="75" type="#_x0000_t75" style="height:37.65pt;width:106.35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r>
        <w:rPr>
          <w:rFonts w:hint="eastAsia" w:asciiTheme="minorEastAsia" w:hAnsiTheme="minorEastAsia" w:eastAsiaTheme="minorEastAsia" w:cstheme="minorEastAsia"/>
          <w:highlight w:val="black"/>
        </w:rPr>
        <w:t>m</w:t>
      </w:r>
    </w:p>
    <w:p w14:paraId="3A18E42B">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式中：R—爆破振动安全距离，m；</w:t>
      </w:r>
    </w:p>
    <w:p w14:paraId="67F62B5F">
      <w:pPr>
        <w:ind w:firstLine="1455"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q—炸药量，延时爆破取最大一段药量，45kg；</w:t>
      </w:r>
    </w:p>
    <w:p w14:paraId="69EACEF9">
      <w:pPr>
        <w:ind w:firstLine="1455"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v—保护对象所在地质点振动安全允许速度，按照表2-1中一般民用建筑物2cm/s计算；</w:t>
      </w:r>
    </w:p>
    <w:p w14:paraId="70132323">
      <w:pPr>
        <w:ind w:firstLine="1455"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m—炸药系数，取3；</w:t>
      </w:r>
    </w:p>
    <w:p w14:paraId="2937D925">
      <w:pPr>
        <w:ind w:firstLine="1455"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k、a—爆破点地形、地质等条件相关系数和衰减系数，按照表2-2选取中硬岩石k取150，a取1.5。</w:t>
      </w:r>
    </w:p>
    <w:p w14:paraId="5E923BC7">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设计本矿山井下最大单段爆破药量不超过45kg，此时对于普通民用建构筑物的安全允许距离为63.3m，而井下爆破点距离地表民用建构筑物最近直线距离为110m，故本方案的采爆破对周边民用建构筑物无影响。</w:t>
      </w:r>
    </w:p>
    <w:p w14:paraId="2B0C2B3E">
      <w:pPr>
        <w:spacing w:line="240" w:lineRule="auto"/>
        <w:ind w:firstLine="0" w:firstLineChars="0"/>
        <w:jc w:val="center"/>
        <w:rPr>
          <w:rFonts w:hAnsi="宋体"/>
          <w:b/>
          <w:sz w:val="21"/>
          <w:szCs w:val="21"/>
        </w:rPr>
      </w:pPr>
      <w:r>
        <w:rPr>
          <w:rFonts w:hint="eastAsia" w:hAnsi="宋体"/>
          <w:b/>
          <w:sz w:val="21"/>
          <w:szCs w:val="21"/>
        </w:rPr>
        <w:t>表2</w:t>
      </w:r>
      <w:r>
        <w:rPr>
          <w:rFonts w:hAnsi="宋体"/>
          <w:b/>
          <w:sz w:val="21"/>
          <w:szCs w:val="21"/>
        </w:rPr>
        <w:t>-</w:t>
      </w:r>
      <w:r>
        <w:rPr>
          <w:rFonts w:hint="eastAsia" w:hAnsi="宋体"/>
          <w:b/>
          <w:sz w:val="21"/>
          <w:szCs w:val="21"/>
        </w:rPr>
        <w:t>1 爆破振动安全允许标准</w:t>
      </w:r>
    </w:p>
    <w:tbl>
      <w:tblPr>
        <w:tblStyle w:val="2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93"/>
        <w:gridCol w:w="3806"/>
        <w:gridCol w:w="1402"/>
        <w:gridCol w:w="1582"/>
        <w:gridCol w:w="1094"/>
      </w:tblGrid>
      <w:tr w14:paraId="5A760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50" w:type="pct"/>
            <w:vMerge w:val="restart"/>
            <w:tcBorders>
              <w:tl2br w:val="nil"/>
              <w:tr2bl w:val="nil"/>
            </w:tcBorders>
            <w:vAlign w:val="center"/>
          </w:tcPr>
          <w:p w14:paraId="0CE3BD3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序号</w:t>
            </w:r>
          </w:p>
        </w:tc>
        <w:tc>
          <w:tcPr>
            <w:tcW w:w="2245" w:type="pct"/>
            <w:vMerge w:val="restart"/>
            <w:tcBorders>
              <w:tl2br w:val="nil"/>
              <w:tr2bl w:val="nil"/>
            </w:tcBorders>
            <w:vAlign w:val="center"/>
          </w:tcPr>
          <w:p w14:paraId="17DEE31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保护对象类别</w:t>
            </w:r>
          </w:p>
        </w:tc>
        <w:tc>
          <w:tcPr>
            <w:tcW w:w="2405" w:type="pct"/>
            <w:gridSpan w:val="3"/>
            <w:tcBorders>
              <w:tl2br w:val="nil"/>
              <w:tr2bl w:val="nil"/>
            </w:tcBorders>
            <w:vAlign w:val="center"/>
          </w:tcPr>
          <w:p w14:paraId="5CB9AED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安全允许质点振动速度V/(cm/s)</w:t>
            </w:r>
          </w:p>
        </w:tc>
      </w:tr>
      <w:tr w14:paraId="58AB7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50" w:type="pct"/>
            <w:vMerge w:val="continue"/>
            <w:tcBorders>
              <w:tl2br w:val="nil"/>
              <w:tr2bl w:val="nil"/>
            </w:tcBorders>
            <w:vAlign w:val="center"/>
          </w:tcPr>
          <w:p w14:paraId="7C7C3C5D">
            <w:pPr>
              <w:spacing w:line="240" w:lineRule="atLeast"/>
              <w:ind w:firstLine="0" w:firstLineChars="0"/>
              <w:jc w:val="center"/>
              <w:rPr>
                <w:rFonts w:ascii="宋体" w:hAnsi="宋体" w:cs="宋体"/>
                <w:sz w:val="21"/>
                <w:szCs w:val="21"/>
                <w:highlight w:val="black"/>
              </w:rPr>
            </w:pPr>
          </w:p>
        </w:tc>
        <w:tc>
          <w:tcPr>
            <w:tcW w:w="2245" w:type="pct"/>
            <w:vMerge w:val="continue"/>
            <w:tcBorders>
              <w:tl2br w:val="nil"/>
              <w:tr2bl w:val="nil"/>
            </w:tcBorders>
            <w:vAlign w:val="center"/>
          </w:tcPr>
          <w:p w14:paraId="4524AFC6">
            <w:pPr>
              <w:spacing w:line="240" w:lineRule="atLeast"/>
              <w:ind w:firstLine="0" w:firstLineChars="0"/>
              <w:jc w:val="center"/>
              <w:rPr>
                <w:rFonts w:ascii="宋体" w:hAnsi="宋体" w:cs="宋体"/>
                <w:sz w:val="21"/>
                <w:szCs w:val="21"/>
                <w:highlight w:val="black"/>
              </w:rPr>
            </w:pPr>
          </w:p>
        </w:tc>
        <w:tc>
          <w:tcPr>
            <w:tcW w:w="827" w:type="pct"/>
            <w:tcBorders>
              <w:tl2br w:val="nil"/>
              <w:tr2bl w:val="nil"/>
            </w:tcBorders>
            <w:vAlign w:val="center"/>
          </w:tcPr>
          <w:p w14:paraId="2B781FA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f≤10 Hz</w:t>
            </w:r>
          </w:p>
        </w:tc>
        <w:tc>
          <w:tcPr>
            <w:tcW w:w="933" w:type="pct"/>
            <w:tcBorders>
              <w:tl2br w:val="nil"/>
              <w:tr2bl w:val="nil"/>
            </w:tcBorders>
            <w:vAlign w:val="center"/>
          </w:tcPr>
          <w:p w14:paraId="3A63835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10Hz&lt;f≤50Hz</w:t>
            </w:r>
          </w:p>
        </w:tc>
        <w:tc>
          <w:tcPr>
            <w:tcW w:w="645" w:type="pct"/>
            <w:tcBorders>
              <w:tl2br w:val="nil"/>
              <w:tr2bl w:val="nil"/>
            </w:tcBorders>
            <w:vAlign w:val="center"/>
          </w:tcPr>
          <w:p w14:paraId="16B27E7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f&gt;50 Hz</w:t>
            </w:r>
          </w:p>
        </w:tc>
      </w:tr>
      <w:tr w14:paraId="1AABE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4445307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w:t>
            </w:r>
          </w:p>
        </w:tc>
        <w:tc>
          <w:tcPr>
            <w:tcW w:w="2245" w:type="pct"/>
            <w:tcBorders>
              <w:tl2br w:val="nil"/>
              <w:tr2bl w:val="nil"/>
            </w:tcBorders>
            <w:vAlign w:val="center"/>
          </w:tcPr>
          <w:p w14:paraId="2D619AC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土窑洞、土坯房、毛石房屋</w:t>
            </w:r>
          </w:p>
        </w:tc>
        <w:tc>
          <w:tcPr>
            <w:tcW w:w="827" w:type="pct"/>
            <w:tcBorders>
              <w:tl2br w:val="nil"/>
              <w:tr2bl w:val="nil"/>
            </w:tcBorders>
            <w:vAlign w:val="center"/>
          </w:tcPr>
          <w:p w14:paraId="147B91B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0.15～0.45</w:t>
            </w:r>
          </w:p>
        </w:tc>
        <w:tc>
          <w:tcPr>
            <w:tcW w:w="933" w:type="pct"/>
            <w:tcBorders>
              <w:tl2br w:val="nil"/>
              <w:tr2bl w:val="nil"/>
            </w:tcBorders>
            <w:vAlign w:val="center"/>
          </w:tcPr>
          <w:p w14:paraId="6391257D">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0.45～0.9</w:t>
            </w:r>
          </w:p>
        </w:tc>
        <w:tc>
          <w:tcPr>
            <w:tcW w:w="645" w:type="pct"/>
            <w:tcBorders>
              <w:tl2br w:val="nil"/>
              <w:tr2bl w:val="nil"/>
            </w:tcBorders>
            <w:vAlign w:val="center"/>
          </w:tcPr>
          <w:p w14:paraId="525825B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0.9～1.5</w:t>
            </w:r>
          </w:p>
        </w:tc>
      </w:tr>
      <w:tr w14:paraId="4ACE2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4ED46F3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w:t>
            </w:r>
          </w:p>
        </w:tc>
        <w:tc>
          <w:tcPr>
            <w:tcW w:w="2245" w:type="pct"/>
            <w:tcBorders>
              <w:tl2br w:val="nil"/>
              <w:tr2bl w:val="nil"/>
            </w:tcBorders>
            <w:vAlign w:val="center"/>
          </w:tcPr>
          <w:p w14:paraId="46BAF00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一般民用建筑物</w:t>
            </w:r>
          </w:p>
        </w:tc>
        <w:tc>
          <w:tcPr>
            <w:tcW w:w="827" w:type="pct"/>
            <w:tcBorders>
              <w:tl2br w:val="nil"/>
              <w:tr2bl w:val="nil"/>
            </w:tcBorders>
            <w:vAlign w:val="center"/>
          </w:tcPr>
          <w:p w14:paraId="0C967FE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1.5～2.0</w:t>
            </w:r>
          </w:p>
        </w:tc>
        <w:tc>
          <w:tcPr>
            <w:tcW w:w="933" w:type="pct"/>
            <w:tcBorders>
              <w:tl2br w:val="nil"/>
              <w:tr2bl w:val="nil"/>
            </w:tcBorders>
            <w:vAlign w:val="center"/>
          </w:tcPr>
          <w:p w14:paraId="04B682F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2.0～2.5</w:t>
            </w:r>
          </w:p>
        </w:tc>
        <w:tc>
          <w:tcPr>
            <w:tcW w:w="645" w:type="pct"/>
            <w:tcBorders>
              <w:tl2br w:val="nil"/>
              <w:tr2bl w:val="nil"/>
            </w:tcBorders>
            <w:vAlign w:val="center"/>
          </w:tcPr>
          <w:p w14:paraId="68CAE55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2.5～3.0</w:t>
            </w:r>
          </w:p>
        </w:tc>
      </w:tr>
      <w:tr w14:paraId="56D89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6155B5C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w:t>
            </w:r>
          </w:p>
        </w:tc>
        <w:tc>
          <w:tcPr>
            <w:tcW w:w="2245" w:type="pct"/>
            <w:tcBorders>
              <w:tl2br w:val="nil"/>
              <w:tr2bl w:val="nil"/>
            </w:tcBorders>
            <w:vAlign w:val="center"/>
          </w:tcPr>
          <w:p w14:paraId="302AD99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工业和商业建筑物</w:t>
            </w:r>
          </w:p>
        </w:tc>
        <w:tc>
          <w:tcPr>
            <w:tcW w:w="827" w:type="pct"/>
            <w:tcBorders>
              <w:tl2br w:val="nil"/>
              <w:tr2bl w:val="nil"/>
            </w:tcBorders>
            <w:vAlign w:val="center"/>
          </w:tcPr>
          <w:p w14:paraId="76EAA1A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2.5～3.5</w:t>
            </w:r>
          </w:p>
        </w:tc>
        <w:tc>
          <w:tcPr>
            <w:tcW w:w="933" w:type="pct"/>
            <w:tcBorders>
              <w:tl2br w:val="nil"/>
              <w:tr2bl w:val="nil"/>
            </w:tcBorders>
            <w:vAlign w:val="center"/>
          </w:tcPr>
          <w:p w14:paraId="2248E3D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3.5～4.5</w:t>
            </w:r>
          </w:p>
        </w:tc>
        <w:tc>
          <w:tcPr>
            <w:tcW w:w="645" w:type="pct"/>
            <w:tcBorders>
              <w:tl2br w:val="nil"/>
              <w:tr2bl w:val="nil"/>
            </w:tcBorders>
            <w:vAlign w:val="center"/>
          </w:tcPr>
          <w:p w14:paraId="615A0E0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4.2～5.0</w:t>
            </w:r>
          </w:p>
        </w:tc>
      </w:tr>
      <w:tr w14:paraId="6F4ABE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4E485AB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2245" w:type="pct"/>
            <w:tcBorders>
              <w:tl2br w:val="nil"/>
              <w:tr2bl w:val="nil"/>
            </w:tcBorders>
            <w:vAlign w:val="center"/>
          </w:tcPr>
          <w:p w14:paraId="48CC607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一般古建筑与古迹</w:t>
            </w:r>
          </w:p>
        </w:tc>
        <w:tc>
          <w:tcPr>
            <w:tcW w:w="827" w:type="pct"/>
            <w:tcBorders>
              <w:tl2br w:val="nil"/>
              <w:tr2bl w:val="nil"/>
            </w:tcBorders>
            <w:vAlign w:val="center"/>
          </w:tcPr>
          <w:p w14:paraId="639C999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0.1～0.2</w:t>
            </w:r>
          </w:p>
        </w:tc>
        <w:tc>
          <w:tcPr>
            <w:tcW w:w="933" w:type="pct"/>
            <w:tcBorders>
              <w:tl2br w:val="nil"/>
              <w:tr2bl w:val="nil"/>
            </w:tcBorders>
            <w:vAlign w:val="center"/>
          </w:tcPr>
          <w:p w14:paraId="09BD9EE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0.2～0.3</w:t>
            </w:r>
          </w:p>
        </w:tc>
        <w:tc>
          <w:tcPr>
            <w:tcW w:w="645" w:type="pct"/>
            <w:tcBorders>
              <w:tl2br w:val="nil"/>
              <w:tr2bl w:val="nil"/>
            </w:tcBorders>
            <w:vAlign w:val="center"/>
          </w:tcPr>
          <w:p w14:paraId="4A851A3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0.3～0.5</w:t>
            </w:r>
          </w:p>
        </w:tc>
      </w:tr>
      <w:tr w14:paraId="7A2A1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21824D9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w:t>
            </w:r>
          </w:p>
        </w:tc>
        <w:tc>
          <w:tcPr>
            <w:tcW w:w="2245" w:type="pct"/>
            <w:tcBorders>
              <w:tl2br w:val="nil"/>
              <w:tr2bl w:val="nil"/>
            </w:tcBorders>
            <w:vAlign w:val="center"/>
          </w:tcPr>
          <w:p w14:paraId="1EE66F3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运行中的水电站及发电厂中心控制室设备</w:t>
            </w:r>
          </w:p>
        </w:tc>
        <w:tc>
          <w:tcPr>
            <w:tcW w:w="827" w:type="pct"/>
            <w:tcBorders>
              <w:tl2br w:val="nil"/>
              <w:tr2bl w:val="nil"/>
            </w:tcBorders>
            <w:vAlign w:val="center"/>
          </w:tcPr>
          <w:p w14:paraId="094686E0">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0.5～0.6</w:t>
            </w:r>
          </w:p>
        </w:tc>
        <w:tc>
          <w:tcPr>
            <w:tcW w:w="933" w:type="pct"/>
            <w:tcBorders>
              <w:tl2br w:val="nil"/>
              <w:tr2bl w:val="nil"/>
            </w:tcBorders>
            <w:vAlign w:val="center"/>
          </w:tcPr>
          <w:p w14:paraId="71B101A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0.6～0.7</w:t>
            </w:r>
          </w:p>
        </w:tc>
        <w:tc>
          <w:tcPr>
            <w:tcW w:w="645" w:type="pct"/>
            <w:tcBorders>
              <w:tl2br w:val="nil"/>
              <w:tr2bl w:val="nil"/>
            </w:tcBorders>
            <w:vAlign w:val="center"/>
          </w:tcPr>
          <w:p w14:paraId="2E9A8D4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0.7～0.9</w:t>
            </w:r>
          </w:p>
        </w:tc>
      </w:tr>
      <w:tr w14:paraId="50B08D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3B10520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6</w:t>
            </w:r>
          </w:p>
        </w:tc>
        <w:tc>
          <w:tcPr>
            <w:tcW w:w="2245" w:type="pct"/>
            <w:tcBorders>
              <w:tl2br w:val="nil"/>
              <w:tr2bl w:val="nil"/>
            </w:tcBorders>
            <w:vAlign w:val="center"/>
          </w:tcPr>
          <w:p w14:paraId="7C26DBE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水工隧洞</w:t>
            </w:r>
          </w:p>
        </w:tc>
        <w:tc>
          <w:tcPr>
            <w:tcW w:w="827" w:type="pct"/>
            <w:tcBorders>
              <w:tl2br w:val="nil"/>
              <w:tr2bl w:val="nil"/>
            </w:tcBorders>
            <w:vAlign w:val="center"/>
          </w:tcPr>
          <w:p w14:paraId="79CE600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7～8</w:t>
            </w:r>
          </w:p>
        </w:tc>
        <w:tc>
          <w:tcPr>
            <w:tcW w:w="933" w:type="pct"/>
            <w:tcBorders>
              <w:tl2br w:val="nil"/>
              <w:tr2bl w:val="nil"/>
            </w:tcBorders>
            <w:vAlign w:val="center"/>
          </w:tcPr>
          <w:p w14:paraId="7D47520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8～10</w:t>
            </w:r>
          </w:p>
        </w:tc>
        <w:tc>
          <w:tcPr>
            <w:tcW w:w="645" w:type="pct"/>
            <w:tcBorders>
              <w:tl2br w:val="nil"/>
              <w:tr2bl w:val="nil"/>
            </w:tcBorders>
            <w:vAlign w:val="center"/>
          </w:tcPr>
          <w:p w14:paraId="34237E4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10～15</w:t>
            </w:r>
          </w:p>
        </w:tc>
      </w:tr>
      <w:tr w14:paraId="6F8FDC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2042EF3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w:t>
            </w:r>
          </w:p>
        </w:tc>
        <w:tc>
          <w:tcPr>
            <w:tcW w:w="2245" w:type="pct"/>
            <w:tcBorders>
              <w:tl2br w:val="nil"/>
              <w:tr2bl w:val="nil"/>
            </w:tcBorders>
            <w:vAlign w:val="center"/>
          </w:tcPr>
          <w:p w14:paraId="42E0949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交通隧道</w:t>
            </w:r>
          </w:p>
        </w:tc>
        <w:tc>
          <w:tcPr>
            <w:tcW w:w="827" w:type="pct"/>
            <w:tcBorders>
              <w:tl2br w:val="nil"/>
              <w:tr2bl w:val="nil"/>
            </w:tcBorders>
            <w:vAlign w:val="center"/>
          </w:tcPr>
          <w:p w14:paraId="3CB1E6E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10～12</w:t>
            </w:r>
          </w:p>
        </w:tc>
        <w:tc>
          <w:tcPr>
            <w:tcW w:w="933" w:type="pct"/>
            <w:tcBorders>
              <w:tl2br w:val="nil"/>
              <w:tr2bl w:val="nil"/>
            </w:tcBorders>
            <w:vAlign w:val="center"/>
          </w:tcPr>
          <w:p w14:paraId="0FF4420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12～15</w:t>
            </w:r>
          </w:p>
        </w:tc>
        <w:tc>
          <w:tcPr>
            <w:tcW w:w="645" w:type="pct"/>
            <w:tcBorders>
              <w:tl2br w:val="nil"/>
              <w:tr2bl w:val="nil"/>
            </w:tcBorders>
            <w:vAlign w:val="center"/>
          </w:tcPr>
          <w:p w14:paraId="2894CD2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15～20</w:t>
            </w:r>
          </w:p>
        </w:tc>
      </w:tr>
      <w:tr w14:paraId="4F2482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7D02CB6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w:t>
            </w:r>
          </w:p>
        </w:tc>
        <w:tc>
          <w:tcPr>
            <w:tcW w:w="2245" w:type="pct"/>
            <w:tcBorders>
              <w:tl2br w:val="nil"/>
              <w:tr2bl w:val="nil"/>
            </w:tcBorders>
            <w:vAlign w:val="center"/>
          </w:tcPr>
          <w:p w14:paraId="6F4274C0">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矿山巷道</w:t>
            </w:r>
          </w:p>
        </w:tc>
        <w:tc>
          <w:tcPr>
            <w:tcW w:w="827" w:type="pct"/>
            <w:tcBorders>
              <w:tl2br w:val="nil"/>
              <w:tr2bl w:val="nil"/>
            </w:tcBorders>
            <w:vAlign w:val="center"/>
          </w:tcPr>
          <w:p w14:paraId="6385E27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15～18</w:t>
            </w:r>
          </w:p>
        </w:tc>
        <w:tc>
          <w:tcPr>
            <w:tcW w:w="933" w:type="pct"/>
            <w:tcBorders>
              <w:tl2br w:val="nil"/>
              <w:tr2bl w:val="nil"/>
            </w:tcBorders>
            <w:vAlign w:val="center"/>
          </w:tcPr>
          <w:p w14:paraId="224D945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18～25</w:t>
            </w:r>
          </w:p>
        </w:tc>
        <w:tc>
          <w:tcPr>
            <w:tcW w:w="645" w:type="pct"/>
            <w:tcBorders>
              <w:tl2br w:val="nil"/>
              <w:tr2bl w:val="nil"/>
            </w:tcBorders>
            <w:vAlign w:val="center"/>
          </w:tcPr>
          <w:p w14:paraId="153FE44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20～30</w:t>
            </w:r>
          </w:p>
        </w:tc>
      </w:tr>
      <w:tr w14:paraId="38677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46C1AA3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9</w:t>
            </w:r>
          </w:p>
        </w:tc>
        <w:tc>
          <w:tcPr>
            <w:tcW w:w="2245" w:type="pct"/>
            <w:tcBorders>
              <w:tl2br w:val="nil"/>
              <w:tr2bl w:val="nil"/>
            </w:tcBorders>
            <w:vAlign w:val="center"/>
          </w:tcPr>
          <w:p w14:paraId="0EAB70A0">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永久性岩石高边坡</w:t>
            </w:r>
          </w:p>
        </w:tc>
        <w:tc>
          <w:tcPr>
            <w:tcW w:w="827" w:type="pct"/>
            <w:tcBorders>
              <w:tl2br w:val="nil"/>
              <w:tr2bl w:val="nil"/>
            </w:tcBorders>
            <w:vAlign w:val="center"/>
          </w:tcPr>
          <w:p w14:paraId="620C548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5～9</w:t>
            </w:r>
          </w:p>
        </w:tc>
        <w:tc>
          <w:tcPr>
            <w:tcW w:w="933" w:type="pct"/>
            <w:tcBorders>
              <w:tl2br w:val="nil"/>
              <w:tr2bl w:val="nil"/>
            </w:tcBorders>
            <w:vAlign w:val="center"/>
          </w:tcPr>
          <w:p w14:paraId="0E13DE4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8～12</w:t>
            </w:r>
          </w:p>
        </w:tc>
        <w:tc>
          <w:tcPr>
            <w:tcW w:w="645" w:type="pct"/>
            <w:tcBorders>
              <w:tl2br w:val="nil"/>
              <w:tr2bl w:val="nil"/>
            </w:tcBorders>
            <w:vAlign w:val="center"/>
          </w:tcPr>
          <w:p w14:paraId="2B42B00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10～15</w:t>
            </w:r>
          </w:p>
        </w:tc>
      </w:tr>
      <w:tr w14:paraId="41E1B2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744FE3C6">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w:t>
            </w:r>
          </w:p>
        </w:tc>
        <w:tc>
          <w:tcPr>
            <w:tcW w:w="2245" w:type="pct"/>
            <w:tcBorders>
              <w:tl2br w:val="nil"/>
              <w:tr2bl w:val="nil"/>
            </w:tcBorders>
            <w:vAlign w:val="center"/>
          </w:tcPr>
          <w:p w14:paraId="37E214E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新浇大体积混凝土（C20）：</w:t>
            </w:r>
          </w:p>
          <w:p w14:paraId="774879A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 xml:space="preserve">龄期：初凝～3d </w:t>
            </w:r>
          </w:p>
          <w:p w14:paraId="3270853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龄期：3 d～7 d</w:t>
            </w:r>
          </w:p>
          <w:p w14:paraId="21B35EA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 xml:space="preserve"> 龄期：7d～28d</w:t>
            </w:r>
          </w:p>
        </w:tc>
        <w:tc>
          <w:tcPr>
            <w:tcW w:w="827" w:type="pct"/>
            <w:tcBorders>
              <w:tl2br w:val="nil"/>
              <w:tr2bl w:val="nil"/>
            </w:tcBorders>
            <w:vAlign w:val="center"/>
          </w:tcPr>
          <w:p w14:paraId="7942238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1.5～2.0</w:t>
            </w:r>
          </w:p>
          <w:p w14:paraId="795AA2A0">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3.0～4.0</w:t>
            </w:r>
          </w:p>
          <w:p w14:paraId="251DBC3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7.0～8.0</w:t>
            </w:r>
          </w:p>
        </w:tc>
        <w:tc>
          <w:tcPr>
            <w:tcW w:w="933" w:type="pct"/>
            <w:tcBorders>
              <w:tl2br w:val="nil"/>
              <w:tr2bl w:val="nil"/>
            </w:tcBorders>
            <w:vAlign w:val="center"/>
          </w:tcPr>
          <w:p w14:paraId="00C9D5E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2.0～2.5</w:t>
            </w:r>
          </w:p>
          <w:p w14:paraId="5A1FF5E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4.0～5.0</w:t>
            </w:r>
          </w:p>
          <w:p w14:paraId="172989D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8.0～10.0</w:t>
            </w:r>
          </w:p>
        </w:tc>
        <w:tc>
          <w:tcPr>
            <w:tcW w:w="645" w:type="pct"/>
            <w:tcBorders>
              <w:tl2br w:val="nil"/>
              <w:tr2bl w:val="nil"/>
            </w:tcBorders>
            <w:vAlign w:val="center"/>
          </w:tcPr>
          <w:p w14:paraId="2F99EA2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2.5～3.0</w:t>
            </w:r>
          </w:p>
          <w:p w14:paraId="3EB7B27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5.0～7.0</w:t>
            </w:r>
          </w:p>
          <w:p w14:paraId="2846DEE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10.0～12</w:t>
            </w:r>
          </w:p>
        </w:tc>
      </w:tr>
      <w:tr w14:paraId="59609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vAlign w:val="center"/>
          </w:tcPr>
          <w:p w14:paraId="0A7F86B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爆破振动监测应同时测定质点振动相互垂直的三个分量。</w:t>
            </w:r>
          </w:p>
        </w:tc>
      </w:tr>
      <w:tr w14:paraId="102EEE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vAlign w:val="center"/>
          </w:tcPr>
          <w:p w14:paraId="68F7CD6B">
            <w:pPr>
              <w:spacing w:line="240" w:lineRule="atLeast"/>
              <w:ind w:firstLine="0" w:firstLineChars="0"/>
              <w:jc w:val="left"/>
              <w:rPr>
                <w:rFonts w:ascii="宋体" w:hAnsi="宋体" w:cs="宋体"/>
                <w:sz w:val="21"/>
                <w:szCs w:val="21"/>
                <w:highlight w:val="black"/>
              </w:rPr>
            </w:pPr>
            <w:r>
              <w:rPr>
                <w:rFonts w:hint="eastAsia" w:ascii="宋体" w:hAnsi="宋体" w:cs="宋体"/>
                <w:sz w:val="21"/>
                <w:szCs w:val="21"/>
                <w:highlight w:val="black"/>
              </w:rPr>
              <w:t>注1：表中质点振动速度为三个分量中的最大值，振动频率为主振频率；</w:t>
            </w:r>
          </w:p>
          <w:p w14:paraId="05906993">
            <w:pPr>
              <w:spacing w:line="240" w:lineRule="atLeast"/>
              <w:ind w:firstLine="0" w:firstLineChars="0"/>
              <w:jc w:val="left"/>
              <w:rPr>
                <w:rFonts w:ascii="宋体" w:hAnsi="宋体" w:cs="宋体"/>
                <w:sz w:val="21"/>
                <w:szCs w:val="21"/>
                <w:highlight w:val="black"/>
              </w:rPr>
            </w:pPr>
            <w:r>
              <w:rPr>
                <w:rFonts w:hint="eastAsia" w:ascii="宋体" w:hAnsi="宋体" w:cs="宋体"/>
                <w:sz w:val="21"/>
                <w:szCs w:val="21"/>
                <w:highlight w:val="black"/>
              </w:rPr>
              <w:t>注2：频率范围根据现场实测波形确定或按如下数据选取：硐室爆破f小于20Hz，露天深孔爆破f在10Hz～60Hz之间，露天浅孔爆破f在40Hz～100Hz之间；地下深孔爆破f在30Hz～100Hz之间，地下浅孔爆破f在60Hz～300Hz之间。</w:t>
            </w:r>
          </w:p>
        </w:tc>
      </w:tr>
    </w:tbl>
    <w:p w14:paraId="738E728B">
      <w:pPr>
        <w:spacing w:line="240" w:lineRule="auto"/>
        <w:ind w:firstLine="0" w:firstLineChars="0"/>
        <w:jc w:val="center"/>
        <w:rPr>
          <w:rFonts w:hAnsi="宋体"/>
          <w:b/>
          <w:sz w:val="21"/>
          <w:szCs w:val="21"/>
        </w:rPr>
      </w:pPr>
      <w:r>
        <w:rPr>
          <w:rFonts w:hint="eastAsia" w:hAnsi="宋体"/>
          <w:b/>
          <w:sz w:val="21"/>
          <w:szCs w:val="21"/>
        </w:rPr>
        <w:t>表2-2 爆区不同岩性的K、a值</w:t>
      </w:r>
    </w:p>
    <w:tbl>
      <w:tblPr>
        <w:tblStyle w:val="2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26"/>
        <w:gridCol w:w="2826"/>
        <w:gridCol w:w="2825"/>
      </w:tblGrid>
      <w:tr w14:paraId="0F432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3ACD2BAB">
            <w:pPr>
              <w:spacing w:line="240" w:lineRule="atLeast"/>
              <w:ind w:firstLine="0" w:firstLineChars="0"/>
              <w:jc w:val="center"/>
              <w:rPr>
                <w:sz w:val="21"/>
                <w:szCs w:val="21"/>
                <w:highlight w:val="black"/>
              </w:rPr>
            </w:pPr>
            <w:r>
              <w:rPr>
                <w:sz w:val="21"/>
                <w:szCs w:val="21"/>
                <w:highlight w:val="black"/>
              </w:rPr>
              <w:t>岩性</w:t>
            </w:r>
          </w:p>
        </w:tc>
        <w:tc>
          <w:tcPr>
            <w:tcW w:w="1667" w:type="pct"/>
            <w:tcBorders>
              <w:tl2br w:val="nil"/>
              <w:tr2bl w:val="nil"/>
            </w:tcBorders>
            <w:vAlign w:val="center"/>
          </w:tcPr>
          <w:p w14:paraId="6C110B9F">
            <w:pPr>
              <w:spacing w:line="240" w:lineRule="atLeast"/>
              <w:ind w:firstLine="0" w:firstLineChars="0"/>
              <w:jc w:val="center"/>
              <w:rPr>
                <w:sz w:val="21"/>
                <w:szCs w:val="21"/>
                <w:highlight w:val="black"/>
              </w:rPr>
            </w:pPr>
            <w:r>
              <w:rPr>
                <w:sz w:val="21"/>
                <w:szCs w:val="21"/>
                <w:highlight w:val="black"/>
              </w:rPr>
              <w:t>K</w:t>
            </w:r>
          </w:p>
        </w:tc>
        <w:tc>
          <w:tcPr>
            <w:tcW w:w="1666" w:type="pct"/>
            <w:tcBorders>
              <w:tl2br w:val="nil"/>
              <w:tr2bl w:val="nil"/>
            </w:tcBorders>
            <w:vAlign w:val="center"/>
          </w:tcPr>
          <w:p w14:paraId="64F7BE0F">
            <w:pPr>
              <w:spacing w:line="240" w:lineRule="atLeast"/>
              <w:ind w:firstLine="0" w:firstLineChars="0"/>
              <w:jc w:val="center"/>
              <w:rPr>
                <w:sz w:val="21"/>
                <w:szCs w:val="21"/>
                <w:highlight w:val="black"/>
              </w:rPr>
            </w:pPr>
            <w:r>
              <w:rPr>
                <w:sz w:val="21"/>
                <w:szCs w:val="21"/>
                <w:highlight w:val="black"/>
              </w:rPr>
              <w:t>a</w:t>
            </w:r>
          </w:p>
        </w:tc>
      </w:tr>
      <w:tr w14:paraId="0926BC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1DB52451">
            <w:pPr>
              <w:spacing w:line="240" w:lineRule="atLeast"/>
              <w:ind w:firstLine="0" w:firstLineChars="0"/>
              <w:jc w:val="center"/>
              <w:rPr>
                <w:sz w:val="21"/>
                <w:szCs w:val="21"/>
                <w:highlight w:val="black"/>
              </w:rPr>
            </w:pPr>
            <w:r>
              <w:rPr>
                <w:sz w:val="21"/>
                <w:szCs w:val="21"/>
                <w:highlight w:val="black"/>
              </w:rPr>
              <w:t>坚硬岩石</w:t>
            </w:r>
          </w:p>
        </w:tc>
        <w:tc>
          <w:tcPr>
            <w:tcW w:w="1667" w:type="pct"/>
            <w:tcBorders>
              <w:tl2br w:val="nil"/>
              <w:tr2bl w:val="nil"/>
            </w:tcBorders>
            <w:vAlign w:val="center"/>
          </w:tcPr>
          <w:p w14:paraId="493EE9DA">
            <w:pPr>
              <w:spacing w:line="240" w:lineRule="atLeast"/>
              <w:ind w:firstLine="0" w:firstLineChars="0"/>
              <w:jc w:val="center"/>
              <w:rPr>
                <w:sz w:val="21"/>
                <w:szCs w:val="21"/>
                <w:highlight w:val="black"/>
              </w:rPr>
            </w:pPr>
            <w:r>
              <w:rPr>
                <w:sz w:val="21"/>
                <w:szCs w:val="21"/>
                <w:highlight w:val="black"/>
              </w:rPr>
              <w:t>50～150</w:t>
            </w:r>
          </w:p>
        </w:tc>
        <w:tc>
          <w:tcPr>
            <w:tcW w:w="1666" w:type="pct"/>
            <w:tcBorders>
              <w:tl2br w:val="nil"/>
              <w:tr2bl w:val="nil"/>
            </w:tcBorders>
            <w:vAlign w:val="center"/>
          </w:tcPr>
          <w:p w14:paraId="0D9E3367">
            <w:pPr>
              <w:spacing w:line="240" w:lineRule="atLeast"/>
              <w:ind w:firstLine="0" w:firstLineChars="0"/>
              <w:jc w:val="center"/>
              <w:rPr>
                <w:sz w:val="21"/>
                <w:szCs w:val="21"/>
                <w:highlight w:val="black"/>
              </w:rPr>
            </w:pPr>
            <w:r>
              <w:rPr>
                <w:sz w:val="21"/>
                <w:szCs w:val="21"/>
                <w:highlight w:val="black"/>
              </w:rPr>
              <w:t>1.3～1.5</w:t>
            </w:r>
          </w:p>
        </w:tc>
      </w:tr>
      <w:tr w14:paraId="54B426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2E24E746">
            <w:pPr>
              <w:spacing w:line="240" w:lineRule="atLeast"/>
              <w:ind w:firstLine="0" w:firstLineChars="0"/>
              <w:jc w:val="center"/>
              <w:rPr>
                <w:sz w:val="21"/>
                <w:szCs w:val="21"/>
                <w:highlight w:val="black"/>
              </w:rPr>
            </w:pPr>
            <w:r>
              <w:rPr>
                <w:sz w:val="21"/>
                <w:szCs w:val="21"/>
                <w:highlight w:val="black"/>
              </w:rPr>
              <w:t>中硬岩石</w:t>
            </w:r>
          </w:p>
        </w:tc>
        <w:tc>
          <w:tcPr>
            <w:tcW w:w="1667" w:type="pct"/>
            <w:tcBorders>
              <w:tl2br w:val="nil"/>
              <w:tr2bl w:val="nil"/>
            </w:tcBorders>
            <w:vAlign w:val="center"/>
          </w:tcPr>
          <w:p w14:paraId="58C93F1F">
            <w:pPr>
              <w:spacing w:line="240" w:lineRule="atLeast"/>
              <w:ind w:firstLine="0" w:firstLineChars="0"/>
              <w:jc w:val="center"/>
              <w:rPr>
                <w:sz w:val="21"/>
                <w:szCs w:val="21"/>
                <w:highlight w:val="black"/>
              </w:rPr>
            </w:pPr>
            <w:r>
              <w:rPr>
                <w:sz w:val="21"/>
                <w:szCs w:val="21"/>
                <w:highlight w:val="black"/>
              </w:rPr>
              <w:t>150～250</w:t>
            </w:r>
          </w:p>
        </w:tc>
        <w:tc>
          <w:tcPr>
            <w:tcW w:w="1666" w:type="pct"/>
            <w:tcBorders>
              <w:tl2br w:val="nil"/>
              <w:tr2bl w:val="nil"/>
            </w:tcBorders>
            <w:vAlign w:val="center"/>
          </w:tcPr>
          <w:p w14:paraId="3B87682C">
            <w:pPr>
              <w:spacing w:line="240" w:lineRule="atLeast"/>
              <w:ind w:firstLine="0" w:firstLineChars="0"/>
              <w:jc w:val="center"/>
              <w:rPr>
                <w:sz w:val="21"/>
                <w:szCs w:val="21"/>
                <w:highlight w:val="black"/>
              </w:rPr>
            </w:pPr>
            <w:r>
              <w:rPr>
                <w:sz w:val="21"/>
                <w:szCs w:val="21"/>
                <w:highlight w:val="black"/>
              </w:rPr>
              <w:t>1.5～1.8</w:t>
            </w:r>
          </w:p>
        </w:tc>
      </w:tr>
      <w:tr w14:paraId="15C40A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1E3B466F">
            <w:pPr>
              <w:spacing w:line="240" w:lineRule="atLeast"/>
              <w:ind w:firstLine="0" w:firstLineChars="0"/>
              <w:jc w:val="center"/>
              <w:rPr>
                <w:sz w:val="21"/>
                <w:szCs w:val="21"/>
                <w:highlight w:val="black"/>
              </w:rPr>
            </w:pPr>
            <w:r>
              <w:rPr>
                <w:sz w:val="21"/>
                <w:szCs w:val="21"/>
                <w:highlight w:val="black"/>
              </w:rPr>
              <w:t>软岩石</w:t>
            </w:r>
          </w:p>
        </w:tc>
        <w:tc>
          <w:tcPr>
            <w:tcW w:w="1667" w:type="pct"/>
            <w:tcBorders>
              <w:tl2br w:val="nil"/>
              <w:tr2bl w:val="nil"/>
            </w:tcBorders>
            <w:vAlign w:val="center"/>
          </w:tcPr>
          <w:p w14:paraId="6309D688">
            <w:pPr>
              <w:spacing w:line="240" w:lineRule="atLeast"/>
              <w:ind w:firstLine="0" w:firstLineChars="0"/>
              <w:jc w:val="center"/>
              <w:rPr>
                <w:sz w:val="21"/>
                <w:szCs w:val="21"/>
                <w:highlight w:val="black"/>
              </w:rPr>
            </w:pPr>
            <w:r>
              <w:rPr>
                <w:sz w:val="21"/>
                <w:szCs w:val="21"/>
                <w:highlight w:val="black"/>
              </w:rPr>
              <w:t>250～350</w:t>
            </w:r>
          </w:p>
        </w:tc>
        <w:tc>
          <w:tcPr>
            <w:tcW w:w="1666" w:type="pct"/>
            <w:tcBorders>
              <w:tl2br w:val="nil"/>
              <w:tr2bl w:val="nil"/>
            </w:tcBorders>
            <w:vAlign w:val="center"/>
          </w:tcPr>
          <w:p w14:paraId="0B7800D1">
            <w:pPr>
              <w:spacing w:line="240" w:lineRule="atLeast"/>
              <w:ind w:firstLine="0" w:firstLineChars="0"/>
              <w:jc w:val="center"/>
              <w:rPr>
                <w:sz w:val="21"/>
                <w:szCs w:val="21"/>
                <w:highlight w:val="black"/>
              </w:rPr>
            </w:pPr>
            <w:r>
              <w:rPr>
                <w:sz w:val="21"/>
                <w:szCs w:val="21"/>
                <w:highlight w:val="black"/>
              </w:rPr>
              <w:t>1.8～2.0</w:t>
            </w:r>
          </w:p>
        </w:tc>
      </w:tr>
    </w:tbl>
    <w:p w14:paraId="1CD3894C">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 xml:space="preserve"> （3）河流</w:t>
      </w:r>
    </w:p>
    <w:p w14:paraId="7A46F64F">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矿区南侧有1条地表浑河支流，水面高程136m，距离3到4号矿界拐点85m，</w:t>
      </w:r>
      <w:bookmarkStart w:id="101" w:name="_Hlk192450753"/>
      <w:r>
        <w:rPr>
          <w:rFonts w:hint="eastAsia" w:asciiTheme="minorEastAsia" w:hAnsiTheme="minorEastAsia" w:eastAsiaTheme="minorEastAsia" w:cstheme="minorEastAsia"/>
          <w:highlight w:val="black"/>
        </w:rPr>
        <w:t>距离地表岩石移动界线最近距离196m。</w:t>
      </w:r>
      <w:bookmarkEnd w:id="101"/>
      <w:r>
        <w:rPr>
          <w:rFonts w:hint="eastAsia" w:asciiTheme="minorEastAsia" w:hAnsiTheme="minorEastAsia" w:eastAsiaTheme="minorEastAsia" w:cstheme="minorEastAsia"/>
          <w:highlight w:val="black"/>
        </w:rPr>
        <w:t>由东北向南西流过，常年流水，平常河水深0.2～0.5m，雨季河水暴涨，最高河水深能达1m，干旱季节河水水位下降。除河流外，各沟谷中有季节性水流。</w:t>
      </w:r>
    </w:p>
    <w:p w14:paraId="0F641C67">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隐蔽致灾因素普查报告》明确，通过实地调查走访，河水未见断流、水位陡降、流量骤减现象，河床底部为砂卵石，局部基岩出露，岩性为斜长角闪岩，岩体完整，裂隙不发育，地表河流与深部矿床无构造联系，河水通过基岩风化裂隙渗入补给地下水水量极小，对矿床充水条件影响微弱。不会对下一步地下生产系统产生影响。</w:t>
      </w:r>
      <w:bookmarkEnd w:id="100"/>
    </w:p>
    <w:p w14:paraId="0EA25DE2">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（4）周边矿权</w:t>
      </w:r>
    </w:p>
    <w:p w14:paraId="05F85F00">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1）南采区探矿权</w:t>
      </w:r>
    </w:p>
    <w:p w14:paraId="246149CF">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根据《辽宁省本溪市歪头山大柳峪铁矿详查报告》，该矿探矿证（证号：T2100002008122010019565）面积为2.7107km</w:t>
      </w:r>
      <w:r>
        <w:rPr>
          <w:rFonts w:hint="eastAsia" w:asciiTheme="minorEastAsia" w:hAnsiTheme="minorEastAsia" w:eastAsiaTheme="minorEastAsia" w:cstheme="minorEastAsia"/>
          <w:highlight w:val="black"/>
          <w:vertAlign w:val="superscript"/>
        </w:rPr>
        <w:t>2</w:t>
      </w:r>
      <w:r>
        <w:rPr>
          <w:rFonts w:hint="eastAsia" w:asciiTheme="minorEastAsia" w:hAnsiTheme="minorEastAsia" w:eastAsiaTheme="minorEastAsia" w:cstheme="minorEastAsia"/>
          <w:highlight w:val="black"/>
        </w:rPr>
        <w:t>，分布于S304省道南北两侧，共发现50条矿体，其中主矿体位于勘查区北部，矿体比较集中，符合转采矿权条件，故《开发利用方案》阶段仅对北采区进行了探转采设计，并取得北采区采矿许可证。而南采区按相关程序保留探矿权，由于勘察程度较低，继续开展勘查工作，待增储且具备条件后再进行转采矿权。</w:t>
      </w:r>
    </w:p>
    <w:p w14:paraId="435956A0">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因为南北采区中间有S304省道通过，两采区均应按照相关要求在省道两侧留设不小于100m的安全矿柱，未来即使南采区取得采矿许可证后，两采区之间至少留有不小于200m的安全矿柱，且两采区均采用地下开采，故两采区之间无相互影响。</w:t>
      </w:r>
    </w:p>
    <w:p w14:paraId="555D1C74">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2）辽宁省本溪市歪头山镇小柳峪铁矿普查区</w:t>
      </w:r>
    </w:p>
    <w:p w14:paraId="7019704B">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在本矿山西北侧有辽宁省本溪市歪头山镇小柳峪铁矿普查范围，该铁矿目前处于普查阶段，并未取得采矿许可证，矿体赋存形态及位置并未明确，故无法确定其岩石移动范围或者爆破警戒范围。但是本矿山地表岩石移动范围距离该普查范围最小距离超过210m，该铁矿未来若采用地下开采，两矿山的岩石移动界限不会发生重叠；若该矿山未来采用露天开采，因为本矿山所有井筒及工业场地均位于矿区东侧或者南侧，距离该普查范围远超过300m，其露天爆破警戒范围不会对本矿山产生影响。综上分析，本矿山与该铁矿之间不会产生相互影响。</w:t>
      </w:r>
    </w:p>
    <w:p w14:paraId="1AF5EB81">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3）本溪通程矿业有限公司（铁矿）采矿权</w:t>
      </w:r>
    </w:p>
    <w:p w14:paraId="675869E2">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在本矿山北侧有本溪通程矿业有限公司（铁矿）一采区，两矿区矿界最近距离13m。根据《本溪通程矿业有限公司（铁矿）矿产资源开发利用方案》，未来该采区将采用地采方式开采，其赋存矿体主要位于该采区北侧，形成地表岩石移动界线距离本矿山地表岩石移动界线最近距离407m，无重叠，且地表井筒以及工业场地均位于对方岩石移动界线20m以外，故相互之间无影响。</w:t>
      </w:r>
    </w:p>
    <w:p w14:paraId="45E301E1">
      <w:pPr>
        <w:snapToGrid w:val="0"/>
        <w:spacing w:line="520" w:lineRule="atLeast"/>
        <w:ind w:firstLine="443"/>
        <w:rPr>
          <w:color w:val="FF0000"/>
          <w:sz w:val="26"/>
          <w:szCs w:val="26"/>
        </w:rPr>
      </w:pPr>
      <w:r>
        <w:rPr>
          <w:color w:val="FF0000"/>
          <w:sz w:val="21"/>
        </w:rPr>
        <w:drawing>
          <wp:anchor distT="0" distB="0" distL="114300" distR="114300" simplePos="0" relativeHeight="251667456" behindDoc="0" locked="0" layoutInCell="1" allowOverlap="1">
            <wp:simplePos x="0" y="0"/>
            <wp:positionH relativeFrom="column">
              <wp:posOffset>600075</wp:posOffset>
            </wp:positionH>
            <wp:positionV relativeFrom="paragraph">
              <wp:posOffset>144780</wp:posOffset>
            </wp:positionV>
            <wp:extent cx="4319270" cy="4865370"/>
            <wp:effectExtent l="0" t="0" r="8890" b="1143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l="22934" t="7114" r="21312" b="4114"/>
                    <a:stretch>
                      <a:fillRect/>
                    </a:stretch>
                  </pic:blipFill>
                  <pic:spPr>
                    <a:xfrm>
                      <a:off x="0" y="0"/>
                      <a:ext cx="4319270" cy="4865370"/>
                    </a:xfrm>
                    <a:prstGeom prst="rect">
                      <a:avLst/>
                    </a:prstGeom>
                    <a:noFill/>
                    <a:ln w="19050">
                      <a:solidFill>
                        <a:schemeClr val="tx1"/>
                      </a:solidFill>
                    </a:ln>
                  </pic:spPr>
                </pic:pic>
              </a:graphicData>
            </a:graphic>
          </wp:anchor>
        </w:drawing>
      </w:r>
    </w:p>
    <w:p w14:paraId="30CBFB77">
      <w:pPr>
        <w:snapToGrid w:val="0"/>
        <w:spacing w:line="520" w:lineRule="atLeast"/>
        <w:ind w:firstLine="543"/>
        <w:rPr>
          <w:color w:val="FF0000"/>
          <w:sz w:val="26"/>
          <w:szCs w:val="26"/>
        </w:rPr>
      </w:pPr>
    </w:p>
    <w:p w14:paraId="1C7ADF32">
      <w:pPr>
        <w:snapToGrid w:val="0"/>
        <w:spacing w:line="520" w:lineRule="atLeast"/>
        <w:ind w:firstLine="543"/>
        <w:rPr>
          <w:color w:val="FF0000"/>
          <w:sz w:val="26"/>
          <w:szCs w:val="26"/>
        </w:rPr>
      </w:pPr>
    </w:p>
    <w:p w14:paraId="30D14846">
      <w:pPr>
        <w:snapToGrid w:val="0"/>
        <w:spacing w:line="520" w:lineRule="atLeast"/>
        <w:ind w:firstLine="543"/>
        <w:rPr>
          <w:color w:val="FF0000"/>
          <w:sz w:val="26"/>
          <w:szCs w:val="26"/>
        </w:rPr>
      </w:pPr>
    </w:p>
    <w:p w14:paraId="67CE675D">
      <w:pPr>
        <w:snapToGrid w:val="0"/>
        <w:spacing w:line="520" w:lineRule="atLeast"/>
        <w:ind w:firstLine="543"/>
        <w:rPr>
          <w:color w:val="FF0000"/>
          <w:sz w:val="26"/>
          <w:szCs w:val="26"/>
        </w:rPr>
      </w:pPr>
    </w:p>
    <w:p w14:paraId="746054FE">
      <w:pPr>
        <w:snapToGrid w:val="0"/>
        <w:spacing w:line="520" w:lineRule="atLeast"/>
        <w:ind w:firstLine="0" w:firstLineChars="0"/>
        <w:rPr>
          <w:color w:val="FF0000"/>
          <w:sz w:val="26"/>
          <w:szCs w:val="26"/>
        </w:rPr>
      </w:pPr>
    </w:p>
    <w:p w14:paraId="2EA977EE">
      <w:pPr>
        <w:snapToGrid w:val="0"/>
        <w:spacing w:line="520" w:lineRule="atLeast"/>
        <w:ind w:firstLine="543"/>
        <w:rPr>
          <w:color w:val="FF0000"/>
          <w:sz w:val="26"/>
          <w:szCs w:val="26"/>
        </w:rPr>
      </w:pPr>
    </w:p>
    <w:p w14:paraId="366AAF6B">
      <w:pPr>
        <w:snapToGrid w:val="0"/>
        <w:spacing w:line="520" w:lineRule="atLeast"/>
        <w:ind w:firstLine="543"/>
        <w:rPr>
          <w:color w:val="FF0000"/>
          <w:sz w:val="26"/>
          <w:szCs w:val="26"/>
        </w:rPr>
      </w:pPr>
    </w:p>
    <w:p w14:paraId="35D85A10">
      <w:pPr>
        <w:snapToGrid w:val="0"/>
        <w:spacing w:line="520" w:lineRule="atLeast"/>
        <w:ind w:firstLine="543"/>
        <w:rPr>
          <w:color w:val="FF0000"/>
          <w:sz w:val="26"/>
          <w:szCs w:val="26"/>
        </w:rPr>
      </w:pPr>
    </w:p>
    <w:p w14:paraId="4803E883">
      <w:pPr>
        <w:snapToGrid w:val="0"/>
        <w:spacing w:line="520" w:lineRule="atLeast"/>
        <w:ind w:firstLine="543"/>
        <w:rPr>
          <w:color w:val="FF0000"/>
          <w:sz w:val="26"/>
          <w:szCs w:val="26"/>
        </w:rPr>
      </w:pPr>
    </w:p>
    <w:p w14:paraId="58FBB51E">
      <w:pPr>
        <w:snapToGrid w:val="0"/>
        <w:spacing w:line="520" w:lineRule="atLeast"/>
        <w:ind w:firstLine="543"/>
        <w:rPr>
          <w:color w:val="FF0000"/>
          <w:sz w:val="26"/>
          <w:szCs w:val="26"/>
        </w:rPr>
      </w:pPr>
    </w:p>
    <w:p w14:paraId="4B601D55">
      <w:pPr>
        <w:snapToGrid w:val="0"/>
        <w:spacing w:line="520" w:lineRule="atLeast"/>
        <w:ind w:firstLine="543"/>
        <w:rPr>
          <w:color w:val="FF0000"/>
          <w:sz w:val="26"/>
          <w:szCs w:val="26"/>
        </w:rPr>
      </w:pPr>
    </w:p>
    <w:p w14:paraId="41523320">
      <w:pPr>
        <w:pStyle w:val="24"/>
        <w:ind w:firstLine="583"/>
      </w:pPr>
    </w:p>
    <w:p w14:paraId="09802606">
      <w:pPr>
        <w:snapToGrid w:val="0"/>
        <w:spacing w:line="520" w:lineRule="atLeast"/>
        <w:ind w:firstLine="543"/>
        <w:rPr>
          <w:color w:val="FF0000"/>
          <w:sz w:val="26"/>
          <w:szCs w:val="26"/>
        </w:rPr>
      </w:pPr>
    </w:p>
    <w:p w14:paraId="143F6E07">
      <w:pPr>
        <w:snapToGrid w:val="0"/>
        <w:spacing w:line="520" w:lineRule="atLeast"/>
        <w:ind w:firstLine="0" w:firstLineChars="0"/>
        <w:rPr>
          <w:color w:val="FF0000"/>
          <w:sz w:val="26"/>
          <w:szCs w:val="26"/>
        </w:rPr>
      </w:pPr>
    </w:p>
    <w:p w14:paraId="606CBEB5">
      <w:pPr>
        <w:snapToGrid w:val="0"/>
        <w:spacing w:line="240" w:lineRule="auto"/>
        <w:ind w:firstLine="0" w:firstLineChars="0"/>
        <w:rPr>
          <w:color w:val="FF0000"/>
          <w:sz w:val="26"/>
          <w:szCs w:val="26"/>
        </w:rPr>
      </w:pPr>
    </w:p>
    <w:p w14:paraId="46DD207D">
      <w:pPr>
        <w:spacing w:after="120" w:line="240" w:lineRule="auto"/>
        <w:ind w:firstLine="0" w:firstLineChars="0"/>
        <w:jc w:val="center"/>
        <w:rPr>
          <w:b/>
          <w:bCs/>
          <w:sz w:val="21"/>
          <w:szCs w:val="21"/>
          <w:highlight w:val="none"/>
        </w:rPr>
      </w:pPr>
      <w:r>
        <w:rPr>
          <w:rFonts w:hint="eastAsia"/>
          <w:b/>
          <w:bCs/>
          <w:sz w:val="21"/>
          <w:szCs w:val="21"/>
          <w:highlight w:val="none"/>
        </w:rPr>
        <w:t>图2-3 本溪通程矿业有限公司与本矿山位置关系图</w:t>
      </w:r>
    </w:p>
    <w:p w14:paraId="2C34231E">
      <w:pPr>
        <w:ind w:firstLine="583"/>
        <w:rPr>
          <w:rFonts w:asciiTheme="minorEastAsia" w:hAnsiTheme="minorEastAsia" w:eastAsiaTheme="minorEastAsia" w:cstheme="minorEastAsia"/>
          <w:highlight w:val="black"/>
        </w:rPr>
      </w:pPr>
      <w:bookmarkStart w:id="102" w:name="_Hlk192881839"/>
      <w:r>
        <w:rPr>
          <w:rFonts w:hint="eastAsia" w:asciiTheme="minorEastAsia" w:hAnsiTheme="minorEastAsia" w:eastAsiaTheme="minorEastAsia" w:cstheme="minorEastAsia"/>
          <w:highlight w:val="black"/>
        </w:rPr>
        <w:t>5) 基本农田</w:t>
      </w:r>
    </w:p>
    <w:p w14:paraId="67340937">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在本矿区范围以及地表岩石移动监测范围内存在部分基本农田，主要分布于中部沟谷地带。本矿山未来将采用全尾砂胶结充填工艺处理采空区，根据</w:t>
      </w:r>
      <w:bookmarkStart w:id="103" w:name="_Hlk192525474"/>
      <w:r>
        <w:rPr>
          <w:rFonts w:hint="eastAsia" w:asciiTheme="minorEastAsia" w:hAnsiTheme="minorEastAsia" w:eastAsiaTheme="minorEastAsia" w:cstheme="minorEastAsia"/>
          <w:highlight w:val="black"/>
        </w:rPr>
        <w:t>东北大学资源与土木工程学院于2024年11月编制的《本溪市昱蕴铁选有限公司大柳峪铁矿北采区充填实验与充填采场稳定性分析及结构参数优化研究项目研究报告》</w:t>
      </w:r>
      <w:bookmarkEnd w:id="103"/>
      <w:r>
        <w:rPr>
          <w:rFonts w:hint="eastAsia" w:asciiTheme="minorEastAsia" w:hAnsiTheme="minorEastAsia" w:eastAsiaTheme="minorEastAsia" w:cstheme="minorEastAsia"/>
          <w:highlight w:val="black"/>
        </w:rPr>
        <w:t>对地表沉降进行了研究，研究结论为：当采用全尾砂胶结充填使充填率达到90%时，地表农田最大倾斜i=-0.06mm/m，最大曲率k=0.002×10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/m，最大水平变形ε=-0.034mm/m；S304省道最大倾斜i=-0.009mm/m，最大曲率k=0.0005×10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/m，最大水平变形ε=0.007mm/m；地表最大位移处最大倾斜i=-0.08mm/m，最大曲率k=0.0025×10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/m，最大水平变形ε=0.026mm/m；地表最大位移处最大倾斜i=-0.05mm/m，最大曲率k=0.002×10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/m，最大水平变形ε=-0.05mm/m。符合相关规范要求，整体地表移动值未超过其安全规范极限值，即本矿山井下开采时不会对地表基本农田产生影响。</w:t>
      </w:r>
    </w:p>
    <w:p w14:paraId="52528295">
      <w:pPr>
        <w:spacing w:after="120" w:line="240" w:lineRule="auto"/>
        <w:ind w:firstLine="0" w:firstLineChars="0"/>
        <w:jc w:val="center"/>
        <w:rPr>
          <w:b/>
          <w:bCs/>
          <w:sz w:val="21"/>
          <w:szCs w:val="21"/>
        </w:rPr>
      </w:pPr>
      <w:r>
        <w:rPr>
          <w:rFonts w:hint="eastAsia"/>
          <w:b/>
          <w:bCs/>
          <w:sz w:val="21"/>
          <w:szCs w:val="21"/>
        </w:rPr>
        <w:drawing>
          <wp:inline distT="0" distB="0" distL="114300" distR="114300">
            <wp:extent cx="5360670" cy="4025900"/>
            <wp:effectExtent l="0" t="0" r="3810" b="12700"/>
            <wp:docPr id="2" name="图片 2" descr="174225996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2259966118"/>
                    <pic:cNvPicPr>
                      <a:picLocks noChangeAspect="1"/>
                    </pic:cNvPicPr>
                  </pic:nvPicPr>
                  <pic:blipFill>
                    <a:blip r:embed="rId22"/>
                    <a:stretch>
                      <a:fillRect/>
                    </a:stretch>
                  </pic:blipFill>
                  <pic:spPr>
                    <a:xfrm>
                      <a:off x="0" y="0"/>
                      <a:ext cx="5360670" cy="4025900"/>
                    </a:xfrm>
                    <a:prstGeom prst="rect">
                      <a:avLst/>
                    </a:prstGeom>
                  </pic:spPr>
                </pic:pic>
              </a:graphicData>
            </a:graphic>
          </wp:inline>
        </w:drawing>
      </w:r>
    </w:p>
    <w:p w14:paraId="426874C8">
      <w:pPr>
        <w:spacing w:after="120" w:line="240" w:lineRule="auto"/>
        <w:ind w:firstLine="0" w:firstLineChars="0"/>
        <w:jc w:val="center"/>
        <w:rPr>
          <w:b/>
          <w:bCs/>
          <w:sz w:val="21"/>
          <w:szCs w:val="21"/>
        </w:rPr>
      </w:pPr>
      <w:r>
        <w:rPr>
          <w:rFonts w:hint="eastAsia"/>
          <w:b/>
          <w:bCs/>
          <w:sz w:val="21"/>
          <w:szCs w:val="21"/>
        </w:rPr>
        <w:t>图2-4 地表基本农田分布图</w:t>
      </w:r>
    </w:p>
    <w:p w14:paraId="3C54F0A7">
      <w:pPr>
        <w:ind w:firstLine="583"/>
        <w:rPr>
          <w:rFonts w:asciiTheme="minorEastAsia" w:hAnsiTheme="minorEastAsia" w:eastAsiaTheme="minorEastAsia" w:cstheme="minorEastAsia"/>
          <w:highlight w:val="black"/>
          <w:lang w:val="zh-CN"/>
        </w:rPr>
      </w:pPr>
      <w:r>
        <w:rPr>
          <w:rFonts w:hint="eastAsia" w:asciiTheme="minorEastAsia" w:hAnsiTheme="minorEastAsia" w:eastAsiaTheme="minorEastAsia" w:cstheme="minorEastAsia"/>
          <w:highlight w:val="black"/>
        </w:rPr>
        <w:t>除此以外，周边300m范围内再无其他采矿权、学校、旅游、文物保护及自然保护区等其他需要保护的构（建）筑物，1km范围内无其他公路、输油气管道、无铁路和水利水电等重要工程设施</w:t>
      </w:r>
      <w:bookmarkEnd w:id="102"/>
      <w:r>
        <w:rPr>
          <w:rFonts w:hint="eastAsia" w:asciiTheme="minorEastAsia" w:hAnsiTheme="minorEastAsia" w:eastAsiaTheme="minorEastAsia" w:cstheme="minorEastAsia"/>
          <w:highlight w:val="black"/>
        </w:rPr>
        <w:t>。</w:t>
      </w:r>
    </w:p>
    <w:p w14:paraId="21A101E6">
      <w:pPr>
        <w:ind w:firstLine="583"/>
        <w:rPr>
          <w:highlight w:val="black"/>
        </w:rPr>
      </w:pPr>
    </w:p>
    <w:p w14:paraId="38D2961E">
      <w:pPr>
        <w:pStyle w:val="3"/>
        <w:ind w:firstLine="0" w:firstLineChars="0"/>
      </w:pPr>
      <w:r>
        <w:t>2.2</w:t>
      </w:r>
      <w:r>
        <w:rPr>
          <w:rFonts w:hint="eastAsia"/>
        </w:rPr>
        <w:t xml:space="preserve"> </w:t>
      </w:r>
      <w:r>
        <w:t>自然环境概况</w:t>
      </w:r>
      <w:bookmarkEnd w:id="98"/>
    </w:p>
    <w:p w14:paraId="01D5D445">
      <w:pPr>
        <w:ind w:firstLine="583"/>
        <w:rPr>
          <w:rFonts w:asciiTheme="minorEastAsia" w:hAnsiTheme="minorEastAsia" w:eastAsiaTheme="minorEastAsia" w:cstheme="minorEastAsia"/>
          <w:highlight w:val="black"/>
        </w:rPr>
      </w:pPr>
      <w:bookmarkStart w:id="104" w:name="_Toc24879"/>
      <w:r>
        <w:rPr>
          <w:rFonts w:hint="eastAsia" w:asciiTheme="minorEastAsia" w:hAnsiTheme="minorEastAsia" w:eastAsiaTheme="minorEastAsia" w:cstheme="minorEastAsia"/>
          <w:highlight w:val="black"/>
        </w:rPr>
        <w:t>矿区位于长白山脉南延部位，属辽东浅切割中低山区，区内植被较发育，主要为自然的乔木、灌木林和部分人工林。矿区北西与南东两侧高，地形标高最高为360.0m，最低侵蚀基准面为125m，相对高差210m，坡度20°～55°。</w:t>
      </w:r>
    </w:p>
    <w:p w14:paraId="033D069B">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区内属中温带湿润气候，四季分明，变化明显，年最高气温为36°C，最低气温为-32°C，平均气温7.8°C，雨季集中在7月初～8月中旬，年平均降雨量为808mm，年最大降雨量为1157.8mm，历年月最大降雨量为541.88mm，出现在1960年8月，年最大三日暴雨降水量为110mm，年最大24小时暴雨降水量为90mm。结冻期为11月中旬，解冻期为翌年4月中旬，最大冻土深度1.20m。</w:t>
      </w:r>
    </w:p>
    <w:p w14:paraId="573309E1">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矿区内及外围水系发育，主要水系为浑河水域支流。根据本溪市溪湖区水利局出具的《最高洪水位证明》，本矿山所在区域最高洪水位为148m。</w:t>
      </w:r>
    </w:p>
    <w:p w14:paraId="5C0ED599">
      <w:pPr>
        <w:ind w:firstLine="583"/>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根据《中国地震动参数区划图》（GB18306-2015）工作划分，本区地震烈度为Ⅶ度，峰值加速度分区为0.10g。</w:t>
      </w:r>
    </w:p>
    <w:p w14:paraId="4025311D">
      <w:pPr>
        <w:ind w:firstLine="583"/>
        <w:rPr>
          <w:sz w:val="26"/>
          <w:szCs w:val="26"/>
          <w:highlight w:val="black"/>
        </w:rPr>
      </w:pPr>
      <w:r>
        <w:rPr>
          <w:rFonts w:hint="eastAsia" w:asciiTheme="minorEastAsia" w:hAnsiTheme="minorEastAsia" w:eastAsiaTheme="minorEastAsia" w:cstheme="minorEastAsia"/>
          <w:highlight w:val="black"/>
        </w:rPr>
        <w:t>该区经济以农业为主，主要农作物为玉米、大豆；副业以养殖业、林业为主。该区工业主要为采矿业，铁矿的开发成为当地的支柱性产业，近年来，地方政府对矿产品深加工十分重视，促进了地方经济的发展。</w:t>
      </w:r>
    </w:p>
    <w:p w14:paraId="6DD9F9E7">
      <w:pPr>
        <w:pStyle w:val="3"/>
        <w:ind w:firstLine="0" w:firstLineChars="0"/>
      </w:pPr>
      <w:r>
        <w:t>2.3</w:t>
      </w:r>
      <w:r>
        <w:rPr>
          <w:rFonts w:hint="eastAsia"/>
        </w:rPr>
        <w:t xml:space="preserve"> </w:t>
      </w:r>
      <w:r>
        <w:t>建设项目地质概况</w:t>
      </w:r>
      <w:bookmarkEnd w:id="104"/>
    </w:p>
    <w:p w14:paraId="5E5500FC">
      <w:pPr>
        <w:pStyle w:val="4"/>
        <w:ind w:firstLine="0" w:firstLineChars="0"/>
      </w:pPr>
      <w:r>
        <w:t>2.3.1矿区地质概况</w:t>
      </w:r>
    </w:p>
    <w:p w14:paraId="7E13BD4D">
      <w:pPr>
        <w:ind w:firstLine="583"/>
        <w:rPr>
          <w:highlight w:val="black"/>
        </w:rPr>
      </w:pPr>
      <w:bookmarkStart w:id="105" w:name="_Toc422418752"/>
      <w:r>
        <w:rPr>
          <w:rFonts w:hint="eastAsia"/>
          <w:highlight w:val="black"/>
        </w:rPr>
        <w:t>矿区主要出露地层为鞍山岩群茨沟岩组及第四系。</w:t>
      </w:r>
    </w:p>
    <w:p w14:paraId="5652398B">
      <w:pPr>
        <w:ind w:firstLine="583"/>
        <w:rPr>
          <w:highlight w:val="black"/>
        </w:rPr>
      </w:pPr>
      <w:r>
        <w:rPr>
          <w:highlight w:val="black"/>
        </w:rPr>
        <w:t>1、地层</w:t>
      </w:r>
    </w:p>
    <w:p w14:paraId="2B766C07">
      <w:pPr>
        <w:ind w:firstLine="583"/>
        <w:rPr>
          <w:highlight w:val="black"/>
        </w:rPr>
      </w:pPr>
      <w:bookmarkStart w:id="106" w:name="_Hlk143810482"/>
      <w:r>
        <w:rPr>
          <w:rFonts w:hint="eastAsia"/>
          <w:highlight w:val="black"/>
        </w:rPr>
        <w:t>（1）</w:t>
      </w:r>
      <w:r>
        <w:rPr>
          <w:highlight w:val="black"/>
        </w:rPr>
        <w:t xml:space="preserve"> 鞍山岩群茨沟岩组</w:t>
      </w:r>
      <w:r>
        <w:rPr>
          <w:rFonts w:hint="eastAsia"/>
          <w:highlight w:val="black"/>
        </w:rPr>
        <w:t>（</w:t>
      </w:r>
      <w:r>
        <w:rPr>
          <w:highlight w:val="black"/>
        </w:rPr>
        <w:t>Ar</w:t>
      </w:r>
      <w:r>
        <w:rPr>
          <w:highlight w:val="black"/>
          <w:vertAlign w:val="subscript"/>
        </w:rPr>
        <w:t>3</w:t>
      </w:r>
      <w:r>
        <w:rPr>
          <w:highlight w:val="black"/>
        </w:rPr>
        <w:t>c</w:t>
      </w:r>
      <w:r>
        <w:rPr>
          <w:rFonts w:hint="eastAsia"/>
          <w:highlight w:val="black"/>
        </w:rPr>
        <w:t>）</w:t>
      </w:r>
    </w:p>
    <w:p w14:paraId="791B1CE9">
      <w:pPr>
        <w:ind w:firstLine="583"/>
        <w:rPr>
          <w:highlight w:val="black"/>
        </w:rPr>
      </w:pPr>
      <w:r>
        <w:rPr>
          <w:highlight w:val="black"/>
        </w:rPr>
        <w:t>遍布全区，地层厚度1363～2287m。产状324°∠30°，主要岩性为斜长角闪片麻岩夹磁铁石英岩、花岗片麻岩，该组地层是“鞍山式”铁矿的含矿层位，也是本次地质找矿工作的重点。该组原岩为含沉积岩的基性～中酸性火山岩建造，变质相属角闪岩相。与新太古代二长花岗片麻岩呈侵入接触关系。</w:t>
      </w:r>
    </w:p>
    <w:p w14:paraId="203104B7">
      <w:pPr>
        <w:ind w:firstLine="583"/>
        <w:rPr>
          <w:highlight w:val="black"/>
        </w:rPr>
      </w:pPr>
      <w:r>
        <w:rPr>
          <w:rFonts w:hint="eastAsia"/>
          <w:highlight w:val="black"/>
        </w:rPr>
        <w:t>1）</w:t>
      </w:r>
      <w:r>
        <w:rPr>
          <w:highlight w:val="black"/>
        </w:rPr>
        <w:t>斜长角闪片麻岩：</w:t>
      </w:r>
    </w:p>
    <w:p w14:paraId="138EB3E1">
      <w:pPr>
        <w:ind w:firstLine="583"/>
        <w:rPr>
          <w:highlight w:val="black"/>
        </w:rPr>
      </w:pPr>
      <w:r>
        <w:rPr>
          <w:highlight w:val="black"/>
        </w:rPr>
        <w:t>深灰色、灰色，粒状变晶结构，片麻状构造，主要矿物成分有角闪石、斜长石、石英。其中角闪石呈灰绿色，半自形晶，局部蚀变为绿泥石粒径0.296mm，含量为60%。</w:t>
      </w:r>
    </w:p>
    <w:p w14:paraId="64977895">
      <w:pPr>
        <w:ind w:firstLine="583"/>
        <w:rPr>
          <w:highlight w:val="black"/>
        </w:rPr>
      </w:pPr>
      <w:r>
        <w:rPr>
          <w:rFonts w:hint="eastAsia"/>
          <w:highlight w:val="black"/>
        </w:rPr>
        <w:t>2）</w:t>
      </w:r>
      <w:r>
        <w:rPr>
          <w:highlight w:val="black"/>
        </w:rPr>
        <w:t xml:space="preserve"> 磁铁石英岩：</w:t>
      </w:r>
    </w:p>
    <w:p w14:paraId="21F9CEA9">
      <w:pPr>
        <w:ind w:firstLine="583"/>
        <w:rPr>
          <w:highlight w:val="black"/>
        </w:rPr>
      </w:pPr>
      <w:r>
        <w:rPr>
          <w:highlight w:val="black"/>
        </w:rPr>
        <w:t>磁铁矿：为主要矿石矿物，含量占15.36</w:t>
      </w:r>
      <w:r>
        <w:rPr>
          <w:rFonts w:hint="eastAsia"/>
          <w:highlight w:val="black"/>
        </w:rPr>
        <w:t>%～</w:t>
      </w:r>
      <w:r>
        <w:rPr>
          <w:highlight w:val="black"/>
        </w:rPr>
        <w:t>33.22%。灰黑—深黑色，少量铁矿呈铁黑色，具定向拉长现象，强磁性。主要以中、细粒稠密浸染状赋存在脉石矿物中，其次以稀疏细粒浸染状赋存在脉石矿物中，少量以粗粒分布在脉石矿物中，大部分构成黑色条带集合体，一般粒径在0.1～0.15mm。磁铁矿与其它矿物的嵌布关系主要有：磁铁矿颗粒间常分布有细粒脉石矿物颗粒，磁铁矿以脉状沿脉石矿物裂隙充填胶结；脉石矿物沿磁铁矿粒间充填胶结，后期脉石矿物以脉状沿磁铁矿裂隙切穿磁铁矿黑色条带。</w:t>
      </w:r>
    </w:p>
    <w:p w14:paraId="0779FDC4">
      <w:pPr>
        <w:ind w:firstLine="583"/>
        <w:rPr>
          <w:highlight w:val="black"/>
        </w:rPr>
      </w:pPr>
      <w:r>
        <w:rPr>
          <w:highlight w:val="black"/>
        </w:rPr>
        <w:t>石英：主要脉石矿物，一般含量35</w:t>
      </w:r>
      <w:r>
        <w:rPr>
          <w:rFonts w:hint="eastAsia"/>
          <w:highlight w:val="black"/>
        </w:rPr>
        <w:t>%～</w:t>
      </w:r>
      <w:r>
        <w:rPr>
          <w:highlight w:val="black"/>
        </w:rPr>
        <w:t>50%。多呈灰白色，一般粒径在0.02～0.15mm</w:t>
      </w:r>
      <w:r>
        <w:rPr>
          <w:rFonts w:hint="eastAsia"/>
          <w:highlight w:val="black"/>
        </w:rPr>
        <w:t>，</w:t>
      </w:r>
      <w:r>
        <w:rPr>
          <w:highlight w:val="black"/>
        </w:rPr>
        <w:t>最大粒径0.35mm。它</w:t>
      </w:r>
      <w:r>
        <w:rPr>
          <w:rFonts w:hint="eastAsia"/>
          <w:highlight w:val="black"/>
        </w:rPr>
        <w:t>呈</w:t>
      </w:r>
      <w:r>
        <w:rPr>
          <w:highlight w:val="black"/>
        </w:rPr>
        <w:t>细粒状均匀分布，为白色条带的主要矿物。在磁铁矿石中，多与云母成层状分布，层间常夹有磁铁矿颗粒，少量与长石伴生。</w:t>
      </w:r>
    </w:p>
    <w:p w14:paraId="6E090FE8">
      <w:pPr>
        <w:ind w:firstLine="583"/>
        <w:rPr>
          <w:highlight w:val="black"/>
        </w:rPr>
      </w:pPr>
      <w:r>
        <w:rPr>
          <w:highlight w:val="black"/>
        </w:rPr>
        <w:t>角闪石：呈灰黑-灰绿色，多呈粒状，偶见长柱状，一般粒径在0.35～0.6mm，为黑色矿物，一般含量20</w:t>
      </w:r>
      <w:r>
        <w:rPr>
          <w:rFonts w:hint="eastAsia"/>
          <w:highlight w:val="black"/>
        </w:rPr>
        <w:t>%～</w:t>
      </w:r>
      <w:r>
        <w:rPr>
          <w:highlight w:val="black"/>
        </w:rPr>
        <w:t>25%。与云母成层状分布，层间多夹有磁铁矿颗粒。</w:t>
      </w:r>
    </w:p>
    <w:p w14:paraId="6CB430F6">
      <w:pPr>
        <w:ind w:firstLine="583"/>
        <w:rPr>
          <w:highlight w:val="black"/>
        </w:rPr>
      </w:pPr>
      <w:r>
        <w:rPr>
          <w:highlight w:val="black"/>
        </w:rPr>
        <w:t>云母：由绢云母、白云母、黑云母组成，粒度0.1～0.5mm。主要分布在磁铁矿石中，含量5</w:t>
      </w:r>
      <w:r>
        <w:rPr>
          <w:rFonts w:hint="eastAsia"/>
          <w:highlight w:val="black"/>
        </w:rPr>
        <w:t>%～</w:t>
      </w:r>
      <w:r>
        <w:rPr>
          <w:highlight w:val="black"/>
        </w:rPr>
        <w:t>10%。绢云母多以细小鳞片状及其集合体产出，含量相对较多；白云母、黑云母以片状产出，呈定向分布，含量相对较少。云母多与石英成层状分布，层间夹有磁铁矿，磁铁矿颗粒孔隙中常被绢云母充填包裹，矿石中云母与磁铁矿嵌布关系密切，为主要易泥化矿物。</w:t>
      </w:r>
    </w:p>
    <w:p w14:paraId="57C74CF8">
      <w:pPr>
        <w:ind w:firstLine="583"/>
        <w:rPr>
          <w:highlight w:val="black"/>
        </w:rPr>
      </w:pPr>
      <w:r>
        <w:rPr>
          <w:rFonts w:hint="eastAsia"/>
          <w:highlight w:val="black"/>
        </w:rPr>
        <w:t>3）</w:t>
      </w:r>
      <w:r>
        <w:rPr>
          <w:highlight w:val="black"/>
        </w:rPr>
        <w:t>花岗片麻岩：</w:t>
      </w:r>
    </w:p>
    <w:p w14:paraId="13E0ACD3">
      <w:pPr>
        <w:ind w:firstLine="583"/>
        <w:rPr>
          <w:highlight w:val="black"/>
        </w:rPr>
      </w:pPr>
      <w:r>
        <w:rPr>
          <w:highlight w:val="black"/>
        </w:rPr>
        <w:t>岩石为花岗结构，片麻状构造，主要矿物成分有斜长石、钾长石、石英、黑云母，主要矿物特征如下：</w:t>
      </w:r>
    </w:p>
    <w:p w14:paraId="2D52CF41">
      <w:pPr>
        <w:ind w:firstLine="583"/>
        <w:rPr>
          <w:highlight w:val="black"/>
        </w:rPr>
      </w:pPr>
      <w:r>
        <w:rPr>
          <w:highlight w:val="black"/>
        </w:rPr>
        <w:t>斜长石：更长石成分，多呈半自形或不规则状，少数呈集合体分布，粒径一般在0.15～3.1mm不等。</w:t>
      </w:r>
    </w:p>
    <w:p w14:paraId="5CE5B7B8">
      <w:pPr>
        <w:ind w:firstLine="583"/>
        <w:rPr>
          <w:highlight w:val="black"/>
        </w:rPr>
      </w:pPr>
      <w:r>
        <w:rPr>
          <w:highlight w:val="black"/>
        </w:rPr>
        <w:t xml:space="preserve">钾长石：为微斜长石，不规则粒状，有的呈它形粒状，个别呈半自形，有的充填于其它矿物颗粒之间，有沿长轴呈条带状分布的趋势，粒径多在0.3～5.0mm不等。有的微斜长石遭泥化。 </w:t>
      </w:r>
    </w:p>
    <w:p w14:paraId="73C5F624">
      <w:pPr>
        <w:ind w:firstLine="583"/>
        <w:rPr>
          <w:highlight w:val="black"/>
        </w:rPr>
      </w:pPr>
      <w:r>
        <w:rPr>
          <w:highlight w:val="black"/>
        </w:rPr>
        <w:t>石英：不规则粒状，集合体呈条带状或豆荚状分布，粒径在0.1～3.5mm不等。石英毕母纹较发育，镜下波状消光和亚颗粒发育。</w:t>
      </w:r>
    </w:p>
    <w:p w14:paraId="0C80BD4A">
      <w:pPr>
        <w:ind w:firstLine="583"/>
        <w:rPr>
          <w:highlight w:val="black"/>
        </w:rPr>
      </w:pPr>
      <w:r>
        <w:rPr>
          <w:highlight w:val="black"/>
        </w:rPr>
        <w:t>黑云母：黄色</w:t>
      </w:r>
      <w:r>
        <w:rPr>
          <w:rFonts w:hint="eastAsia"/>
          <w:highlight w:val="black"/>
        </w:rPr>
        <w:t>－</w:t>
      </w:r>
      <w:r>
        <w:rPr>
          <w:highlight w:val="black"/>
        </w:rPr>
        <w:t>黄绿色，片状或细小片状集合体，粒径在0.15m～1.5mm。黑云母大多遭绿泥石化和脱铁，且呈断续条带定向分布。黑云母的成分变化较大，但总的应趋向于铁质黑云母。</w:t>
      </w:r>
    </w:p>
    <w:p w14:paraId="41EA7D40">
      <w:pPr>
        <w:ind w:firstLine="583"/>
        <w:rPr>
          <w:highlight w:val="black"/>
        </w:rPr>
      </w:pPr>
      <w:r>
        <w:rPr>
          <w:highlight w:val="black"/>
        </w:rPr>
        <w:t>角闪石：柱状，零星分布，粒径为1.0mm±。</w:t>
      </w:r>
    </w:p>
    <w:p w14:paraId="5BD3D105">
      <w:pPr>
        <w:ind w:firstLine="583"/>
        <w:rPr>
          <w:highlight w:val="black"/>
        </w:rPr>
      </w:pPr>
      <w:r>
        <w:rPr>
          <w:rFonts w:hint="eastAsia"/>
          <w:highlight w:val="black"/>
        </w:rPr>
        <w:t>（2）</w:t>
      </w:r>
      <w:r>
        <w:rPr>
          <w:highlight w:val="black"/>
        </w:rPr>
        <w:t>第四系</w:t>
      </w:r>
      <w:r>
        <w:rPr>
          <w:rFonts w:hint="eastAsia"/>
          <w:highlight w:val="black"/>
        </w:rPr>
        <w:t>（</w:t>
      </w:r>
      <w:r>
        <w:rPr>
          <w:highlight w:val="black"/>
        </w:rPr>
        <w:t>Qh</w:t>
      </w:r>
      <w:r>
        <w:rPr>
          <w:highlight w:val="black"/>
          <w:vertAlign w:val="superscript"/>
        </w:rPr>
        <w:t>1alp</w:t>
      </w:r>
      <w:r>
        <w:rPr>
          <w:rFonts w:hint="eastAsia"/>
          <w:highlight w:val="black"/>
          <w:vertAlign w:val="superscript"/>
        </w:rPr>
        <w:t>）</w:t>
      </w:r>
    </w:p>
    <w:p w14:paraId="6806A5AC">
      <w:pPr>
        <w:ind w:firstLine="583"/>
        <w:rPr>
          <w:highlight w:val="black"/>
        </w:rPr>
      </w:pPr>
      <w:r>
        <w:rPr>
          <w:highlight w:val="black"/>
        </w:rPr>
        <w:t>主要分布在沟谷内，由冲积、堆积的砂土、砾石、卵石等组成。在矿区内分布</w:t>
      </w:r>
      <w:r>
        <w:rPr>
          <w:rFonts w:hint="eastAsia"/>
          <w:highlight w:val="black"/>
        </w:rPr>
        <w:t>广泛</w:t>
      </w:r>
      <w:r>
        <w:rPr>
          <w:highlight w:val="black"/>
        </w:rPr>
        <w:t>，出露面积较大</w:t>
      </w:r>
      <w:r>
        <w:rPr>
          <w:rFonts w:hint="eastAsia"/>
          <w:highlight w:val="black"/>
        </w:rPr>
        <w:t>。</w:t>
      </w:r>
    </w:p>
    <w:bookmarkEnd w:id="106"/>
    <w:p w14:paraId="620EB729">
      <w:pPr>
        <w:ind w:firstLine="583"/>
        <w:rPr>
          <w:highlight w:val="black"/>
        </w:rPr>
      </w:pPr>
      <w:r>
        <w:rPr>
          <w:highlight w:val="black"/>
        </w:rPr>
        <w:t>2、构造</w:t>
      </w:r>
    </w:p>
    <w:p w14:paraId="69958D83">
      <w:pPr>
        <w:ind w:firstLine="583"/>
        <w:rPr>
          <w:highlight w:val="black"/>
        </w:rPr>
      </w:pPr>
      <w:r>
        <w:rPr>
          <w:highlight w:val="black"/>
        </w:rPr>
        <w:t>矿区内断裂构造较发育，共见有</w:t>
      </w:r>
      <w:r>
        <w:rPr>
          <w:rFonts w:hint="eastAsia"/>
          <w:highlight w:val="black"/>
        </w:rPr>
        <w:t>2</w:t>
      </w:r>
      <w:r>
        <w:rPr>
          <w:highlight w:val="black"/>
        </w:rPr>
        <w:t>条断裂构造，编号F1、F2，各断裂构造特征如下：</w:t>
      </w:r>
    </w:p>
    <w:p w14:paraId="2962D0D4">
      <w:pPr>
        <w:ind w:firstLine="583"/>
        <w:rPr>
          <w:highlight w:val="black"/>
        </w:rPr>
      </w:pPr>
      <w:bookmarkStart w:id="107" w:name="_Hlk192767996"/>
      <w:r>
        <w:rPr>
          <w:highlight w:val="black"/>
        </w:rPr>
        <w:t>F1断裂构造呈北东向，位于矿区北部，出露长80m，宽3m，产状162°∠75°。断层性质为逆断层，主要切割鞍山岩群茨沟岩组，带内岩石破碎，呈碎块状，裂隙发育，断层两盘产状紊乱，</w:t>
      </w:r>
      <w:r>
        <w:rPr>
          <w:rFonts w:hint="eastAsia"/>
          <w:highlight w:val="black"/>
        </w:rPr>
        <w:t>未进入矿区，</w:t>
      </w:r>
      <w:r>
        <w:rPr>
          <w:highlight w:val="black"/>
        </w:rPr>
        <w:t>对矿区矿体无破坏作用。</w:t>
      </w:r>
    </w:p>
    <w:p w14:paraId="4EF2209E">
      <w:pPr>
        <w:ind w:firstLine="583"/>
        <w:rPr>
          <w:highlight w:val="black"/>
        </w:rPr>
      </w:pPr>
      <w:bookmarkStart w:id="108" w:name="_Hlk192770061"/>
      <w:r>
        <w:rPr>
          <w:highlight w:val="black"/>
        </w:rPr>
        <w:t>F2断裂构造呈北东向，</w:t>
      </w:r>
      <w:bookmarkStart w:id="109" w:name="_Hlk192767986"/>
      <w:r>
        <w:rPr>
          <w:rFonts w:hint="eastAsia"/>
          <w:highlight w:val="black"/>
        </w:rPr>
        <w:t>分布于北采区南部，在矿区周边分三段出露，</w:t>
      </w:r>
      <w:r>
        <w:rPr>
          <w:highlight w:val="black"/>
        </w:rPr>
        <w:t>出露</w:t>
      </w:r>
      <w:r>
        <w:rPr>
          <w:rFonts w:hint="eastAsia"/>
          <w:highlight w:val="black"/>
        </w:rPr>
        <w:t>总</w:t>
      </w:r>
      <w:r>
        <w:rPr>
          <w:highlight w:val="black"/>
        </w:rPr>
        <w:t>长</w:t>
      </w:r>
      <w:r>
        <w:rPr>
          <w:rFonts w:hint="eastAsia"/>
          <w:highlight w:val="black"/>
        </w:rPr>
        <w:t>1086</w:t>
      </w:r>
      <w:r>
        <w:rPr>
          <w:highlight w:val="black"/>
        </w:rPr>
        <w:t>m，宽2m，产状161°∠60°</w:t>
      </w:r>
      <w:bookmarkEnd w:id="109"/>
      <w:r>
        <w:rPr>
          <w:highlight w:val="black"/>
        </w:rPr>
        <w:t>，断层性质为逆断层，切割鞍山岩群茨沟岩组，其内见构造角砾岩，呈扁豆状、透镜状。构造镜面上见有擦痕。</w:t>
      </w:r>
      <w:bookmarkEnd w:id="107"/>
      <w:r>
        <w:rPr>
          <w:rFonts w:hint="eastAsia"/>
          <w:highlight w:val="black"/>
        </w:rPr>
        <w:t>该断层底板附近发现2处J5、J6机民井，因此推测该断层次一级裂隙较发育，含水性较强。该断层出露地表处位于矿区南侧以外，未进入矿区，且其倾向南东方向，深部也未进入矿区，与矿区之间无导水构造，</w:t>
      </w:r>
      <w:r>
        <w:rPr>
          <w:highlight w:val="black"/>
        </w:rPr>
        <w:t>对矿区矿体无破坏作用</w:t>
      </w:r>
      <w:bookmarkEnd w:id="108"/>
      <w:r>
        <w:rPr>
          <w:highlight w:val="black"/>
        </w:rPr>
        <w:t>。</w:t>
      </w:r>
    </w:p>
    <w:p w14:paraId="39DA31CE">
      <w:pPr>
        <w:ind w:firstLine="583"/>
        <w:rPr>
          <w:highlight w:val="black"/>
        </w:rPr>
      </w:pPr>
      <w:r>
        <w:rPr>
          <w:highlight w:val="black"/>
        </w:rPr>
        <w:t>3、岩浆岩</w:t>
      </w:r>
    </w:p>
    <w:p w14:paraId="02B56E9A">
      <w:pPr>
        <w:ind w:firstLine="583"/>
        <w:rPr>
          <w:highlight w:val="black"/>
        </w:rPr>
      </w:pPr>
      <w:r>
        <w:rPr>
          <w:highlight w:val="black"/>
        </w:rPr>
        <w:t>矿区内岩浆岩不发育，仅在矿区发现小面积二长花岗片麻岩、二长闪长岩、花岗闪长岩脉，伟晶岩岩脉。各岩脉岩性特征分述如下：</w:t>
      </w:r>
    </w:p>
    <w:p w14:paraId="0560B75B">
      <w:pPr>
        <w:ind w:firstLine="583"/>
        <w:rPr>
          <w:highlight w:val="black"/>
        </w:rPr>
      </w:pPr>
      <w:r>
        <w:rPr>
          <w:highlight w:val="black"/>
        </w:rPr>
        <w:t>新太古代侵入岩</w:t>
      </w:r>
      <w:r>
        <w:rPr>
          <w:rFonts w:hint="eastAsia"/>
          <w:highlight w:val="black"/>
        </w:rPr>
        <w:t>（</w:t>
      </w:r>
      <w:r>
        <w:rPr>
          <w:highlight w:val="black"/>
        </w:rPr>
        <w:t>ηγAr</w:t>
      </w:r>
      <w:r>
        <w:rPr>
          <w:highlight w:val="black"/>
          <w:vertAlign w:val="subscript"/>
        </w:rPr>
        <w:t>3</w:t>
      </w:r>
      <w:r>
        <w:rPr>
          <w:highlight w:val="black"/>
          <w:vertAlign w:val="superscript"/>
        </w:rPr>
        <w:t>1</w:t>
      </w:r>
      <w:r>
        <w:rPr>
          <w:rFonts w:hint="eastAsia"/>
          <w:highlight w:val="black"/>
        </w:rPr>
        <w:t>）</w:t>
      </w:r>
      <w:r>
        <w:rPr>
          <w:highlight w:val="black"/>
        </w:rPr>
        <w:t>：</w:t>
      </w:r>
    </w:p>
    <w:p w14:paraId="6A66D462">
      <w:pPr>
        <w:spacing w:line="520" w:lineRule="atLeast"/>
        <w:ind w:firstLine="543"/>
        <w:rPr>
          <w:sz w:val="26"/>
          <w:highlight w:val="black"/>
        </w:rPr>
      </w:pPr>
      <w:r>
        <w:rPr>
          <w:rFonts w:hint="eastAsia"/>
          <w:sz w:val="26"/>
          <w:highlight w:val="black"/>
        </w:rPr>
        <w:t>（1）</w:t>
      </w:r>
      <w:r>
        <w:rPr>
          <w:sz w:val="26"/>
          <w:highlight w:val="black"/>
        </w:rPr>
        <w:t>二长花岗片麻岩：</w:t>
      </w:r>
    </w:p>
    <w:p w14:paraId="05EE9886">
      <w:pPr>
        <w:ind w:firstLine="583"/>
        <w:rPr>
          <w:highlight w:val="black"/>
        </w:rPr>
      </w:pPr>
      <w:r>
        <w:rPr>
          <w:highlight w:val="black"/>
        </w:rPr>
        <w:t>岩石类型为二长花岗片麻岩，主要分布在矿区南东部，出露面积0.038km</w:t>
      </w:r>
      <w:r>
        <w:rPr>
          <w:highlight w:val="black"/>
          <w:vertAlign w:val="superscript"/>
        </w:rPr>
        <w:t>2</w:t>
      </w:r>
      <w:r>
        <w:rPr>
          <w:highlight w:val="black"/>
        </w:rPr>
        <w:t xml:space="preserve">，对Fe1矿有一定的破坏作用，岩石为花岗结构，块状构造。主要矿物有斜长石，钾长石，石英，角闪石，黑云母。其特征如下： </w:t>
      </w:r>
    </w:p>
    <w:p w14:paraId="2D5E0A92">
      <w:pPr>
        <w:ind w:firstLine="583"/>
        <w:rPr>
          <w:highlight w:val="black"/>
        </w:rPr>
      </w:pPr>
      <w:r>
        <w:rPr>
          <w:highlight w:val="black"/>
        </w:rPr>
        <w:t xml:space="preserve">斜长石：更长石成分，多数半自形，少数较自形，聚片双晶较发育，普遍遭强烈的绢云母化和钠黝帘石化作用，有的环带构造发育，粒径为2.0～11.0mm。 </w:t>
      </w:r>
    </w:p>
    <w:p w14:paraId="0BC85E3B">
      <w:pPr>
        <w:ind w:firstLine="583"/>
        <w:rPr>
          <w:highlight w:val="black"/>
        </w:rPr>
      </w:pPr>
      <w:r>
        <w:rPr>
          <w:highlight w:val="black"/>
        </w:rPr>
        <w:t>钾长石：半自形—它形，有的充填于其它矿物颗粒之间，有的遭泥化，粒径为1.5～5.0mm。</w:t>
      </w:r>
    </w:p>
    <w:p w14:paraId="20D3B316">
      <w:pPr>
        <w:ind w:firstLine="583"/>
        <w:rPr>
          <w:highlight w:val="black"/>
        </w:rPr>
      </w:pPr>
      <w:r>
        <w:rPr>
          <w:highlight w:val="black"/>
        </w:rPr>
        <w:t>石英：不规则粒状，粒径为0.5～2.4mm，毕姆纹较发育。</w:t>
      </w:r>
    </w:p>
    <w:p w14:paraId="748A0890">
      <w:pPr>
        <w:ind w:firstLine="583"/>
        <w:rPr>
          <w:highlight w:val="black"/>
        </w:rPr>
      </w:pPr>
      <w:r>
        <w:rPr>
          <w:highlight w:val="black"/>
        </w:rPr>
        <w:t>角闪石：黄绿色，呈柱状或柱状集合体分布，粒径为0.8～3.0mm。</w:t>
      </w:r>
    </w:p>
    <w:p w14:paraId="6E7777A4">
      <w:pPr>
        <w:ind w:firstLine="583"/>
        <w:rPr>
          <w:highlight w:val="black"/>
        </w:rPr>
      </w:pPr>
      <w:r>
        <w:rPr>
          <w:highlight w:val="black"/>
        </w:rPr>
        <w:t>黑云母：片状，粒径为2.5～5.0mm。大多数遭绿泥石化和绿帘石化作用。对矿体无破坏作用。</w:t>
      </w:r>
    </w:p>
    <w:p w14:paraId="7835CE2E">
      <w:pPr>
        <w:ind w:firstLine="583"/>
        <w:rPr>
          <w:highlight w:val="black"/>
        </w:rPr>
      </w:pPr>
      <w:r>
        <w:rPr>
          <w:rFonts w:hint="eastAsia"/>
          <w:highlight w:val="black"/>
        </w:rPr>
        <w:t>（2）</w:t>
      </w:r>
      <w:r>
        <w:rPr>
          <w:highlight w:val="black"/>
        </w:rPr>
        <w:t>花岗闪长岩脉：</w:t>
      </w:r>
    </w:p>
    <w:p w14:paraId="4333A170">
      <w:pPr>
        <w:ind w:firstLine="583"/>
        <w:rPr>
          <w:highlight w:val="black"/>
        </w:rPr>
      </w:pPr>
      <w:r>
        <w:rPr>
          <w:highlight w:val="black"/>
        </w:rPr>
        <w:t>岩石类型为中粗粒花岗闪长岩。主要分布在矿区东部，出露面积0.003km</w:t>
      </w:r>
      <w:r>
        <w:rPr>
          <w:highlight w:val="black"/>
          <w:vertAlign w:val="superscript"/>
        </w:rPr>
        <w:t>2</w:t>
      </w:r>
      <w:r>
        <w:rPr>
          <w:highlight w:val="black"/>
        </w:rPr>
        <w:t xml:space="preserve">，对Fe5矿体破坏作用较小，岩石为花岗结构，块状构造。主要矿物有斜长石，钾长石，石英，角闪石，黑云母。其特征如下： </w:t>
      </w:r>
    </w:p>
    <w:p w14:paraId="2EC520BA">
      <w:pPr>
        <w:ind w:firstLine="583"/>
        <w:rPr>
          <w:highlight w:val="black"/>
        </w:rPr>
      </w:pPr>
      <w:r>
        <w:rPr>
          <w:highlight w:val="black"/>
        </w:rPr>
        <w:t xml:space="preserve">斜长石：更长石成分，多数半自形，少数较自形，粒径为2.0～11.0mm。 </w:t>
      </w:r>
    </w:p>
    <w:p w14:paraId="5B854DA5">
      <w:pPr>
        <w:ind w:firstLine="583"/>
        <w:rPr>
          <w:highlight w:val="black"/>
        </w:rPr>
      </w:pPr>
      <w:r>
        <w:rPr>
          <w:highlight w:val="black"/>
        </w:rPr>
        <w:t>钾长石：半自形—它形，有的充填于其它矿物颗粒之间，有的遭泥化，粒径为1.5～5.0mm。</w:t>
      </w:r>
    </w:p>
    <w:p w14:paraId="2400971F">
      <w:pPr>
        <w:ind w:firstLine="583"/>
        <w:rPr>
          <w:highlight w:val="black"/>
        </w:rPr>
      </w:pPr>
      <w:r>
        <w:rPr>
          <w:highlight w:val="black"/>
        </w:rPr>
        <w:t>石英：不规则粒状，粒径为0.5～2.4mm。</w:t>
      </w:r>
    </w:p>
    <w:p w14:paraId="45B2547B">
      <w:pPr>
        <w:ind w:firstLine="583"/>
        <w:rPr>
          <w:highlight w:val="black"/>
        </w:rPr>
      </w:pPr>
      <w:r>
        <w:rPr>
          <w:highlight w:val="black"/>
        </w:rPr>
        <w:t>角闪石：黄绿色，呈柱状或柱状集合体分布，粒径为0.8～3.0mm。</w:t>
      </w:r>
    </w:p>
    <w:p w14:paraId="655FD2D1">
      <w:pPr>
        <w:ind w:firstLine="583"/>
        <w:rPr>
          <w:highlight w:val="black"/>
        </w:rPr>
      </w:pPr>
      <w:r>
        <w:rPr>
          <w:highlight w:val="black"/>
        </w:rPr>
        <w:t>黑云母：片状，粒径为2.5</w:t>
      </w:r>
      <w:r>
        <w:rPr>
          <w:rFonts w:hint="eastAsia"/>
          <w:highlight w:val="black"/>
        </w:rPr>
        <w:t>—</w:t>
      </w:r>
      <w:r>
        <w:rPr>
          <w:highlight w:val="black"/>
        </w:rPr>
        <w:t>5.0mm。大多数遭绿泥石化和绿帘石化作用。</w:t>
      </w:r>
    </w:p>
    <w:p w14:paraId="2827777D">
      <w:pPr>
        <w:ind w:firstLine="583"/>
        <w:rPr>
          <w:highlight w:val="black"/>
        </w:rPr>
      </w:pPr>
      <w:r>
        <w:rPr>
          <w:rFonts w:hint="eastAsia"/>
          <w:highlight w:val="black"/>
        </w:rPr>
        <w:t>（3）</w:t>
      </w:r>
      <w:r>
        <w:rPr>
          <w:highlight w:val="black"/>
        </w:rPr>
        <w:t>伟晶岩：</w:t>
      </w:r>
    </w:p>
    <w:p w14:paraId="0D1FCEE7">
      <w:pPr>
        <w:ind w:firstLine="583"/>
        <w:rPr>
          <w:highlight w:val="black"/>
        </w:rPr>
      </w:pPr>
      <w:r>
        <w:rPr>
          <w:highlight w:val="black"/>
        </w:rPr>
        <w:t>分布在矿区</w:t>
      </w:r>
      <w:r>
        <w:rPr>
          <w:rFonts w:hint="eastAsia"/>
          <w:highlight w:val="black"/>
        </w:rPr>
        <w:t>西北</w:t>
      </w:r>
      <w:r>
        <w:rPr>
          <w:highlight w:val="black"/>
        </w:rPr>
        <w:t>部，仅见一条，延长175m，浅绿色，呈脉状、斑状结构，块状构造。主要成分为石英、长石和白云母，系二长花岗岩化及其后期产物，对矿体无破坏作用。</w:t>
      </w:r>
    </w:p>
    <w:p w14:paraId="18513B41">
      <w:pPr>
        <w:pStyle w:val="24"/>
        <w:ind w:firstLine="583"/>
        <w:rPr>
          <w:highlight w:val="black"/>
        </w:rPr>
      </w:pPr>
      <w:r>
        <w:rPr>
          <w:rFonts w:hint="eastAsia"/>
          <w:highlight w:val="black"/>
        </w:rPr>
        <w:t>4、变质作用及围岩蚀变</w:t>
      </w:r>
    </w:p>
    <w:p w14:paraId="7F5ADD17">
      <w:pPr>
        <w:ind w:firstLine="583"/>
        <w:rPr>
          <w:highlight w:val="black"/>
        </w:rPr>
      </w:pPr>
      <w:r>
        <w:rPr>
          <w:rFonts w:hint="eastAsia"/>
          <w:highlight w:val="black"/>
        </w:rPr>
        <w:t>（1）</w:t>
      </w:r>
      <w:r>
        <w:rPr>
          <w:highlight w:val="black"/>
        </w:rPr>
        <w:t>变质作用</w:t>
      </w:r>
    </w:p>
    <w:p w14:paraId="5BE0A933">
      <w:pPr>
        <w:ind w:firstLine="583"/>
        <w:rPr>
          <w:highlight w:val="black"/>
        </w:rPr>
      </w:pPr>
      <w:r>
        <w:rPr>
          <w:rFonts w:hint="eastAsia"/>
          <w:highlight w:val="black"/>
        </w:rPr>
        <w:t>茨沟岩组经历了新太古代区域变质作用，这一地质过程是长期而复杂的，现今我们所观测到的变质岩石组合是变质作用达到峰期时，在化学平衡状态下对变质矿物温压条件的反映。</w:t>
      </w:r>
    </w:p>
    <w:p w14:paraId="54C7EE74">
      <w:pPr>
        <w:ind w:firstLine="583"/>
        <w:rPr>
          <w:highlight w:val="black"/>
        </w:rPr>
      </w:pPr>
      <w:r>
        <w:rPr>
          <w:rFonts w:hint="eastAsia"/>
          <w:highlight w:val="black"/>
        </w:rPr>
        <w:t>茨沟岩组的原岩为中—基性火山岩夹硅铁质碎屑沉积岩，为中基性火山—硅铁质沉积建造，其中磁铁石英岩（铁矿）的形成与此期的火山作用关系密切。</w:t>
      </w:r>
    </w:p>
    <w:p w14:paraId="1513CBAF">
      <w:pPr>
        <w:ind w:firstLine="583"/>
        <w:rPr>
          <w:highlight w:val="black"/>
        </w:rPr>
      </w:pPr>
      <w:r>
        <w:rPr>
          <w:rFonts w:hint="eastAsia"/>
          <w:highlight w:val="black"/>
        </w:rPr>
        <w:t>斜长角闪岩类：太古代鞍山岩群茨沟岩组中斜长角闪岩的原岩主要为海相基性火山岩夹少部分沉积岩。</w:t>
      </w:r>
    </w:p>
    <w:p w14:paraId="3379AF7F">
      <w:pPr>
        <w:ind w:firstLine="583"/>
        <w:rPr>
          <w:highlight w:val="black"/>
        </w:rPr>
      </w:pPr>
      <w:r>
        <w:rPr>
          <w:rFonts w:hint="eastAsia"/>
          <w:highlight w:val="black"/>
        </w:rPr>
        <w:t>角闪石岩类：太古代鞍山岩群茨沟岩组中角闪石岩类的原岩为海相中—基性火山岩，此期的火山活动与磁铁石英岩的形成关系密切。</w:t>
      </w:r>
    </w:p>
    <w:p w14:paraId="5E4E7A72">
      <w:pPr>
        <w:ind w:firstLine="583"/>
        <w:rPr>
          <w:highlight w:val="black"/>
        </w:rPr>
      </w:pPr>
      <w:r>
        <w:rPr>
          <w:rFonts w:hint="eastAsia"/>
          <w:highlight w:val="black"/>
        </w:rPr>
        <w:t>磁铁石英岩类：太古代鞍山岩群茨沟岩组中磁铁石英岩类的原岩为海相硅铁质碎屑沉积岩。</w:t>
      </w:r>
    </w:p>
    <w:p w14:paraId="03BC430E">
      <w:pPr>
        <w:ind w:firstLine="583"/>
        <w:rPr>
          <w:highlight w:val="black"/>
        </w:rPr>
      </w:pPr>
      <w:r>
        <w:rPr>
          <w:rFonts w:hint="eastAsia"/>
          <w:highlight w:val="black"/>
        </w:rPr>
        <w:t>1）变质矿物特征</w:t>
      </w:r>
    </w:p>
    <w:p w14:paraId="6865292E">
      <w:pPr>
        <w:ind w:firstLine="583"/>
        <w:rPr>
          <w:highlight w:val="black"/>
        </w:rPr>
      </w:pPr>
      <w:r>
        <w:rPr>
          <w:rFonts w:hint="eastAsia"/>
          <w:highlight w:val="black"/>
        </w:rPr>
        <w:t>茨岩组变质岩中出现的主要变质矿物如下：</w:t>
      </w:r>
    </w:p>
    <w:p w14:paraId="0BE9B34A">
      <w:pPr>
        <w:ind w:firstLine="583"/>
        <w:rPr>
          <w:highlight w:val="black"/>
        </w:rPr>
      </w:pPr>
      <w:r>
        <w:rPr>
          <w:rFonts w:hint="eastAsia"/>
          <w:highlight w:val="black"/>
        </w:rPr>
        <w:t>角闪石：黄绿色，淡绿色，少数为深绿色，从角闪石的多色性看，变质作用为绿片岩相－角闪岩相。角闪石为长柱状或纤柱状沿长轴定向分布，有的角闪石向阳起石和透闪石过渡。部分角闪石遭次闪石化或纤闪石化作用，有的具向透闪石过渡趋势，指示在温度降低过程中发生了退变质作用。</w:t>
      </w:r>
    </w:p>
    <w:p w14:paraId="1F8FCEBD">
      <w:pPr>
        <w:ind w:firstLine="583"/>
        <w:rPr>
          <w:highlight w:val="black"/>
        </w:rPr>
      </w:pPr>
      <w:r>
        <w:rPr>
          <w:rFonts w:hint="eastAsia"/>
          <w:highlight w:val="black"/>
        </w:rPr>
        <w:t>石榴石：为粒状，石榴石中有石英包体且片理绕过石榴石。</w:t>
      </w:r>
    </w:p>
    <w:p w14:paraId="6AFAEC9E">
      <w:pPr>
        <w:ind w:firstLine="583"/>
        <w:rPr>
          <w:highlight w:val="black"/>
        </w:rPr>
      </w:pPr>
      <w:r>
        <w:rPr>
          <w:rFonts w:hint="eastAsia"/>
          <w:highlight w:val="black"/>
        </w:rPr>
        <w:t>黑云母：为棕黄色、红棕色，指示其是在角闪岩相条件下形成的。黑云母片状，沿长轴定向分布，推测与主期片麻理同期形成。有的黑云母遭绿泥石化作用，个别黑云母遭脱铁作用，致使在温度降低过程中发生了褪变质作用</w:t>
      </w:r>
      <w:r>
        <w:rPr>
          <w:highlight w:val="black"/>
        </w:rPr>
        <w:t>。</w:t>
      </w:r>
    </w:p>
    <w:p w14:paraId="37545FF0">
      <w:pPr>
        <w:ind w:firstLine="583"/>
        <w:rPr>
          <w:highlight w:val="black"/>
        </w:rPr>
      </w:pPr>
      <w:r>
        <w:rPr>
          <w:rFonts w:hint="eastAsia"/>
          <w:highlight w:val="black"/>
        </w:rPr>
        <w:t>2）矿物共生组合</w:t>
      </w:r>
    </w:p>
    <w:p w14:paraId="3AF13B73">
      <w:pPr>
        <w:ind w:firstLine="583"/>
        <w:rPr>
          <w:highlight w:val="black"/>
        </w:rPr>
      </w:pPr>
      <w:r>
        <w:rPr>
          <w:rFonts w:hint="eastAsia"/>
          <w:highlight w:val="black"/>
        </w:rPr>
        <w:t>变质矿物共生组合为：</w:t>
      </w:r>
    </w:p>
    <w:p w14:paraId="53828CA2">
      <w:pPr>
        <w:ind w:firstLine="583"/>
        <w:rPr>
          <w:highlight w:val="black"/>
        </w:rPr>
      </w:pPr>
      <w:r>
        <w:rPr>
          <w:rFonts w:hint="eastAsia"/>
          <w:highlight w:val="black"/>
        </w:rPr>
        <w:t>斜长石+角闪石+黑云母+石英</w:t>
      </w:r>
    </w:p>
    <w:p w14:paraId="525A053B">
      <w:pPr>
        <w:ind w:firstLine="583"/>
        <w:rPr>
          <w:highlight w:val="black"/>
        </w:rPr>
      </w:pPr>
      <w:r>
        <w:rPr>
          <w:rFonts w:hint="eastAsia"/>
          <w:highlight w:val="black"/>
        </w:rPr>
        <w:t>斜长石+角闪石+绿帘石+石英</w:t>
      </w:r>
    </w:p>
    <w:p w14:paraId="6287953A">
      <w:pPr>
        <w:ind w:firstLine="583"/>
        <w:rPr>
          <w:highlight w:val="black"/>
        </w:rPr>
      </w:pPr>
      <w:r>
        <w:rPr>
          <w:rFonts w:hint="eastAsia"/>
          <w:highlight w:val="black"/>
        </w:rPr>
        <w:t>角闪石+透闪石+石英</w:t>
      </w:r>
    </w:p>
    <w:p w14:paraId="0674C863">
      <w:pPr>
        <w:ind w:firstLine="583"/>
        <w:rPr>
          <w:highlight w:val="black"/>
        </w:rPr>
      </w:pPr>
      <w:r>
        <w:rPr>
          <w:rFonts w:hint="eastAsia"/>
          <w:highlight w:val="black"/>
        </w:rPr>
        <w:t>角闪石+黑云母+黝帘石</w:t>
      </w:r>
    </w:p>
    <w:p w14:paraId="49382A2C">
      <w:pPr>
        <w:ind w:firstLine="583"/>
        <w:rPr>
          <w:highlight w:val="black"/>
        </w:rPr>
      </w:pPr>
      <w:r>
        <w:rPr>
          <w:rFonts w:hint="eastAsia"/>
          <w:highlight w:val="black"/>
        </w:rPr>
        <w:t>斜长石+黑云母+石英</w:t>
      </w:r>
    </w:p>
    <w:p w14:paraId="0AB6BA45">
      <w:pPr>
        <w:ind w:firstLine="583"/>
        <w:rPr>
          <w:highlight w:val="black"/>
        </w:rPr>
      </w:pPr>
      <w:r>
        <w:rPr>
          <w:rFonts w:hint="eastAsia"/>
          <w:highlight w:val="black"/>
        </w:rPr>
        <w:t>石英+白云母+绢云母+石榴石</w:t>
      </w:r>
    </w:p>
    <w:p w14:paraId="1F14AC34">
      <w:pPr>
        <w:ind w:firstLine="583"/>
        <w:rPr>
          <w:highlight w:val="black"/>
        </w:rPr>
      </w:pPr>
      <w:r>
        <w:rPr>
          <w:rFonts w:hint="eastAsia"/>
          <w:highlight w:val="black"/>
        </w:rPr>
        <w:t>斜长石+钾长石+石英+角闪石+绢云母</w:t>
      </w:r>
    </w:p>
    <w:p w14:paraId="771F1723">
      <w:pPr>
        <w:ind w:firstLine="583"/>
        <w:rPr>
          <w:highlight w:val="black"/>
        </w:rPr>
      </w:pPr>
      <w:r>
        <w:rPr>
          <w:rFonts w:hint="eastAsia"/>
          <w:highlight w:val="black"/>
        </w:rPr>
        <w:t>斜长石+石英+角闪石+绢云母</w:t>
      </w:r>
    </w:p>
    <w:p w14:paraId="7EC78828">
      <w:pPr>
        <w:ind w:firstLine="583"/>
        <w:rPr>
          <w:highlight w:val="black"/>
        </w:rPr>
      </w:pPr>
      <w:r>
        <w:rPr>
          <w:rFonts w:hint="eastAsia"/>
          <w:highlight w:val="black"/>
        </w:rPr>
        <w:t>斜长石+钾长石+石英+黑云母+绢云母</w:t>
      </w:r>
    </w:p>
    <w:p w14:paraId="47BF5CD8">
      <w:pPr>
        <w:ind w:firstLine="583"/>
        <w:rPr>
          <w:highlight w:val="black"/>
        </w:rPr>
      </w:pPr>
      <w:r>
        <w:rPr>
          <w:rFonts w:hint="eastAsia"/>
          <w:highlight w:val="black"/>
        </w:rPr>
        <w:t>斜长石+石英+黑云母+绢云母</w:t>
      </w:r>
    </w:p>
    <w:p w14:paraId="13599D1E">
      <w:pPr>
        <w:ind w:firstLine="583"/>
        <w:rPr>
          <w:highlight w:val="black"/>
        </w:rPr>
      </w:pPr>
      <w:r>
        <w:rPr>
          <w:rFonts w:hint="eastAsia"/>
          <w:highlight w:val="black"/>
        </w:rPr>
        <w:t>斜长石+钾长石+石英+黑云母</w:t>
      </w:r>
    </w:p>
    <w:p w14:paraId="6FED48C9">
      <w:pPr>
        <w:ind w:firstLine="583"/>
        <w:rPr>
          <w:highlight w:val="black"/>
        </w:rPr>
      </w:pPr>
      <w:r>
        <w:rPr>
          <w:rFonts w:hint="eastAsia"/>
          <w:highlight w:val="black"/>
        </w:rPr>
        <w:t>斜长石+石英+黑云母+白云母</w:t>
      </w:r>
    </w:p>
    <w:p w14:paraId="7D0E2C65">
      <w:pPr>
        <w:ind w:firstLine="583"/>
        <w:rPr>
          <w:highlight w:val="black"/>
        </w:rPr>
      </w:pPr>
      <w:r>
        <w:rPr>
          <w:rFonts w:hint="eastAsia"/>
          <w:highlight w:val="black"/>
        </w:rPr>
        <w:t>石英+透闪石+白云母+绢云母</w:t>
      </w:r>
    </w:p>
    <w:p w14:paraId="23CA15C1">
      <w:pPr>
        <w:ind w:firstLine="583"/>
        <w:rPr>
          <w:highlight w:val="black"/>
        </w:rPr>
      </w:pPr>
      <w:r>
        <w:rPr>
          <w:rFonts w:hint="eastAsia"/>
          <w:highlight w:val="black"/>
        </w:rPr>
        <w:t>石英+白云母</w:t>
      </w:r>
    </w:p>
    <w:p w14:paraId="1AB158B8">
      <w:pPr>
        <w:ind w:firstLine="583"/>
        <w:rPr>
          <w:highlight w:val="black"/>
        </w:rPr>
      </w:pPr>
      <w:r>
        <w:rPr>
          <w:rFonts w:hint="eastAsia"/>
          <w:highlight w:val="black"/>
        </w:rPr>
        <w:t>从上述矿物共生组合可判断变质相为角闪岩相-绿片岩相；先期的变质作用主要为进变质，在角闪岩相变质作用下进行的，后期受退变质作用影响，发生了绿片岩相退变质作用，主要是绢云母、绿帘石等变质矿物交代了先期的变质矿物，先期的斜长石绢云母化，黑云母遭绿泥石化等，绢云母显微细鳞片状集合体呈条带状分布。</w:t>
      </w:r>
    </w:p>
    <w:p w14:paraId="20A548E3">
      <w:pPr>
        <w:ind w:firstLine="583"/>
        <w:rPr>
          <w:highlight w:val="black"/>
        </w:rPr>
      </w:pPr>
      <w:r>
        <w:rPr>
          <w:rFonts w:hint="eastAsia"/>
          <w:highlight w:val="black"/>
        </w:rPr>
        <w:t>（2）</w:t>
      </w:r>
      <w:r>
        <w:rPr>
          <w:highlight w:val="black"/>
        </w:rPr>
        <w:t>围岩蚀变</w:t>
      </w:r>
    </w:p>
    <w:p w14:paraId="7FE9EF39">
      <w:pPr>
        <w:ind w:firstLine="583"/>
        <w:rPr>
          <w:highlight w:val="black"/>
        </w:rPr>
      </w:pPr>
      <w:r>
        <w:rPr>
          <w:highlight w:val="black"/>
        </w:rPr>
        <w:t>区内普遍见有后期热液蚀变而成的黄铁矿化、绿泥石化、碳酸盐化。绿泥石化主要在斜长角闪片麻岩内发育，特别是靠近铁矿层的斜长角闪片麻岩尤为发育。碳酸盐化在花岗片麻岩、侵入部位的围岩中或附近的断裂中较发育</w:t>
      </w:r>
      <w:r>
        <w:rPr>
          <w:rFonts w:hint="eastAsia"/>
          <w:highlight w:val="black"/>
        </w:rPr>
        <w:t>。</w:t>
      </w:r>
    </w:p>
    <w:p w14:paraId="4C8B57D7">
      <w:pPr>
        <w:pStyle w:val="4"/>
        <w:ind w:firstLine="0" w:firstLineChars="0"/>
      </w:pPr>
      <w:r>
        <w:t>2.3.2水文地质概况</w:t>
      </w:r>
      <w:bookmarkEnd w:id="105"/>
    </w:p>
    <w:p w14:paraId="18B5AFF2">
      <w:pPr>
        <w:ind w:firstLine="583"/>
        <w:rPr>
          <w:highlight w:val="black"/>
        </w:rPr>
      </w:pPr>
      <w:bookmarkStart w:id="110" w:name="_Toc329939287"/>
      <w:bookmarkStart w:id="111" w:name="_Toc327777997"/>
      <w:bookmarkStart w:id="112" w:name="_Toc146041917"/>
      <w:bookmarkStart w:id="113" w:name="_Toc145983163"/>
      <w:bookmarkStart w:id="114" w:name="_Toc145682687"/>
      <w:bookmarkStart w:id="115" w:name="_Toc422418753"/>
      <w:r>
        <w:rPr>
          <w:rFonts w:hint="eastAsia"/>
          <w:highlight w:val="black"/>
        </w:rPr>
        <w:t>1、</w:t>
      </w:r>
      <w:r>
        <w:rPr>
          <w:highlight w:val="black"/>
        </w:rPr>
        <w:t>矿</w:t>
      </w:r>
      <w:r>
        <w:rPr>
          <w:rFonts w:hint="eastAsia"/>
          <w:highlight w:val="black"/>
        </w:rPr>
        <w:t>区</w:t>
      </w:r>
      <w:r>
        <w:rPr>
          <w:highlight w:val="black"/>
        </w:rPr>
        <w:t>水文地质概况</w:t>
      </w:r>
      <w:bookmarkEnd w:id="110"/>
      <w:bookmarkEnd w:id="111"/>
      <w:bookmarkEnd w:id="112"/>
      <w:bookmarkEnd w:id="113"/>
      <w:bookmarkEnd w:id="114"/>
    </w:p>
    <w:p w14:paraId="0D2B8C6B">
      <w:pPr>
        <w:ind w:firstLine="583"/>
        <w:rPr>
          <w:highlight w:val="black"/>
        </w:rPr>
      </w:pPr>
      <w:bookmarkStart w:id="116" w:name="_Toc145682688"/>
      <w:bookmarkStart w:id="117" w:name="_Toc329939288"/>
      <w:bookmarkStart w:id="118" w:name="_Toc327777998"/>
      <w:bookmarkStart w:id="119" w:name="_Toc145983164"/>
      <w:bookmarkStart w:id="120" w:name="_Toc146041918"/>
      <w:r>
        <w:rPr>
          <w:highlight w:val="black"/>
        </w:rPr>
        <w:t>矿区属长白山脉南西</w:t>
      </w:r>
      <w:r>
        <w:rPr>
          <w:rFonts w:hint="eastAsia"/>
          <w:highlight w:val="black"/>
        </w:rPr>
        <w:t>延伸</w:t>
      </w:r>
      <w:r>
        <w:rPr>
          <w:highlight w:val="black"/>
        </w:rPr>
        <w:t>部分，地貌为辽东浅切割中低山区，山地面积占90%以上，矿区内地形北西与南东两侧高，地形标高最高为360.0m，最低侵蚀基准面为125m，相对高差185m，坡度20°～55°，矿区内矿体估算标高为-45～282m，大部分矿体位于最低侵蚀基准面以下。该矿区内植被茂盛，林区面积达70%；地势较缓，无悬崖峭壁。</w:t>
      </w:r>
    </w:p>
    <w:p w14:paraId="5AB68C82">
      <w:pPr>
        <w:ind w:firstLine="583"/>
        <w:rPr>
          <w:highlight w:val="black"/>
        </w:rPr>
      </w:pPr>
      <w:r>
        <w:rPr>
          <w:highlight w:val="black"/>
        </w:rPr>
        <w:t>该地区属中温带湿润气候区，季风及大陆性气候特征明显。年均气温7.2～8.4℃，最高气温37.5℃，最低气温</w:t>
      </w:r>
      <w:r>
        <w:rPr>
          <w:rFonts w:hint="eastAsia"/>
          <w:highlight w:val="black"/>
        </w:rPr>
        <w:t>-</w:t>
      </w:r>
      <w:r>
        <w:rPr>
          <w:highlight w:val="black"/>
        </w:rPr>
        <w:t>34.5℃；年均降雨量669mm，最大降雨量909mm，年蒸发量1013～1675mm，年均相对湿度65%左右；12月至翌年2月为降雪期，最大积雪深度490mm；每年11月下旬至翌年4月中旬为冰冻期，冻土深度1.3～1.5m；春季和夏季多偏南风，秋季及</w:t>
      </w:r>
      <w:r>
        <w:rPr>
          <w:rFonts w:hint="eastAsia"/>
          <w:highlight w:val="black"/>
        </w:rPr>
        <w:t>冬</w:t>
      </w:r>
      <w:r>
        <w:rPr>
          <w:highlight w:val="black"/>
        </w:rPr>
        <w:t>季为偏北风，年均风速2.5m/s，最大风速为3.6m/s。</w:t>
      </w:r>
    </w:p>
    <w:p w14:paraId="28393470">
      <w:pPr>
        <w:ind w:firstLine="583"/>
        <w:rPr>
          <w:highlight w:val="black"/>
        </w:rPr>
      </w:pPr>
      <w:bookmarkStart w:id="121" w:name="_Toc144365374"/>
      <w:bookmarkStart w:id="122" w:name="_Toc142639478"/>
      <w:bookmarkStart w:id="123" w:name="_Hlk141604315"/>
      <w:r>
        <w:rPr>
          <w:rFonts w:hint="eastAsia"/>
          <w:highlight w:val="black"/>
        </w:rPr>
        <w:t>矿区南侧有1条地表浑河支流，水面高程136m，距离3到4号矿界拐点85m，由东北向南西流过，常年流水，平常河水深0.2～0.5m，雨季河水暴涨，最高河水深能达1m，干旱季节河水水位下降。除河流外，各沟谷中有季节性水流</w:t>
      </w:r>
      <w:r>
        <w:rPr>
          <w:highlight w:val="black"/>
        </w:rPr>
        <w:t>。</w:t>
      </w:r>
    </w:p>
    <w:p w14:paraId="359D8507">
      <w:pPr>
        <w:ind w:firstLine="583"/>
        <w:rPr>
          <w:highlight w:val="black"/>
        </w:rPr>
      </w:pPr>
      <w:r>
        <w:rPr>
          <w:rFonts w:hint="eastAsia"/>
          <w:highlight w:val="black"/>
        </w:rPr>
        <w:t>（1）</w:t>
      </w:r>
      <w:r>
        <w:rPr>
          <w:highlight w:val="black"/>
        </w:rPr>
        <w:t>地下水类型及其赋存特征</w:t>
      </w:r>
      <w:bookmarkEnd w:id="121"/>
      <w:bookmarkEnd w:id="122"/>
    </w:p>
    <w:bookmarkEnd w:id="123"/>
    <w:p w14:paraId="77053D4C">
      <w:pPr>
        <w:ind w:firstLine="583"/>
        <w:rPr>
          <w:highlight w:val="black"/>
        </w:rPr>
      </w:pPr>
      <w:r>
        <w:rPr>
          <w:highlight w:val="black"/>
        </w:rPr>
        <w:t>按地下水赋存条件，区域地下水类型可划分为松散岩孔隙潜水、碎屑岩孔隙裂隙水、碳酸盐岩溶隙裂隙水、基岩风化裂隙水、深部基岩裂隙水。</w:t>
      </w:r>
    </w:p>
    <w:p w14:paraId="1F0D920F">
      <w:pPr>
        <w:ind w:firstLine="583"/>
        <w:rPr>
          <w:highlight w:val="black"/>
        </w:rPr>
      </w:pPr>
      <w:r>
        <w:rPr>
          <w:rFonts w:hint="eastAsia"/>
          <w:highlight w:val="black"/>
        </w:rPr>
        <w:t>1）</w:t>
      </w:r>
      <w:r>
        <w:rPr>
          <w:highlight w:val="black"/>
        </w:rPr>
        <w:t>第四系松散岩类孔隙水</w:t>
      </w:r>
    </w:p>
    <w:p w14:paraId="66A91041">
      <w:pPr>
        <w:ind w:firstLine="583"/>
        <w:rPr>
          <w:highlight w:val="black"/>
        </w:rPr>
      </w:pPr>
      <w:r>
        <w:rPr>
          <w:highlight w:val="black"/>
        </w:rPr>
        <w:t>主要分布在细河两</w:t>
      </w:r>
      <w:r>
        <w:rPr>
          <w:rFonts w:hint="eastAsia"/>
          <w:highlight w:val="black"/>
        </w:rPr>
        <w:t>侧</w:t>
      </w:r>
      <w:r>
        <w:rPr>
          <w:highlight w:val="black"/>
        </w:rPr>
        <w:t>、沟谷底部，含水层主要为第四系冲、洪积砂砾石层，为孔隙潜水，单位涌水量大于0.1L/s.m，富水性中等。</w:t>
      </w:r>
    </w:p>
    <w:p w14:paraId="7EE18066">
      <w:pPr>
        <w:ind w:firstLine="583"/>
        <w:rPr>
          <w:highlight w:val="black"/>
        </w:rPr>
      </w:pPr>
      <w:r>
        <w:rPr>
          <w:rFonts w:hint="eastAsia"/>
          <w:highlight w:val="black"/>
        </w:rPr>
        <w:t>2）</w:t>
      </w:r>
      <w:r>
        <w:rPr>
          <w:highlight w:val="black"/>
        </w:rPr>
        <w:t>碎屑岩孔隙裂隙水</w:t>
      </w:r>
    </w:p>
    <w:p w14:paraId="2C07D3C0">
      <w:pPr>
        <w:ind w:firstLine="583"/>
        <w:rPr>
          <w:highlight w:val="black"/>
        </w:rPr>
      </w:pPr>
      <w:r>
        <w:rPr>
          <w:highlight w:val="black"/>
        </w:rPr>
        <w:t>主要分布于本区的东南部及东北部，含水岩系由南华系的砂岩、砾岩、泥灰岩构成，单位涌水量小于0.1L/s.m，富水性较弱。</w:t>
      </w:r>
    </w:p>
    <w:p w14:paraId="4353289E">
      <w:pPr>
        <w:ind w:firstLine="583"/>
        <w:rPr>
          <w:highlight w:val="black"/>
        </w:rPr>
      </w:pPr>
      <w:r>
        <w:rPr>
          <w:rFonts w:hint="eastAsia"/>
          <w:highlight w:val="black"/>
        </w:rPr>
        <w:t>3）</w:t>
      </w:r>
      <w:r>
        <w:rPr>
          <w:highlight w:val="black"/>
        </w:rPr>
        <w:t>碳酸盐岩溶隙裂水</w:t>
      </w:r>
    </w:p>
    <w:p w14:paraId="684A1441">
      <w:pPr>
        <w:ind w:firstLine="583"/>
        <w:rPr>
          <w:highlight w:val="black"/>
        </w:rPr>
      </w:pPr>
      <w:r>
        <w:rPr>
          <w:highlight w:val="black"/>
        </w:rPr>
        <w:t>主要分布于本区的东南部及东北部，含水岩层为寒武系奥陶系灰岩地层，偶见溶蚀现象，局部溶蚀强烈，地层线溶蚀率2.59%，发育深度41.09～81.34m。富水程度强到极强，且极不均一。据区域资料记载单位涌水量0.45～5.07L/s.m，大者可达6.699L/s.m，渗透系数为2.389～15.580m/d，大者可达18.08m/d。</w:t>
      </w:r>
    </w:p>
    <w:p w14:paraId="7CF8002A">
      <w:pPr>
        <w:ind w:firstLine="583"/>
        <w:rPr>
          <w:highlight w:val="black"/>
        </w:rPr>
      </w:pPr>
      <w:r>
        <w:rPr>
          <w:rFonts w:hint="eastAsia"/>
          <w:highlight w:val="black"/>
        </w:rPr>
        <w:t>4）</w:t>
      </w:r>
      <w:r>
        <w:rPr>
          <w:highlight w:val="black"/>
        </w:rPr>
        <w:t>基岩风化裂隙含水</w:t>
      </w:r>
    </w:p>
    <w:p w14:paraId="512B4371">
      <w:pPr>
        <w:ind w:firstLine="583"/>
        <w:rPr>
          <w:highlight w:val="black"/>
        </w:rPr>
      </w:pPr>
      <w:r>
        <w:rPr>
          <w:highlight w:val="black"/>
        </w:rPr>
        <w:t>分布于本区的中西部，含水岩层为新太古代二长花岗片麻岩的风化壳，其节理裂隙较发育，且相对均匀，各种不同岩层之间构成了一个统一的含水整体，单位涌水量在0.1～1.0L/s.m，富水性中等。</w:t>
      </w:r>
    </w:p>
    <w:p w14:paraId="03C72D62">
      <w:pPr>
        <w:ind w:firstLine="583"/>
        <w:rPr>
          <w:highlight w:val="black"/>
        </w:rPr>
      </w:pPr>
      <w:r>
        <w:rPr>
          <w:rFonts w:hint="eastAsia"/>
          <w:highlight w:val="black"/>
        </w:rPr>
        <w:t>5）</w:t>
      </w:r>
      <w:r>
        <w:rPr>
          <w:highlight w:val="black"/>
        </w:rPr>
        <w:t>深部基岩裂隙水</w:t>
      </w:r>
    </w:p>
    <w:p w14:paraId="0B24A83A">
      <w:pPr>
        <w:ind w:firstLine="583"/>
        <w:rPr>
          <w:highlight w:val="black"/>
        </w:rPr>
      </w:pPr>
      <w:r>
        <w:rPr>
          <w:highlight w:val="black"/>
        </w:rPr>
        <w:t>含水介质主要为断层破碎带、接触破碎带，含水岩层渗透系数0.0047m/d，富水性和导水性较差。</w:t>
      </w:r>
    </w:p>
    <w:p w14:paraId="18565F36">
      <w:pPr>
        <w:ind w:firstLine="583"/>
        <w:rPr>
          <w:highlight w:val="black"/>
        </w:rPr>
      </w:pPr>
      <w:bookmarkStart w:id="124" w:name="_Toc142639479"/>
      <w:bookmarkStart w:id="125" w:name="_Toc144365375"/>
      <w:bookmarkStart w:id="126" w:name="_Hlk141604320"/>
      <w:r>
        <w:rPr>
          <w:rFonts w:hint="eastAsia"/>
          <w:highlight w:val="black"/>
        </w:rPr>
        <w:t>（2）</w:t>
      </w:r>
      <w:r>
        <w:rPr>
          <w:highlight w:val="black"/>
        </w:rPr>
        <w:t>地下水补给、径流、排泄特征</w:t>
      </w:r>
      <w:bookmarkEnd w:id="124"/>
      <w:bookmarkEnd w:id="125"/>
    </w:p>
    <w:bookmarkEnd w:id="126"/>
    <w:p w14:paraId="448F5F8D">
      <w:pPr>
        <w:ind w:firstLine="583"/>
        <w:rPr>
          <w:highlight w:val="black"/>
        </w:rPr>
      </w:pPr>
      <w:r>
        <w:rPr>
          <w:highlight w:val="black"/>
        </w:rPr>
        <w:t>大气降水后，一部分水呈地表</w:t>
      </w:r>
      <w:r>
        <w:rPr>
          <w:rFonts w:hint="eastAsia"/>
          <w:highlight w:val="black"/>
        </w:rPr>
        <w:t>径流</w:t>
      </w:r>
      <w:r>
        <w:rPr>
          <w:highlight w:val="black"/>
        </w:rPr>
        <w:t>形式排泄注入主河道和低洼处，形成地表水体。另一部分水沿松散岩类孔隙、基岩风化裂隙、构造裂隙下渗，分别形成孔隙水、风化裂隙水和构造裂隙水。孔隙含水层与裂隙含水层或裂隙含水层与构造裂隙含水体</w:t>
      </w:r>
      <w:r>
        <w:rPr>
          <w:rFonts w:hint="eastAsia"/>
          <w:highlight w:val="black"/>
        </w:rPr>
        <w:t>（</w:t>
      </w:r>
      <w:r>
        <w:rPr>
          <w:highlight w:val="black"/>
        </w:rPr>
        <w:t>带</w:t>
      </w:r>
      <w:r>
        <w:rPr>
          <w:rFonts w:hint="eastAsia"/>
          <w:highlight w:val="black"/>
        </w:rPr>
        <w:t>）</w:t>
      </w:r>
      <w:r>
        <w:rPr>
          <w:highlight w:val="black"/>
        </w:rPr>
        <w:t>之间，有一定程度的水力联系，故它们之间存在相互补给关系。其间的迳流条件好坏，则取决于岩石孔隙、表层裂隙及深部构造裂隙的发育程度、连通程度及充填性质等。总体上，随深度加大，基岩裂隙更趋闭合，其与上部之间的水力联系则越加减弱，最终成为隔水层。本区地下水</w:t>
      </w:r>
      <w:r>
        <w:rPr>
          <w:rFonts w:hint="eastAsia"/>
          <w:highlight w:val="black"/>
        </w:rPr>
        <w:t>径流</w:t>
      </w:r>
      <w:r>
        <w:rPr>
          <w:highlight w:val="black"/>
        </w:rPr>
        <w:t>条件一般或较差，均以人为开采或地下</w:t>
      </w:r>
      <w:r>
        <w:rPr>
          <w:rFonts w:hint="eastAsia"/>
          <w:highlight w:val="black"/>
        </w:rPr>
        <w:t>径流</w:t>
      </w:r>
      <w:r>
        <w:rPr>
          <w:highlight w:val="black"/>
        </w:rPr>
        <w:t>形式排泄。各含水层</w:t>
      </w:r>
      <w:r>
        <w:rPr>
          <w:rFonts w:hint="eastAsia"/>
          <w:highlight w:val="black"/>
        </w:rPr>
        <w:t>（</w:t>
      </w:r>
      <w:r>
        <w:rPr>
          <w:highlight w:val="black"/>
        </w:rPr>
        <w:t>带</w:t>
      </w:r>
      <w:r>
        <w:rPr>
          <w:rFonts w:hint="eastAsia"/>
          <w:highlight w:val="black"/>
        </w:rPr>
        <w:t>）</w:t>
      </w:r>
      <w:r>
        <w:rPr>
          <w:highlight w:val="black"/>
        </w:rPr>
        <w:t>之间存在一定程度的水力联系。地表水入渗补给地下水的过程也遵循上述规律。</w:t>
      </w:r>
    </w:p>
    <w:p w14:paraId="4B518242">
      <w:pPr>
        <w:ind w:firstLine="583"/>
        <w:rPr>
          <w:szCs w:val="28"/>
          <w:highlight w:val="black"/>
        </w:rPr>
      </w:pPr>
      <w:r>
        <w:rPr>
          <w:rFonts w:hint="eastAsia"/>
          <w:szCs w:val="28"/>
          <w:highlight w:val="black"/>
        </w:rPr>
        <w:t>2、矿区水文地质条件</w:t>
      </w:r>
    </w:p>
    <w:p w14:paraId="10FEF63F">
      <w:pPr>
        <w:ind w:firstLine="583"/>
        <w:rPr>
          <w:highlight w:val="black"/>
        </w:rPr>
      </w:pPr>
      <w:bookmarkStart w:id="127" w:name="_Toc142639481"/>
      <w:bookmarkStart w:id="128" w:name="_Toc136868947"/>
      <w:bookmarkStart w:id="129" w:name="_Toc144365377"/>
      <w:r>
        <w:rPr>
          <w:rFonts w:hint="eastAsia"/>
          <w:highlight w:val="black"/>
        </w:rPr>
        <w:t>（1）</w:t>
      </w:r>
      <w:r>
        <w:rPr>
          <w:highlight w:val="black"/>
        </w:rPr>
        <w:t>含水层及其富水性</w:t>
      </w:r>
      <w:bookmarkEnd w:id="127"/>
      <w:bookmarkEnd w:id="128"/>
      <w:bookmarkEnd w:id="129"/>
    </w:p>
    <w:p w14:paraId="20398151">
      <w:pPr>
        <w:ind w:firstLine="583"/>
        <w:rPr>
          <w:highlight w:val="black"/>
        </w:rPr>
      </w:pPr>
      <w:r>
        <w:rPr>
          <w:rFonts w:hint="eastAsia"/>
          <w:highlight w:val="black"/>
        </w:rPr>
        <w:t>1）</w:t>
      </w:r>
      <w:r>
        <w:rPr>
          <w:highlight w:val="black"/>
        </w:rPr>
        <w:t>第四系松散岩类孔隙含水层</w:t>
      </w:r>
    </w:p>
    <w:p w14:paraId="5922BD44">
      <w:pPr>
        <w:ind w:firstLine="583"/>
        <w:rPr>
          <w:highlight w:val="black"/>
        </w:rPr>
      </w:pPr>
      <w:r>
        <w:rPr>
          <w:highlight w:val="black"/>
        </w:rPr>
        <w:t>主要为冲、洪积形成的沙砾石层，其上部多为厚度3～5m含砾石的亚砂土和亚粘土。下部多为基岩的强风化带，该带因受长期风化和地下水的侵蚀，多已成为松软的砂砾和粘土质，透水性一般较差。</w:t>
      </w:r>
    </w:p>
    <w:p w14:paraId="24C3C66D">
      <w:pPr>
        <w:ind w:firstLine="583"/>
        <w:rPr>
          <w:highlight w:val="black"/>
        </w:rPr>
      </w:pPr>
      <w:r>
        <w:rPr>
          <w:highlight w:val="black"/>
        </w:rPr>
        <w:t>砂砾石层主要呈带状分布在矿区中部的河谷地段，厚度一般为3～15m，成分主要为粗、中砾夹砾石，且含少量的粉、细砂及粘土，砾石分选性差，多为半棱角状，砾径一般3～10cm。地下水多具潜水形式</w:t>
      </w:r>
      <w:r>
        <w:rPr>
          <w:rFonts w:hint="eastAsia"/>
          <w:highlight w:val="black"/>
        </w:rPr>
        <w:t>（</w:t>
      </w:r>
      <w:r>
        <w:rPr>
          <w:highlight w:val="black"/>
        </w:rPr>
        <w:t>局部为承压水</w:t>
      </w:r>
      <w:r>
        <w:rPr>
          <w:rFonts w:hint="eastAsia"/>
          <w:highlight w:val="black"/>
        </w:rPr>
        <w:t>）</w:t>
      </w:r>
      <w:r>
        <w:rPr>
          <w:highlight w:val="black"/>
        </w:rPr>
        <w:t>赋存于砂砾石的孔隙中，水位埋深1～5m，一般为2～3m，由于受大气降水的直接补给，水位随季节变化较明显，雨季上升，旱季下降，波动幅度1～2m。地下水排泄途径为河流及地下径流，在局部地段河水补给地下水，地下水交替迅速，渗透系数为0.115m/d富水性中等。</w:t>
      </w:r>
    </w:p>
    <w:p w14:paraId="05A00C95">
      <w:pPr>
        <w:ind w:firstLine="583"/>
        <w:rPr>
          <w:highlight w:val="black"/>
        </w:rPr>
      </w:pPr>
      <w:r>
        <w:rPr>
          <w:rFonts w:hint="eastAsia"/>
          <w:highlight w:val="black"/>
        </w:rPr>
        <w:t>2）构造</w:t>
      </w:r>
      <w:r>
        <w:rPr>
          <w:highlight w:val="black"/>
        </w:rPr>
        <w:t>裂隙含水层</w:t>
      </w:r>
    </w:p>
    <w:p w14:paraId="680F6075">
      <w:pPr>
        <w:ind w:firstLine="583"/>
        <w:rPr>
          <w:highlight w:val="black"/>
        </w:rPr>
      </w:pPr>
      <w:r>
        <w:rPr>
          <w:highlight w:val="black"/>
        </w:rPr>
        <w:t>为新太古代二长花岗片麻岩和鞍山岩群茨沟岩组磁铁石英岩</w:t>
      </w:r>
      <w:r>
        <w:rPr>
          <w:rFonts w:hint="eastAsia"/>
          <w:highlight w:val="black"/>
        </w:rPr>
        <w:t>（</w:t>
      </w:r>
      <w:r>
        <w:rPr>
          <w:highlight w:val="black"/>
        </w:rPr>
        <w:t>铁矿体</w:t>
      </w:r>
      <w:r>
        <w:rPr>
          <w:rFonts w:hint="eastAsia"/>
          <w:highlight w:val="black"/>
        </w:rPr>
        <w:t>）</w:t>
      </w:r>
      <w:r>
        <w:rPr>
          <w:highlight w:val="black"/>
        </w:rPr>
        <w:t>、花岗片麻岩及斜长角闪片麻岩风化带，几乎遍布全区。该带的含水性决定于岩石节理裂隙的发育程度。由于裂隙的连通，使基岩的各种不同岩层之间构成了一个统一的含水整体。施工的钻孔资料表明，一般在50m深度内，节理裂隙发育，</w:t>
      </w:r>
      <w:r>
        <w:rPr>
          <w:rFonts w:hint="eastAsia"/>
          <w:highlight w:val="black"/>
        </w:rPr>
        <w:t>且在42～46m处见断层破碎带，</w:t>
      </w:r>
      <w:r>
        <w:rPr>
          <w:highlight w:val="black"/>
        </w:rPr>
        <w:t>50～80m风化裂隙减弱，80～100m以下节理裂隙发育很弱，透水性很差，可视为不透水层。节理裂隙发育程度因各地段所处地貌条件以及受构造因素影响而不同，因此该带富水性是不均匀的。</w:t>
      </w:r>
    </w:p>
    <w:p w14:paraId="30F4486A">
      <w:pPr>
        <w:ind w:firstLine="583"/>
        <w:rPr>
          <w:highlight w:val="black"/>
        </w:rPr>
      </w:pPr>
      <w:r>
        <w:rPr>
          <w:highlight w:val="black"/>
        </w:rPr>
        <w:t>基岩风化裂隙含水主要接受大气降水补给，在山谷低地亦接受其上部第四系松散岩类孔隙含水层补给，被下降泉及河流所排泄，泉的涌水量为0.04～0.22L/s；地下水的水位埋深0～36m，水位标高140.65～177.07m。</w:t>
      </w:r>
    </w:p>
    <w:p w14:paraId="268AD12B">
      <w:pPr>
        <w:ind w:firstLine="583"/>
      </w:pPr>
      <w:r>
        <w:rPr>
          <w:rFonts w:hint="eastAsia"/>
          <w:highlight w:val="black"/>
          <w:lang w:val="en-US" w:eastAsia="zh-CN"/>
        </w:rPr>
        <w:t>根据企业提供</w:t>
      </w:r>
      <w:r>
        <w:rPr>
          <w:highlight w:val="black"/>
        </w:rPr>
        <w:t>编号</w:t>
      </w:r>
      <w:r>
        <w:rPr>
          <w:rFonts w:hint="eastAsia"/>
          <w:highlight w:val="black"/>
          <w:lang w:val="en-US" w:eastAsia="zh-CN"/>
        </w:rPr>
        <w:t>为</w:t>
      </w:r>
      <w:r>
        <w:rPr>
          <w:highlight w:val="black"/>
        </w:rPr>
        <w:t>SHK001</w:t>
      </w:r>
      <w:r>
        <w:rPr>
          <w:rFonts w:hint="eastAsia"/>
          <w:highlight w:val="black"/>
          <w:lang w:val="en-US" w:eastAsia="zh-CN"/>
        </w:rPr>
        <w:t>水文钻孔</w:t>
      </w:r>
      <w:r>
        <w:rPr>
          <w:rFonts w:hint="eastAsia"/>
          <w:highlight w:val="black"/>
        </w:rPr>
        <w:t>，</w:t>
      </w:r>
      <w:r>
        <w:rPr>
          <w:highlight w:val="black"/>
        </w:rPr>
        <w:t>钻孔中</w:t>
      </w:r>
      <w:r>
        <w:rPr>
          <w:rFonts w:hint="eastAsia"/>
          <w:highlight w:val="black"/>
          <w:lang w:val="en-US" w:eastAsia="zh-CN"/>
        </w:rPr>
        <w:t>在</w:t>
      </w:r>
      <w:r>
        <w:rPr>
          <w:highlight w:val="black"/>
        </w:rPr>
        <w:t>42～46m遇到了破碎现象。抽水试验过程中初始静水位埋深为2.8m，单孔抽水试验资料显示，</w:t>
      </w:r>
      <w:r>
        <w:rPr>
          <w:rFonts w:hint="eastAsia"/>
          <w:highlight w:val="black"/>
        </w:rPr>
        <w:t>单位</w:t>
      </w:r>
      <w:r>
        <w:rPr>
          <w:highlight w:val="black"/>
        </w:rPr>
        <w:t>涌水量0.111L/s.m，按钻孔单位涌水量针对富水性分级，因其单位涌水量0.1L·m/s＜q＜1L·m/s，属中等富水性。</w:t>
      </w:r>
    </w:p>
    <w:p w14:paraId="36871D1D">
      <w:pPr>
        <w:spacing w:line="240" w:lineRule="auto"/>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表2-3 SHK001单孔抽水试验数据统计表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509"/>
        <w:gridCol w:w="1205"/>
        <w:gridCol w:w="1357"/>
        <w:gridCol w:w="1205"/>
        <w:gridCol w:w="1205"/>
        <w:gridCol w:w="1662"/>
      </w:tblGrid>
      <w:tr w14:paraId="6D919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5" w:type="pct"/>
            <w:tcBorders>
              <w:tl2br w:val="nil"/>
              <w:tr2bl w:val="nil"/>
            </w:tcBorders>
            <w:noWrap/>
            <w:vAlign w:val="center"/>
          </w:tcPr>
          <w:p w14:paraId="7874A7BD">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序号</w:t>
            </w:r>
          </w:p>
        </w:tc>
        <w:tc>
          <w:tcPr>
            <w:tcW w:w="880" w:type="pct"/>
            <w:tcBorders>
              <w:tl2br w:val="nil"/>
              <w:tr2bl w:val="nil"/>
            </w:tcBorders>
            <w:noWrap/>
            <w:vAlign w:val="center"/>
          </w:tcPr>
          <w:p w14:paraId="2E54056E">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抽水延续时间（h）</w:t>
            </w:r>
          </w:p>
        </w:tc>
        <w:tc>
          <w:tcPr>
            <w:tcW w:w="669" w:type="pct"/>
            <w:tcBorders>
              <w:tl2br w:val="nil"/>
              <w:tr2bl w:val="nil"/>
            </w:tcBorders>
            <w:noWrap/>
            <w:vAlign w:val="center"/>
          </w:tcPr>
          <w:p w14:paraId="68612BE5">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稳定时间（h）</w:t>
            </w:r>
          </w:p>
        </w:tc>
        <w:tc>
          <w:tcPr>
            <w:tcW w:w="804" w:type="pct"/>
            <w:tcBorders>
              <w:tl2br w:val="nil"/>
              <w:tr2bl w:val="nil"/>
            </w:tcBorders>
            <w:noWrap/>
            <w:vAlign w:val="center"/>
          </w:tcPr>
          <w:p w14:paraId="72DDCF59">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初始静水位（m）</w:t>
            </w:r>
          </w:p>
        </w:tc>
        <w:tc>
          <w:tcPr>
            <w:tcW w:w="699" w:type="pct"/>
            <w:tcBorders>
              <w:tl2br w:val="nil"/>
              <w:tr2bl w:val="nil"/>
            </w:tcBorders>
            <w:noWrap/>
            <w:vAlign w:val="center"/>
          </w:tcPr>
          <w:p w14:paraId="42687D65">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降低水位（m）</w:t>
            </w:r>
          </w:p>
        </w:tc>
        <w:tc>
          <w:tcPr>
            <w:tcW w:w="646" w:type="pct"/>
            <w:tcBorders>
              <w:tl2br w:val="nil"/>
              <w:tr2bl w:val="nil"/>
            </w:tcBorders>
            <w:noWrap/>
            <w:vAlign w:val="center"/>
          </w:tcPr>
          <w:p w14:paraId="3D9F7378">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涌水量（L/s）</w:t>
            </w:r>
          </w:p>
        </w:tc>
        <w:tc>
          <w:tcPr>
            <w:tcW w:w="966" w:type="pct"/>
            <w:tcBorders>
              <w:tl2br w:val="nil"/>
              <w:tr2bl w:val="nil"/>
            </w:tcBorders>
            <w:noWrap/>
            <w:vAlign w:val="center"/>
          </w:tcPr>
          <w:p w14:paraId="291D8C06">
            <w:pPr>
              <w:snapToGrid w:val="0"/>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单位涌水量（L/s.m）</w:t>
            </w:r>
          </w:p>
        </w:tc>
      </w:tr>
      <w:tr w14:paraId="629C3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5" w:type="pct"/>
            <w:tcBorders>
              <w:tl2br w:val="nil"/>
              <w:tr2bl w:val="nil"/>
            </w:tcBorders>
            <w:noWrap/>
            <w:vAlign w:val="center"/>
          </w:tcPr>
          <w:p w14:paraId="0626BCFA">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w:t>
            </w:r>
          </w:p>
        </w:tc>
        <w:tc>
          <w:tcPr>
            <w:tcW w:w="880" w:type="pct"/>
            <w:tcBorders>
              <w:tl2br w:val="nil"/>
              <w:tr2bl w:val="nil"/>
            </w:tcBorders>
            <w:noWrap/>
            <w:vAlign w:val="center"/>
          </w:tcPr>
          <w:p w14:paraId="172C6584">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24</w:t>
            </w:r>
          </w:p>
        </w:tc>
        <w:tc>
          <w:tcPr>
            <w:tcW w:w="669" w:type="pct"/>
            <w:tcBorders>
              <w:tl2br w:val="nil"/>
              <w:tr2bl w:val="nil"/>
            </w:tcBorders>
            <w:noWrap/>
            <w:vAlign w:val="center"/>
          </w:tcPr>
          <w:p w14:paraId="1D3F3041">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8</w:t>
            </w:r>
          </w:p>
        </w:tc>
        <w:tc>
          <w:tcPr>
            <w:tcW w:w="804" w:type="pct"/>
            <w:tcBorders>
              <w:tl2br w:val="nil"/>
              <w:tr2bl w:val="nil"/>
            </w:tcBorders>
            <w:noWrap/>
            <w:vAlign w:val="center"/>
          </w:tcPr>
          <w:p w14:paraId="1C2AE30A">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2.8</w:t>
            </w:r>
          </w:p>
        </w:tc>
        <w:tc>
          <w:tcPr>
            <w:tcW w:w="699" w:type="pct"/>
            <w:tcBorders>
              <w:tl2br w:val="nil"/>
              <w:tr2bl w:val="nil"/>
            </w:tcBorders>
            <w:noWrap/>
            <w:vAlign w:val="center"/>
          </w:tcPr>
          <w:p w14:paraId="3454BDAA">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10.9</w:t>
            </w:r>
          </w:p>
        </w:tc>
        <w:tc>
          <w:tcPr>
            <w:tcW w:w="646" w:type="pct"/>
            <w:tcBorders>
              <w:tl2br w:val="nil"/>
              <w:tr2bl w:val="nil"/>
            </w:tcBorders>
            <w:noWrap/>
            <w:vAlign w:val="center"/>
          </w:tcPr>
          <w:p w14:paraId="31FD0417">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1.125</w:t>
            </w:r>
          </w:p>
        </w:tc>
        <w:tc>
          <w:tcPr>
            <w:tcW w:w="966" w:type="pct"/>
            <w:tcBorders>
              <w:tl2br w:val="nil"/>
              <w:tr2bl w:val="nil"/>
            </w:tcBorders>
            <w:noWrap/>
            <w:vAlign w:val="center"/>
          </w:tcPr>
          <w:p w14:paraId="5292BE52">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0.103</w:t>
            </w:r>
          </w:p>
        </w:tc>
      </w:tr>
      <w:tr w14:paraId="2B12E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5" w:type="pct"/>
            <w:tcBorders>
              <w:tl2br w:val="nil"/>
              <w:tr2bl w:val="nil"/>
            </w:tcBorders>
            <w:noWrap/>
            <w:vAlign w:val="center"/>
          </w:tcPr>
          <w:p w14:paraId="1D6006DE">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w:t>
            </w:r>
          </w:p>
        </w:tc>
        <w:tc>
          <w:tcPr>
            <w:tcW w:w="880" w:type="pct"/>
            <w:tcBorders>
              <w:tl2br w:val="nil"/>
              <w:tr2bl w:val="nil"/>
            </w:tcBorders>
            <w:noWrap/>
            <w:vAlign w:val="center"/>
          </w:tcPr>
          <w:p w14:paraId="07F43783">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24</w:t>
            </w:r>
          </w:p>
        </w:tc>
        <w:tc>
          <w:tcPr>
            <w:tcW w:w="669" w:type="pct"/>
            <w:tcBorders>
              <w:tl2br w:val="nil"/>
              <w:tr2bl w:val="nil"/>
            </w:tcBorders>
            <w:noWrap/>
            <w:vAlign w:val="center"/>
          </w:tcPr>
          <w:p w14:paraId="3F024D4B">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8</w:t>
            </w:r>
          </w:p>
        </w:tc>
        <w:tc>
          <w:tcPr>
            <w:tcW w:w="804" w:type="pct"/>
            <w:tcBorders>
              <w:tl2br w:val="nil"/>
              <w:tr2bl w:val="nil"/>
            </w:tcBorders>
            <w:noWrap/>
            <w:vAlign w:val="center"/>
          </w:tcPr>
          <w:p w14:paraId="565C12A2">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2.7</w:t>
            </w:r>
          </w:p>
        </w:tc>
        <w:tc>
          <w:tcPr>
            <w:tcW w:w="699" w:type="pct"/>
            <w:tcBorders>
              <w:tl2br w:val="nil"/>
              <w:tr2bl w:val="nil"/>
            </w:tcBorders>
            <w:noWrap/>
            <w:vAlign w:val="center"/>
          </w:tcPr>
          <w:p w14:paraId="2543A945">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11.1</w:t>
            </w:r>
          </w:p>
        </w:tc>
        <w:tc>
          <w:tcPr>
            <w:tcW w:w="646" w:type="pct"/>
            <w:tcBorders>
              <w:tl2br w:val="nil"/>
              <w:tr2bl w:val="nil"/>
            </w:tcBorders>
            <w:noWrap/>
            <w:vAlign w:val="center"/>
          </w:tcPr>
          <w:p w14:paraId="2FC17C6E">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1.235</w:t>
            </w:r>
          </w:p>
        </w:tc>
        <w:tc>
          <w:tcPr>
            <w:tcW w:w="966" w:type="pct"/>
            <w:tcBorders>
              <w:tl2br w:val="nil"/>
              <w:tr2bl w:val="nil"/>
            </w:tcBorders>
            <w:noWrap/>
            <w:vAlign w:val="center"/>
          </w:tcPr>
          <w:p w14:paraId="2CCF62ED">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0.113</w:t>
            </w:r>
          </w:p>
        </w:tc>
      </w:tr>
      <w:tr w14:paraId="7DE5A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5" w:type="pct"/>
            <w:tcBorders>
              <w:tl2br w:val="nil"/>
              <w:tr2bl w:val="nil"/>
            </w:tcBorders>
            <w:noWrap/>
            <w:vAlign w:val="center"/>
          </w:tcPr>
          <w:p w14:paraId="0EEFE432">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3</w:t>
            </w:r>
          </w:p>
        </w:tc>
        <w:tc>
          <w:tcPr>
            <w:tcW w:w="880" w:type="pct"/>
            <w:tcBorders>
              <w:tl2br w:val="nil"/>
              <w:tr2bl w:val="nil"/>
            </w:tcBorders>
            <w:noWrap/>
            <w:vAlign w:val="center"/>
          </w:tcPr>
          <w:p w14:paraId="2411FFA6">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24</w:t>
            </w:r>
          </w:p>
        </w:tc>
        <w:tc>
          <w:tcPr>
            <w:tcW w:w="669" w:type="pct"/>
            <w:tcBorders>
              <w:tl2br w:val="nil"/>
              <w:tr2bl w:val="nil"/>
            </w:tcBorders>
            <w:noWrap/>
            <w:vAlign w:val="center"/>
          </w:tcPr>
          <w:p w14:paraId="61894098">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8</w:t>
            </w:r>
          </w:p>
        </w:tc>
        <w:tc>
          <w:tcPr>
            <w:tcW w:w="804" w:type="pct"/>
            <w:tcBorders>
              <w:tl2br w:val="nil"/>
              <w:tr2bl w:val="nil"/>
            </w:tcBorders>
            <w:noWrap/>
            <w:vAlign w:val="center"/>
          </w:tcPr>
          <w:p w14:paraId="697FF762">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2.6</w:t>
            </w:r>
          </w:p>
        </w:tc>
        <w:tc>
          <w:tcPr>
            <w:tcW w:w="699" w:type="pct"/>
            <w:tcBorders>
              <w:tl2br w:val="nil"/>
              <w:tr2bl w:val="nil"/>
            </w:tcBorders>
            <w:noWrap/>
            <w:vAlign w:val="center"/>
          </w:tcPr>
          <w:p w14:paraId="6D426794">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11.5</w:t>
            </w:r>
          </w:p>
        </w:tc>
        <w:tc>
          <w:tcPr>
            <w:tcW w:w="646" w:type="pct"/>
            <w:tcBorders>
              <w:tl2br w:val="nil"/>
              <w:tr2bl w:val="nil"/>
            </w:tcBorders>
            <w:noWrap/>
            <w:vAlign w:val="center"/>
          </w:tcPr>
          <w:p w14:paraId="278C9812">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1.295</w:t>
            </w:r>
          </w:p>
        </w:tc>
        <w:tc>
          <w:tcPr>
            <w:tcW w:w="966" w:type="pct"/>
            <w:tcBorders>
              <w:tl2br w:val="nil"/>
              <w:tr2bl w:val="nil"/>
            </w:tcBorders>
            <w:noWrap/>
            <w:vAlign w:val="center"/>
          </w:tcPr>
          <w:p w14:paraId="57B2B564">
            <w:pPr>
              <w:snapToGrid w:val="0"/>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0.118</w:t>
            </w:r>
          </w:p>
        </w:tc>
      </w:tr>
    </w:tbl>
    <w:p w14:paraId="6E889FE6">
      <w:pPr>
        <w:ind w:firstLine="583"/>
        <w:rPr>
          <w:sz w:val="26"/>
        </w:rPr>
      </w:pPr>
      <w:r>
        <w:rPr>
          <w:szCs w:val="20"/>
        </w:rPr>
        <w:object>
          <v:shape id="_x0000_i1026" o:spt="75" type="#_x0000_t75" style="height:218.2pt;width:362.2pt;" o:ole="t" filled="f" o:preferrelative="t" stroked="f" coordsize="21600,21600">
            <v:path/>
            <v:fill on="f" focussize="0,0"/>
            <v:stroke on="f" joinstyle="miter"/>
            <v:imagedata r:id="rId24" o:title=""/>
            <o:lock v:ext="edit" aspectratio="f"/>
            <w10:wrap type="none"/>
            <w10:anchorlock/>
          </v:shape>
          <o:OLEObject Type="Embed" ProgID="Excel.Chart.8" ShapeID="_x0000_i1026" DrawAspect="Content" ObjectID="_1468075726" r:id="rId23">
            <o:LockedField>false</o:LockedField>
          </o:OLEObject>
        </w:object>
      </w:r>
    </w:p>
    <w:p w14:paraId="0A6B3105">
      <w:pPr>
        <w:spacing w:line="240" w:lineRule="auto"/>
        <w:ind w:firstLine="0" w:firstLineChars="0"/>
        <w:jc w:val="center"/>
        <w:rPr>
          <w:b/>
          <w:sz w:val="21"/>
          <w:szCs w:val="21"/>
        </w:rPr>
      </w:pPr>
      <w:r>
        <w:rPr>
          <w:b/>
          <w:sz w:val="21"/>
          <w:szCs w:val="21"/>
        </w:rPr>
        <w:t>图</w:t>
      </w:r>
      <w:r>
        <w:rPr>
          <w:rFonts w:hint="eastAsia"/>
          <w:b/>
          <w:sz w:val="21"/>
          <w:szCs w:val="21"/>
        </w:rPr>
        <w:t>2</w:t>
      </w:r>
      <w:r>
        <w:rPr>
          <w:b/>
          <w:sz w:val="21"/>
          <w:szCs w:val="21"/>
        </w:rPr>
        <w:t>-</w:t>
      </w:r>
      <w:r>
        <w:rPr>
          <w:rFonts w:hint="eastAsia"/>
          <w:b/>
          <w:sz w:val="21"/>
          <w:szCs w:val="21"/>
        </w:rPr>
        <w:t>5</w:t>
      </w:r>
      <w:r>
        <w:rPr>
          <w:b/>
          <w:sz w:val="21"/>
          <w:szCs w:val="21"/>
        </w:rPr>
        <w:t xml:space="preserve"> 抽水试验曲线</w:t>
      </w:r>
    </w:p>
    <w:p w14:paraId="4D444709">
      <w:pPr>
        <w:ind w:firstLine="583"/>
        <w:rPr>
          <w:highlight w:val="black"/>
          <w:lang w:val="zh-CN"/>
        </w:rPr>
      </w:pPr>
      <w:r>
        <w:rPr>
          <w:rFonts w:hint="eastAsia"/>
          <w:highlight w:val="black"/>
          <w:lang w:val="zh-CN"/>
        </w:rPr>
        <w:t>《</w:t>
      </w:r>
      <w:r>
        <w:rPr>
          <w:rFonts w:hint="eastAsia"/>
          <w:highlight w:val="black"/>
        </w:rPr>
        <w:t>可研报告</w:t>
      </w:r>
      <w:r>
        <w:rPr>
          <w:rFonts w:hint="eastAsia"/>
          <w:highlight w:val="black"/>
          <w:lang w:val="zh-CN"/>
        </w:rPr>
        <w:t>》</w:t>
      </w:r>
      <w:r>
        <w:rPr>
          <w:highlight w:val="black"/>
          <w:lang w:val="zh-CN"/>
        </w:rPr>
        <w:t>参数计算选择了层压水完整井公式K=</w:t>
      </w:r>
      <w:r>
        <w:rPr>
          <w:highlight w:val="black"/>
        </w:rPr>
        <w:drawing>
          <wp:inline distT="0" distB="0" distL="114300" distR="114300">
            <wp:extent cx="476250" cy="320675"/>
            <wp:effectExtent l="0" t="0" r="1143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476250" cy="320675"/>
                    </a:xfrm>
                    <a:prstGeom prst="rect">
                      <a:avLst/>
                    </a:prstGeom>
                    <a:noFill/>
                    <a:ln>
                      <a:noFill/>
                    </a:ln>
                  </pic:spPr>
                </pic:pic>
              </a:graphicData>
            </a:graphic>
          </wp:inline>
        </w:drawing>
      </w:r>
      <w:r>
        <w:rPr>
          <w:highlight w:val="black"/>
          <w:lang w:val="zh-CN"/>
        </w:rPr>
        <w:fldChar w:fldCharType="begin"/>
      </w:r>
      <w:r>
        <w:rPr>
          <w:highlight w:val="black"/>
          <w:lang w:val="zh-CN"/>
        </w:rPr>
        <w:instrText xml:space="preserve"> QUOTE Q2πSMlnRr </w:instrText>
      </w:r>
      <w:r>
        <w:rPr>
          <w:highlight w:val="black"/>
          <w:lang w:val="zh-CN"/>
        </w:rPr>
        <w:fldChar w:fldCharType="end"/>
      </w:r>
      <w:r>
        <w:rPr>
          <w:highlight w:val="black"/>
          <w:lang w:val="zh-CN"/>
        </w:rPr>
        <w:t>和经验公式R=</w:t>
      </w:r>
      <w:r>
        <w:rPr>
          <w:highlight w:val="black"/>
          <w:lang w:val="zh-CN"/>
        </w:rPr>
        <w:fldChar w:fldCharType="begin"/>
      </w:r>
      <w:r>
        <w:rPr>
          <w:highlight w:val="black"/>
          <w:lang w:val="zh-CN"/>
        </w:rPr>
        <w:instrText xml:space="preserve"> QUOTE </w:instrText>
      </w:r>
      <w:r>
        <w:rPr>
          <w:highlight w:val="black"/>
        </w:rPr>
        <w:pict>
          <v:shape id="_x0000_i1027" o:spt="75" type="#_x0000_t75" style="height:34.35pt;width:41.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420&quot;/&gt;&lt;w:drawingGridHorizontalSpacing w:val=&quot;105&quot;/&gt;&lt;w:drawingGridVerticalSpacing w:val=&quot;156&quot;/&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NmZhZDg3NDg0MzU2YTY2MDU0NjRiMWFhZmU2YjE4MjQifQ==&quot;/&gt;&lt;/w:docVars&gt;&lt;wsp:rsids&gt;&lt;wsp:rsidRoot wsp:val=&quot;0090784C&quot;/&gt;&lt;wsp:rsid wsp:val=&quot;000002DD&quot;/&gt;&lt;wsp:rsid wsp:val=&quot;000003BE&quot;/&gt;&lt;wsp:rsid wsp:val=&quot;00000423&quot;/&gt;&lt;wsp:rsid wsp:val=&quot;0000088E&quot;/&gt;&lt;wsp:rsid wsp:val=&quot;000008D0&quot;/&gt;&lt;wsp:rsid wsp:val=&quot;00000AB7&quot;/&gt;&lt;wsp:rsid wsp:val=&quot;00001E6C&quot;/&gt;&lt;wsp:rsid wsp:val=&quot;00001EF5&quot;/&gt;&lt;wsp:rsid wsp:val=&quot;0000239F&quot;/&gt;&lt;wsp:rsid wsp:val=&quot;000026A6&quot;/&gt;&lt;wsp:rsid wsp:val=&quot;00002CDF&quot;/&gt;&lt;wsp:rsid wsp:val=&quot;0000370D&quot;/&gt;&lt;wsp:rsid wsp:val=&quot;000042A3&quot;/&gt;&lt;wsp:rsid wsp:val=&quot;000045DD&quot;/&gt;&lt;wsp:rsid wsp:val=&quot;000046E1&quot;/&gt;&lt;wsp:rsid wsp:val=&quot;00005DC1&quot;/&gt;&lt;wsp:rsid wsp:val=&quot;00006887&quot;/&gt;&lt;wsp:rsid wsp:val=&quot;00006A8E&quot;/&gt;&lt;wsp:rsid wsp:val=&quot;00006BE8&quot;/&gt;&lt;wsp:rsid wsp:val=&quot;00007523&quot;/&gt;&lt;wsp:rsid wsp:val=&quot;00007696&quot;/&gt;&lt;wsp:rsid wsp:val=&quot;00007EE9&quot;/&gt;&lt;wsp:rsid wsp:val=&quot;000103DE&quot;/&gt;&lt;wsp:rsid wsp:val=&quot;00010485&quot;/&gt;&lt;wsp:rsid wsp:val=&quot;00010BFC&quot;/&gt;&lt;wsp:rsid wsp:val=&quot;00011BCB&quot;/&gt;&lt;wsp:rsid wsp:val=&quot;00012748&quot;/&gt;&lt;wsp:rsid wsp:val=&quot;00012872&quot;/&gt;&lt;wsp:rsid wsp:val=&quot;000129D8&quot;/&gt;&lt;wsp:rsid wsp:val=&quot;00012EDF&quot;/&gt;&lt;wsp:rsid wsp:val=&quot;000133DA&quot;/&gt;&lt;wsp:rsid wsp:val=&quot;00013D0A&quot;/&gt;&lt;wsp:rsid wsp:val=&quot;00014477&quot;/&gt;&lt;wsp:rsid wsp:val=&quot;000149D9&quot;/&gt;&lt;wsp:rsid wsp:val=&quot;00014A05&quot;/&gt;&lt;wsp:rsid wsp:val=&quot;00015A8C&quot;/&gt;&lt;wsp:rsid wsp:val=&quot;0001652F&quot;/&gt;&lt;wsp:rsid wsp:val=&quot;000170DF&quot;/&gt;&lt;wsp:rsid wsp:val=&quot;00017183&quot;/&gt;&lt;wsp:rsid wsp:val=&quot;000203FC&quot;/&gt;&lt;wsp:rsid wsp:val=&quot;0002048C&quot;/&gt;&lt;wsp:rsid wsp:val=&quot;00021171&quot;/&gt;&lt;wsp:rsid wsp:val=&quot;000211E6&quot;/&gt;&lt;wsp:rsid wsp:val=&quot;0002211A&quot;/&gt;&lt;wsp:rsid wsp:val=&quot;000225E7&quot;/&gt;&lt;wsp:rsid wsp:val=&quot;0002277B&quot;/&gt;&lt;wsp:rsid wsp:val=&quot;00023239&quot;/&gt;&lt;wsp:rsid wsp:val=&quot;000241C1&quot;/&gt;&lt;wsp:rsid wsp:val=&quot;00024483&quot;/&gt;&lt;wsp:rsid wsp:val=&quot;00025ABC&quot;/&gt;&lt;wsp:rsid wsp:val=&quot;0002750E&quot;/&gt;&lt;wsp:rsid wsp:val=&quot;000305B3&quot;/&gt;&lt;wsp:rsid wsp:val=&quot;00031BDC&quot;/&gt;&lt;wsp:rsid wsp:val=&quot;00031F7C&quot;/&gt;&lt;wsp:rsid wsp:val=&quot;000320E0&quot;/&gt;&lt;wsp:rsid wsp:val=&quot;00033381&quot;/&gt;&lt;wsp:rsid wsp:val=&quot;00033FBC&quot;/&gt;&lt;wsp:rsid wsp:val=&quot;00035525&quot;/&gt;&lt;wsp:rsid wsp:val=&quot;0003568D&quot;/&gt;&lt;wsp:rsid wsp:val=&quot;00035B20&quot;/&gt;&lt;wsp:rsid wsp:val=&quot;00035F99&quot;/&gt;&lt;wsp:rsid wsp:val=&quot;00036CC1&quot;/&gt;&lt;wsp:rsid wsp:val=&quot;00037260&quot;/&gt;&lt;wsp:rsid wsp:val=&quot;000377F0&quot;/&gt;&lt;wsp:rsid wsp:val=&quot;00037CC3&quot;/&gt;&lt;wsp:rsid wsp:val=&quot;00037FFA&quot;/&gt;&lt;wsp:rsid wsp:val=&quot;00040146&quot;/&gt;&lt;wsp:rsid wsp:val=&quot;000403A8&quot;/&gt;&lt;wsp:rsid wsp:val=&quot;00041C4C&quot;/&gt;&lt;wsp:rsid wsp:val=&quot;00042106&quot;/&gt;&lt;wsp:rsid wsp:val=&quot;00043581&quot;/&gt;&lt;wsp:rsid wsp:val=&quot;00043DEC&quot;/&gt;&lt;wsp:rsid wsp:val=&quot;00043E23&quot;/&gt;&lt;wsp:rsid wsp:val=&quot;00044659&quot;/&gt;&lt;wsp:rsid wsp:val=&quot;00045090&quot;/&gt;&lt;wsp:rsid wsp:val=&quot;000450EB&quot;/&gt;&lt;wsp:rsid wsp:val=&quot;00045102&quot;/&gt;&lt;wsp:rsid wsp:val=&quot;000460D6&quot;/&gt;&lt;wsp:rsid wsp:val=&quot;00046677&quot;/&gt;&lt;wsp:rsid wsp:val=&quot;0004733D&quot;/&gt;&lt;wsp:rsid wsp:val=&quot;00047E49&quot;/&gt;&lt;wsp:rsid wsp:val=&quot;00050093&quot;/&gt;&lt;wsp:rsid wsp:val=&quot;000500C2&quot;/&gt;&lt;wsp:rsid wsp:val=&quot;00051FD6&quot;/&gt;&lt;wsp:rsid wsp:val=&quot;000525D7&quot;/&gt;&lt;wsp:rsid wsp:val=&quot;00052ED8&quot;/&gt;&lt;wsp:rsid wsp:val=&quot;00052FC3&quot;/&gt;&lt;wsp:rsid wsp:val=&quot;00052FF7&quot;/&gt;&lt;wsp:rsid wsp:val=&quot;00054220&quot;/&gt;&lt;wsp:rsid wsp:val=&quot;0005559B&quot;/&gt;&lt;wsp:rsid wsp:val=&quot;0005560C&quot;/&gt;&lt;wsp:rsid wsp:val=&quot;00055B02&quot;/&gt;&lt;wsp:rsid wsp:val=&quot;000562AA&quot;/&gt;&lt;wsp:rsid wsp:val=&quot;0005638B&quot;/&gt;&lt;wsp:rsid wsp:val=&quot;000573B8&quot;/&gt;&lt;wsp:rsid wsp:val=&quot;000600AC&quot;/&gt;&lt;wsp:rsid wsp:val=&quot;000606A4&quot;/&gt;&lt;wsp:rsid wsp:val=&quot;000615B7&quot;/&gt;&lt;wsp:rsid wsp:val=&quot;00062085&quot;/&gt;&lt;wsp:rsid wsp:val=&quot;0006237E&quot;/&gt;&lt;wsp:rsid wsp:val=&quot;00062FDE&quot;/&gt;&lt;wsp:rsid wsp:val=&quot;000636C9&quot;/&gt;&lt;wsp:rsid wsp:val=&quot;00063F7D&quot;/&gt;&lt;wsp:rsid wsp:val=&quot;00064644&quot;/&gt;&lt;wsp:rsid wsp:val=&quot;000652C1&quot;/&gt;&lt;wsp:rsid wsp:val=&quot;0006625B&quot;/&gt;&lt;wsp:rsid wsp:val=&quot;000663C2&quot;/&gt;&lt;wsp:rsid wsp:val=&quot;000663CF&quot;/&gt;&lt;wsp:rsid wsp:val=&quot;000665FB&quot;/&gt;&lt;wsp:rsid wsp:val=&quot;0006663F&quot;/&gt;&lt;wsp:rsid wsp:val=&quot;000677D0&quot;/&gt;&lt;wsp:rsid wsp:val=&quot;000719FB&quot;/&gt;&lt;wsp:rsid wsp:val=&quot;0007210D&quot;/&gt;&lt;wsp:rsid wsp:val=&quot;0007214D&quot;/&gt;&lt;wsp:rsid wsp:val=&quot;00072818&quot;/&gt;&lt;wsp:rsid wsp:val=&quot;000734BB&quot;/&gt;&lt;wsp:rsid wsp:val=&quot;00073A03&quot;/&gt;&lt;wsp:rsid wsp:val=&quot;0007545C&quot;/&gt;&lt;wsp:rsid wsp:val=&quot;000755E5&quot;/&gt;&lt;wsp:rsid wsp:val=&quot;00077723&quot;/&gt;&lt;wsp:rsid wsp:val=&quot;00077D97&quot;/&gt;&lt;wsp:rsid wsp:val=&quot;000806DE&quot;/&gt;&lt;wsp:rsid wsp:val=&quot;00084588&quot;/&gt;&lt;wsp:rsid wsp:val=&quot;0008467B&quot;/&gt;&lt;wsp:rsid wsp:val=&quot;00085DC8&quot;/&gt;&lt;wsp:rsid wsp:val=&quot;0008604E&quot;/&gt;&lt;wsp:rsid wsp:val=&quot;000862D3&quot;/&gt;&lt;wsp:rsid wsp:val=&quot;00086850&quot;/&gt;&lt;wsp:rsid wsp:val=&quot;00086EF2&quot;/&gt;&lt;wsp:rsid wsp:val=&quot;00087C2C&quot;/&gt;&lt;wsp:rsid wsp:val=&quot;00090F2B&quot;/&gt;&lt;wsp:rsid wsp:val=&quot;00091BEA&quot;/&gt;&lt;wsp:rsid wsp:val=&quot;000922C8&quot;/&gt;&lt;wsp:rsid wsp:val=&quot;00092580&quot;/&gt;&lt;wsp:rsid wsp:val=&quot;00092DAE&quot;/&gt;&lt;wsp:rsid wsp:val=&quot;00093722&quot;/&gt;&lt;wsp:rsid wsp:val=&quot;00093B95&quot;/&gt;&lt;wsp:rsid wsp:val=&quot;0009492D&quot;/&gt;&lt;wsp:rsid wsp:val=&quot;0009602E&quot;/&gt;&lt;wsp:rsid wsp:val=&quot;00096824&quot;/&gt;&lt;wsp:rsid wsp:val=&quot;00096915&quot;/&gt;&lt;wsp:rsid wsp:val=&quot;000971A7&quot;/&gt;&lt;wsp:rsid wsp:val=&quot;00097C9E&quot;/&gt;&lt;wsp:rsid wsp:val=&quot;000A0507&quot;/&gt;&lt;wsp:rsid wsp:val=&quot;000A0827&quot;/&gt;&lt;wsp:rsid wsp:val=&quot;000A1D0F&quot;/&gt;&lt;wsp:rsid wsp:val=&quot;000A39DB&quot;/&gt;&lt;wsp:rsid wsp:val=&quot;000A3E69&quot;/&gt;&lt;wsp:rsid wsp:val=&quot;000A4F24&quot;/&gt;&lt;wsp:rsid wsp:val=&quot;000A4F27&quot;/&gt;&lt;wsp:rsid wsp:val=&quot;000A5392&quot;/&gt;&lt;wsp:rsid wsp:val=&quot;000A5601&quot;/&gt;&lt;wsp:rsid wsp:val=&quot;000A617C&quot;/&gt;&lt;wsp:rsid wsp:val=&quot;000A718F&quot;/&gt;&lt;wsp:rsid wsp:val=&quot;000A7868&quot;/&gt;&lt;wsp:rsid wsp:val=&quot;000A7D3F&quot;/&gt;&lt;wsp:rsid wsp:val=&quot;000B09F3&quot;/&gt;&lt;wsp:rsid wsp:val=&quot;000B0F6D&quot;/&gt;&lt;wsp:rsid wsp:val=&quot;000B2381&quot;/&gt;&lt;wsp:rsid wsp:val=&quot;000B2E36&quot;/&gt;&lt;wsp:rsid wsp:val=&quot;000B32BD&quot;/&gt;&lt;wsp:rsid wsp:val=&quot;000B3781&quot;/&gt;&lt;wsp:rsid wsp:val=&quot;000B3AF0&quot;/&gt;&lt;wsp:rsid wsp:val=&quot;000B533D&quot;/&gt;&lt;wsp:rsid wsp:val=&quot;000B5427&quot;/&gt;&lt;wsp:rsid wsp:val=&quot;000B5601&quot;/&gt;&lt;wsp:rsid wsp:val=&quot;000B5EC1&quot;/&gt;&lt;wsp:rsid wsp:val=&quot;000B6169&quot;/&gt;&lt;wsp:rsid wsp:val=&quot;000B61A0&quot;/&gt;&lt;wsp:rsid wsp:val=&quot;000B63AD&quot;/&gt;&lt;wsp:rsid wsp:val=&quot;000B716A&quot;/&gt;&lt;wsp:rsid wsp:val=&quot;000C180C&quot;/&gt;&lt;wsp:rsid wsp:val=&quot;000C2DBC&quot;/&gt;&lt;wsp:rsid wsp:val=&quot;000C2E4D&quot;/&gt;&lt;wsp:rsid wsp:val=&quot;000C3B44&quot;/&gt;&lt;wsp:rsid wsp:val=&quot;000C3BF4&quot;/&gt;&lt;wsp:rsid wsp:val=&quot;000C4045&quot;/&gt;&lt;wsp:rsid wsp:val=&quot;000C451C&quot;/&gt;&lt;wsp:rsid wsp:val=&quot;000C4C64&quot;/&gt;&lt;wsp:rsid wsp:val=&quot;000C68B1&quot;/&gt;&lt;wsp:rsid wsp:val=&quot;000C75F3&quot;/&gt;&lt;wsp:rsid wsp:val=&quot;000C7B13&quot;/&gt;&lt;wsp:rsid wsp:val=&quot;000D1200&quot;/&gt;&lt;wsp:rsid wsp:val=&quot;000D13C0&quot;/&gt;&lt;wsp:rsid wsp:val=&quot;000D1969&quot;/&gt;&lt;wsp:rsid wsp:val=&quot;000D1AC8&quot;/&gt;&lt;wsp:rsid wsp:val=&quot;000D1B5E&quot;/&gt;&lt;wsp:rsid wsp:val=&quot;000D294E&quot;/&gt;&lt;wsp:rsid wsp:val=&quot;000D3DC9&quot;/&gt;&lt;wsp:rsid wsp:val=&quot;000D5181&quot;/&gt;&lt;wsp:rsid wsp:val=&quot;000D551B&quot;/&gt;&lt;wsp:rsid wsp:val=&quot;000D5609&quot;/&gt;&lt;wsp:rsid wsp:val=&quot;000D5BBF&quot;/&gt;&lt;wsp:rsid wsp:val=&quot;000D78FB&quot;/&gt;&lt;wsp:rsid wsp:val=&quot;000E0061&quot;/&gt;&lt;wsp:rsid wsp:val=&quot;000E034A&quot;/&gt;&lt;wsp:rsid wsp:val=&quot;000E08D6&quot;/&gt;&lt;wsp:rsid wsp:val=&quot;000E100B&quot;/&gt;&lt;wsp:rsid wsp:val=&quot;000E115C&quot;/&gt;&lt;wsp:rsid wsp:val=&quot;000E304D&quot;/&gt;&lt;wsp:rsid wsp:val=&quot;000E35E4&quot;/&gt;&lt;wsp:rsid wsp:val=&quot;000E3DA1&quot;/&gt;&lt;wsp:rsid wsp:val=&quot;000E4759&quot;/&gt;&lt;wsp:rsid wsp:val=&quot;000E5007&quot;/&gt;&lt;wsp:rsid wsp:val=&quot;000E546F&quot;/&gt;&lt;wsp:rsid wsp:val=&quot;000E5F4B&quot;/&gt;&lt;wsp:rsid wsp:val=&quot;000E67B7&quot;/&gt;&lt;wsp:rsid wsp:val=&quot;000E6D8F&quot;/&gt;&lt;wsp:rsid wsp:val=&quot;000F12E8&quot;/&gt;&lt;wsp:rsid wsp:val=&quot;000F12EA&quot;/&gt;&lt;wsp:rsid wsp:val=&quot;000F2222&quot;/&gt;&lt;wsp:rsid wsp:val=&quot;000F2532&quot;/&gt;&lt;wsp:rsid wsp:val=&quot;000F2D1A&quot;/&gt;&lt;wsp:rsid wsp:val=&quot;000F344F&quot;/&gt;&lt;wsp:rsid wsp:val=&quot;000F41E4&quot;/&gt;&lt;wsp:rsid wsp:val=&quot;000F4F88&quot;/&gt;&lt;wsp:rsid wsp:val=&quot;000F5466&quot;/&gt;&lt;wsp:rsid wsp:val=&quot;000F60F9&quot;/&gt;&lt;wsp:rsid wsp:val=&quot;000F64FA&quot;/&gt;&lt;wsp:rsid wsp:val=&quot;000F7005&quot;/&gt;&lt;wsp:rsid wsp:val=&quot;000F7B79&quot;/&gt;&lt;wsp:rsid wsp:val=&quot;000F7DF5&quot;/&gt;&lt;wsp:rsid wsp:val=&quot;0010143C&quot;/&gt;&lt;wsp:rsid wsp:val=&quot;0010152A&quot;/&gt;&lt;wsp:rsid wsp:val=&quot;00101989&quot;/&gt;&lt;wsp:rsid wsp:val=&quot;001025F8&quot;/&gt;&lt;wsp:rsid wsp:val=&quot;00102DF5&quot;/&gt;&lt;wsp:rsid wsp:val=&quot;0010314E&quot;/&gt;&lt;wsp:rsid wsp:val=&quot;0010394B&quot;/&gt;&lt;wsp:rsid wsp:val=&quot;00103BA1&quot;/&gt;&lt;wsp:rsid wsp:val=&quot;00103F80&quot;/&gt;&lt;wsp:rsid wsp:val=&quot;00104196&quot;/&gt;&lt;wsp:rsid wsp:val=&quot;001046F3&quot;/&gt;&lt;wsp:rsid wsp:val=&quot;0010691E&quot;/&gt;&lt;wsp:rsid wsp:val=&quot;00107E34&quot;/&gt;&lt;wsp:rsid wsp:val=&quot;001100B9&quot;/&gt;&lt;wsp:rsid wsp:val=&quot;001110F5&quot;/&gt;&lt;wsp:rsid wsp:val=&quot;00111295&quot;/&gt;&lt;wsp:rsid wsp:val=&quot;00112416&quot;/&gt;&lt;wsp:rsid wsp:val=&quot;001131B8&quot;/&gt;&lt;wsp:rsid wsp:val=&quot;00114519&quot;/&gt;&lt;wsp:rsid wsp:val=&quot;00114870&quot;/&gt;&lt;wsp:rsid wsp:val=&quot;0011590B&quot;/&gt;&lt;wsp:rsid wsp:val=&quot;00115A8E&quot;/&gt;&lt;wsp:rsid wsp:val=&quot;001168A8&quot;/&gt;&lt;wsp:rsid wsp:val=&quot;0011690A&quot;/&gt;&lt;wsp:rsid wsp:val=&quot;001172F1&quot;/&gt;&lt;wsp:rsid wsp:val=&quot;00117A20&quot;/&gt;&lt;wsp:rsid wsp:val=&quot;00120110&quot;/&gt;&lt;wsp:rsid wsp:val=&quot;00122229&quot;/&gt;&lt;wsp:rsid wsp:val=&quot;00122CCF&quot;/&gt;&lt;wsp:rsid wsp:val=&quot;00123841&quot;/&gt;&lt;wsp:rsid wsp:val=&quot;00124A46&quot;/&gt;&lt;wsp:rsid wsp:val=&quot;00124B5A&quot;/&gt;&lt;wsp:rsid wsp:val=&quot;001252B5&quot;/&gt;&lt;wsp:rsid wsp:val=&quot;0012555B&quot;/&gt;&lt;wsp:rsid wsp:val=&quot;00125774&quot;/&gt;&lt;wsp:rsid wsp:val=&quot;00125AD2&quot;/&gt;&lt;wsp:rsid wsp:val=&quot;00131032&quot;/&gt;&lt;wsp:rsid wsp:val=&quot;001352D5&quot;/&gt;&lt;wsp:rsid wsp:val=&quot;0013575D&quot;/&gt;&lt;wsp:rsid wsp:val=&quot;00135F21&quot;/&gt;&lt;wsp:rsid wsp:val=&quot;00136328&quot;/&gt;&lt;wsp:rsid wsp:val=&quot;00136723&quot;/&gt;&lt;wsp:rsid wsp:val=&quot;00137575&quot;/&gt;&lt;wsp:rsid wsp:val=&quot;00137C38&quot;/&gt;&lt;wsp:rsid wsp:val=&quot;00140494&quot;/&gt;&lt;wsp:rsid wsp:val=&quot;0014141B&quot;/&gt;&lt;wsp:rsid wsp:val=&quot;00141E22&quot;/&gt;&lt;wsp:rsid wsp:val=&quot;00141E90&quot;/&gt;&lt;wsp:rsid wsp:val=&quot;001423E8&quot;/&gt;&lt;wsp:rsid wsp:val=&quot;001429DF&quot;/&gt;&lt;wsp:rsid wsp:val=&quot;00142AE2&quot;/&gt;&lt;wsp:rsid wsp:val=&quot;00143BDD&quot;/&gt;&lt;wsp:rsid wsp:val=&quot;00144609&quot;/&gt;&lt;wsp:rsid wsp:val=&quot;00145E92&quot;/&gt;&lt;wsp:rsid wsp:val=&quot;001472F1&quot;/&gt;&lt;wsp:rsid wsp:val=&quot;001505F2&quot;/&gt;&lt;wsp:rsid wsp:val=&quot;001513BC&quot;/&gt;&lt;wsp:rsid wsp:val=&quot;0015194A&quot;/&gt;&lt;wsp:rsid wsp:val=&quot;001526A3&quot;/&gt;&lt;wsp:rsid wsp:val=&quot;00153417&quot;/&gt;&lt;wsp:rsid wsp:val=&quot;001534E8&quot;/&gt;&lt;wsp:rsid wsp:val=&quot;00153538&quot;/&gt;&lt;wsp:rsid wsp:val=&quot;00153A3C&quot;/&gt;&lt;wsp:rsid wsp:val=&quot;001541A2&quot;/&gt;&lt;wsp:rsid wsp:val=&quot;001554F9&quot;/&gt;&lt;wsp:rsid wsp:val=&quot;00155556&quot;/&gt;&lt;wsp:rsid wsp:val=&quot;00155806&quot;/&gt;&lt;wsp:rsid wsp:val=&quot;0015580E&quot;/&gt;&lt;wsp:rsid wsp:val=&quot;001571D9&quot;/&gt;&lt;wsp:rsid wsp:val=&quot;00157B67&quot;/&gt;&lt;wsp:rsid wsp:val=&quot;00157F61&quot;/&gt;&lt;wsp:rsid wsp:val=&quot;00160318&quot;/&gt;&lt;wsp:rsid wsp:val=&quot;0016139E&quot;/&gt;&lt;wsp:rsid wsp:val=&quot;00161B80&quot;/&gt;&lt;wsp:rsid wsp:val=&quot;00161BA8&quot;/&gt;&lt;wsp:rsid wsp:val=&quot;00162866&quot;/&gt;&lt;wsp:rsid wsp:val=&quot;001628A5&quot;/&gt;&lt;wsp:rsid wsp:val=&quot;00162A0D&quot;/&gt;&lt;wsp:rsid wsp:val=&quot;00162CB2&quot;/&gt;&lt;wsp:rsid wsp:val=&quot;001630CF&quot;/&gt;&lt;wsp:rsid wsp:val=&quot;00163FF1&quot;/&gt;&lt;wsp:rsid wsp:val=&quot;00164F35&quot;/&gt;&lt;wsp:rsid wsp:val=&quot;00165041&quot;/&gt;&lt;wsp:rsid wsp:val=&quot;0017083D&quot;/&gt;&lt;wsp:rsid wsp:val=&quot;001715B8&quot;/&gt;&lt;wsp:rsid wsp:val=&quot;0017269E&quot;/&gt;&lt;wsp:rsid wsp:val=&quot;00172817&quot;/&gt;&lt;wsp:rsid wsp:val=&quot;00172E1F&quot;/&gt;&lt;wsp:rsid wsp:val=&quot;00173178&quot;/&gt;&lt;wsp:rsid wsp:val=&quot;001732F7&quot;/&gt;&lt;wsp:rsid wsp:val=&quot;00173547&quot;/&gt;&lt;wsp:rsid wsp:val=&quot;00173C65&quot;/&gt;&lt;wsp:rsid wsp:val=&quot;00173E21&quot;/&gt;&lt;wsp:rsid wsp:val=&quot;00174162&quot;/&gt;&lt;wsp:rsid wsp:val=&quot;0017493B&quot;/&gt;&lt;wsp:rsid wsp:val=&quot;00175D7F&quot;/&gt;&lt;wsp:rsid wsp:val=&quot;001770B3&quot;/&gt;&lt;wsp:rsid wsp:val=&quot;00177799&quot;/&gt;&lt;wsp:rsid wsp:val=&quot;001777E8&quot;/&gt;&lt;wsp:rsid wsp:val=&quot;00177EC3&quot;/&gt;&lt;wsp:rsid wsp:val=&quot;001826C0&quot;/&gt;&lt;wsp:rsid wsp:val=&quot;00183667&quot;/&gt;&lt;wsp:rsid wsp:val=&quot;001862D2&quot;/&gt;&lt;wsp:rsid wsp:val=&quot;00186760&quot;/&gt;&lt;wsp:rsid wsp:val=&quot;001867E2&quot;/&gt;&lt;wsp:rsid wsp:val=&quot;001867FA&quot;/&gt;&lt;wsp:rsid wsp:val=&quot;00187FD9&quot;/&gt;&lt;wsp:rsid wsp:val=&quot;0019004D&quot;/&gt;&lt;wsp:rsid wsp:val=&quot;00190460&quot;/&gt;&lt;wsp:rsid wsp:val=&quot;00190523&quot;/&gt;&lt;wsp:rsid wsp:val=&quot;00190685&quot;/&gt;&lt;wsp:rsid wsp:val=&quot;0019103A&quot;/&gt;&lt;wsp:rsid wsp:val=&quot;00191382&quot;/&gt;&lt;wsp:rsid wsp:val=&quot;00191418&quot;/&gt;&lt;wsp:rsid wsp:val=&quot;001916FC&quot;/&gt;&lt;wsp:rsid wsp:val=&quot;001927E2&quot;/&gt;&lt;wsp:rsid wsp:val=&quot;00192B97&quot;/&gt;&lt;wsp:rsid wsp:val=&quot;00192C17&quot;/&gt;&lt;wsp:rsid wsp:val=&quot;00193675&quot;/&gt;&lt;wsp:rsid wsp:val=&quot;00194024&quot;/&gt;&lt;wsp:rsid wsp:val=&quot;0019512B&quot;/&gt;&lt;wsp:rsid wsp:val=&quot;001954C9&quot;/&gt;&lt;wsp:rsid wsp:val=&quot;00195CAD&quot;/&gt;&lt;wsp:rsid wsp:val=&quot;001964FD&quot;/&gt;&lt;wsp:rsid wsp:val=&quot;0019686C&quot;/&gt;&lt;wsp:rsid wsp:val=&quot;001A0C70&quot;/&gt;&lt;wsp:rsid wsp:val=&quot;001A0EFD&quot;/&gt;&lt;wsp:rsid wsp:val=&quot;001A1722&quot;/&gt;&lt;wsp:rsid wsp:val=&quot;001A1D45&quot;/&gt;&lt;wsp:rsid wsp:val=&quot;001A299B&quot;/&gt;&lt;wsp:rsid wsp:val=&quot;001A4777&quot;/&gt;&lt;wsp:rsid wsp:val=&quot;001A4911&quot;/&gt;&lt;wsp:rsid wsp:val=&quot;001A5404&quot;/&gt;&lt;wsp:rsid wsp:val=&quot;001A61C2&quot;/&gt;&lt;wsp:rsid wsp:val=&quot;001A6805&quot;/&gt;&lt;wsp:rsid wsp:val=&quot;001A72DA&quot;/&gt;&lt;wsp:rsid wsp:val=&quot;001A7351&quot;/&gt;&lt;wsp:rsid wsp:val=&quot;001B0AC4&quot;/&gt;&lt;wsp:rsid wsp:val=&quot;001B1AD8&quot;/&gt;&lt;wsp:rsid wsp:val=&quot;001B23F6&quot;/&gt;&lt;wsp:rsid wsp:val=&quot;001B24DF&quot;/&gt;&lt;wsp:rsid wsp:val=&quot;001B24ED&quot;/&gt;&lt;wsp:rsid wsp:val=&quot;001B26C4&quot;/&gt;&lt;wsp:rsid wsp:val=&quot;001B2B90&quot;/&gt;&lt;wsp:rsid wsp:val=&quot;001B3AC1&quot;/&gt;&lt;wsp:rsid wsp:val=&quot;001B4FF6&quot;/&gt;&lt;wsp:rsid wsp:val=&quot;001B502A&quot;/&gt;&lt;wsp:rsid wsp:val=&quot;001B5121&quot;/&gt;&lt;wsp:rsid wsp:val=&quot;001B60FC&quot;/&gt;&lt;wsp:rsid wsp:val=&quot;001B647D&quot;/&gt;&lt;wsp:rsid wsp:val=&quot;001B6627&quot;/&gt;&lt;wsp:rsid wsp:val=&quot;001B7557&quot;/&gt;&lt;wsp:rsid wsp:val=&quot;001C09BC&quot;/&gt;&lt;wsp:rsid wsp:val=&quot;001C1C89&quot;/&gt;&lt;wsp:rsid wsp:val=&quot;001C2F35&quot;/&gt;&lt;wsp:rsid wsp:val=&quot;001C370B&quot;/&gt;&lt;wsp:rsid wsp:val=&quot;001C38A7&quot;/&gt;&lt;wsp:rsid wsp:val=&quot;001C38C4&quot;/&gt;&lt;wsp:rsid wsp:val=&quot;001C402C&quot;/&gt;&lt;wsp:rsid wsp:val=&quot;001C4619&quot;/&gt;&lt;wsp:rsid wsp:val=&quot;001C48CC&quot;/&gt;&lt;wsp:rsid wsp:val=&quot;001C533C&quot;/&gt;&lt;wsp:rsid wsp:val=&quot;001C5F7F&quot;/&gt;&lt;wsp:rsid wsp:val=&quot;001C6C30&quot;/&gt;&lt;wsp:rsid wsp:val=&quot;001C6E2C&quot;/&gt;&lt;wsp:rsid wsp:val=&quot;001C7CAB&quot;/&gt;&lt;wsp:rsid wsp:val=&quot;001C7D45&quot;/&gt;&lt;wsp:rsid wsp:val=&quot;001D158C&quot;/&gt;&lt;wsp:rsid wsp:val=&quot;001D203A&quot;/&gt;&lt;wsp:rsid wsp:val=&quot;001D2686&quot;/&gt;&lt;wsp:rsid wsp:val=&quot;001D2F17&quot;/&gt;&lt;wsp:rsid wsp:val=&quot;001D2FAE&quot;/&gt;&lt;wsp:rsid wsp:val=&quot;001D3581&quot;/&gt;&lt;wsp:rsid wsp:val=&quot;001D39C7&quot;/&gt;&lt;wsp:rsid wsp:val=&quot;001D45E6&quot;/&gt;&lt;wsp:rsid wsp:val=&quot;001D4C13&quot;/&gt;&lt;wsp:rsid wsp:val=&quot;001D54DA&quot;/&gt;&lt;wsp:rsid wsp:val=&quot;001D595A&quot;/&gt;&lt;wsp:rsid wsp:val=&quot;001D5A3B&quot;/&gt;&lt;wsp:rsid wsp:val=&quot;001D5CAB&quot;/&gt;&lt;wsp:rsid wsp:val=&quot;001D5EAB&quot;/&gt;&lt;wsp:rsid wsp:val=&quot;001D6FED&quot;/&gt;&lt;wsp:rsid wsp:val=&quot;001E1CFA&quot;/&gt;&lt;wsp:rsid wsp:val=&quot;001E2B24&quot;/&gt;&lt;wsp:rsid wsp:val=&quot;001E2EA4&quot;/&gt;&lt;wsp:rsid wsp:val=&quot;001E3117&quot;/&gt;&lt;wsp:rsid wsp:val=&quot;001E35F9&quot;/&gt;&lt;wsp:rsid wsp:val=&quot;001E3B1C&quot;/&gt;&lt;wsp:rsid wsp:val=&quot;001E3FA7&quot;/&gt;&lt;wsp:rsid wsp:val=&quot;001E4057&quot;/&gt;&lt;wsp:rsid wsp:val=&quot;001E4C54&quot;/&gt;&lt;wsp:rsid wsp:val=&quot;001E5549&quot;/&gt;&lt;wsp:rsid wsp:val=&quot;001E59A9&quot;/&gt;&lt;wsp:rsid wsp:val=&quot;001F02C4&quot;/&gt;&lt;wsp:rsid wsp:val=&quot;001F0B6A&quot;/&gt;&lt;wsp:rsid wsp:val=&quot;001F1D7E&quot;/&gt;&lt;wsp:rsid wsp:val=&quot;001F20BC&quot;/&gt;&lt;wsp:rsid wsp:val=&quot;001F24AB&quot;/&gt;&lt;wsp:rsid wsp:val=&quot;001F6705&quot;/&gt;&lt;wsp:rsid wsp:val=&quot;001F72DA&quot;/&gt;&lt;wsp:rsid wsp:val=&quot;001F7365&quot;/&gt;&lt;wsp:rsid wsp:val=&quot;001F73A5&quot;/&gt;&lt;wsp:rsid wsp:val=&quot;001F7732&quot;/&gt;&lt;wsp:rsid wsp:val=&quot;001F7D00&quot;/&gt;&lt;wsp:rsid wsp:val=&quot;002000FD&quot;/&gt;&lt;wsp:rsid wsp:val=&quot;00200DE6&quot;/&gt;&lt;wsp:rsid wsp:val=&quot;00201DC3&quot;/&gt;&lt;wsp:rsid wsp:val=&quot;0020289F&quot;/&gt;&lt;wsp:rsid wsp:val=&quot;002028E9&quot;/&gt;&lt;wsp:rsid wsp:val=&quot;0020393F&quot;/&gt;&lt;wsp:rsid wsp:val=&quot;00203A7D&quot;/&gt;&lt;wsp:rsid wsp:val=&quot;00204703&quot;/&gt;&lt;wsp:rsid wsp:val=&quot;002049D8&quot;/&gt;&lt;wsp:rsid wsp:val=&quot;00204CBA&quot;/&gt;&lt;wsp:rsid wsp:val=&quot;00205001&quot;/&gt;&lt;wsp:rsid wsp:val=&quot;0020549B&quot;/&gt;&lt;wsp:rsid wsp:val=&quot;00206E65&quot;/&gt;&lt;wsp:rsid wsp:val=&quot;002102E5&quot;/&gt;&lt;wsp:rsid wsp:val=&quot;00210D66&quot;/&gt;&lt;wsp:rsid wsp:val=&quot;00210E83&quot;/&gt;&lt;wsp:rsid wsp:val=&quot;00210EFE&quot;/&gt;&lt;wsp:rsid wsp:val=&quot;00211492&quot;/&gt;&lt;wsp:rsid wsp:val=&quot;002115B9&quot;/&gt;&lt;wsp:rsid wsp:val=&quot;00214471&quot;/&gt;&lt;wsp:rsid wsp:val=&quot;00214C72&quot;/&gt;&lt;wsp:rsid wsp:val=&quot;0021503C&quot;/&gt;&lt;wsp:rsid wsp:val=&quot;00215288&quot;/&gt;&lt;wsp:rsid wsp:val=&quot;00215AFB&quot;/&gt;&lt;wsp:rsid wsp:val=&quot;00215FB1&quot;/&gt;&lt;wsp:rsid wsp:val=&quot;002166F8&quot;/&gt;&lt;wsp:rsid wsp:val=&quot;00216A03&quot;/&gt;&lt;wsp:rsid wsp:val=&quot;00216F08&quot;/&gt;&lt;wsp:rsid wsp:val=&quot;00216F89&quot;/&gt;&lt;wsp:rsid wsp:val=&quot;00216FC4&quot;/&gt;&lt;wsp:rsid wsp:val=&quot;002174DA&quot;/&gt;&lt;wsp:rsid wsp:val=&quot;0021757D&quot;/&gt;&lt;wsp:rsid wsp:val=&quot;002178E1&quot;/&gt;&lt;wsp:rsid wsp:val=&quot;002200EE&quot;/&gt;&lt;wsp:rsid wsp:val=&quot;00220361&quot;/&gt;&lt;wsp:rsid wsp:val=&quot;0022054B&quot;/&gt;&lt;wsp:rsid wsp:val=&quot;00220D08&quot;/&gt;&lt;wsp:rsid wsp:val=&quot;00221047&quot;/&gt;&lt;wsp:rsid wsp:val=&quot;002210D9&quot;/&gt;&lt;wsp:rsid wsp:val=&quot;00221295&quot;/&gt;&lt;wsp:rsid wsp:val=&quot;002213B3&quot;/&gt;&lt;wsp:rsid wsp:val=&quot;00221708&quot;/&gt;&lt;wsp:rsid wsp:val=&quot;00221E3F&quot;/&gt;&lt;wsp:rsid wsp:val=&quot;002235D8&quot;/&gt;&lt;wsp:rsid wsp:val=&quot;00223676&quot;/&gt;&lt;wsp:rsid wsp:val=&quot;002261D0&quot;/&gt;&lt;wsp:rsid wsp:val=&quot;0022639A&quot;/&gt;&lt;wsp:rsid wsp:val=&quot;00226DD0&quot;/&gt;&lt;wsp:rsid wsp:val=&quot;00227C01&quot;/&gt;&lt;wsp:rsid wsp:val=&quot;00227D93&quot;/&gt;&lt;wsp:rsid wsp:val=&quot;00227DFB&quot;/&gt;&lt;wsp:rsid wsp:val=&quot;0023045B&quot;/&gt;&lt;wsp:rsid wsp:val=&quot;00231054&quot;/&gt;&lt;wsp:rsid wsp:val=&quot;002319AA&quot;/&gt;&lt;wsp:rsid wsp:val=&quot;00231B2F&quot;/&gt;&lt;wsp:rsid wsp:val=&quot;00231C44&quot;/&gt;&lt;wsp:rsid wsp:val=&quot;00232471&quot;/&gt;&lt;wsp:rsid wsp:val=&quot;00232AA5&quot;/&gt;&lt;wsp:rsid wsp:val=&quot;00232CB0&quot;/&gt;&lt;wsp:rsid wsp:val=&quot;002338FE&quot;/&gt;&lt;wsp:rsid wsp:val=&quot;00233A6B&quot;/&gt;&lt;wsp:rsid wsp:val=&quot;00233AA6&quot;/&gt;&lt;wsp:rsid wsp:val=&quot;00233BD4&quot;/&gt;&lt;wsp:rsid wsp:val=&quot;00235687&quot;/&gt;&lt;wsp:rsid wsp:val=&quot;00236514&quot;/&gt;&lt;wsp:rsid wsp:val=&quot;0023739D&quot;/&gt;&lt;wsp:rsid wsp:val=&quot;00240A7C&quot;/&gt;&lt;wsp:rsid wsp:val=&quot;00240DD4&quot;/&gt;&lt;wsp:rsid wsp:val=&quot;0024122D&quot;/&gt;&lt;wsp:rsid wsp:val=&quot;0024245A&quot;/&gt;&lt;wsp:rsid wsp:val=&quot;00243291&quot;/&gt;&lt;wsp:rsid wsp:val=&quot;00243A01&quot;/&gt;&lt;wsp:rsid wsp:val=&quot;00244FAD&quot;/&gt;&lt;wsp:rsid wsp:val=&quot;002451B5&quot;/&gt;&lt;wsp:rsid wsp:val=&quot;0024526B&quot;/&gt;&lt;wsp:rsid wsp:val=&quot;00245750&quot;/&gt;&lt;wsp:rsid wsp:val=&quot;0024643C&quot;/&gt;&lt;wsp:rsid wsp:val=&quot;002471BA&quot;/&gt;&lt;wsp:rsid wsp:val=&quot;00250234&quot;/&gt;&lt;wsp:rsid wsp:val=&quot;00251198&quot;/&gt;&lt;wsp:rsid wsp:val=&quot;00251987&quot;/&gt;&lt;wsp:rsid wsp:val=&quot;00251C5F&quot;/&gt;&lt;wsp:rsid wsp:val=&quot;00251EB2&quot;/&gt;&lt;wsp:rsid wsp:val=&quot;00252B01&quot;/&gt;&lt;wsp:rsid wsp:val=&quot;00252D5A&quot;/&gt;&lt;wsp:rsid wsp:val=&quot;002535BD&quot;/&gt;&lt;wsp:rsid wsp:val=&quot;00253B0F&quot;/&gt;&lt;wsp:rsid wsp:val=&quot;00254F21&quot;/&gt;&lt;wsp:rsid wsp:val=&quot;002553E0&quot;/&gt;&lt;wsp:rsid wsp:val=&quot;00255F6E&quot;/&gt;&lt;wsp:rsid wsp:val=&quot;0025611F&quot;/&gt;&lt;wsp:rsid wsp:val=&quot;00256A63&quot;/&gt;&lt;wsp:rsid wsp:val=&quot;00256F1F&quot;/&gt;&lt;wsp:rsid wsp:val=&quot;00257E1A&quot;/&gt;&lt;wsp:rsid wsp:val=&quot;0026079B&quot;/&gt;&lt;wsp:rsid wsp:val=&quot;00260E99&quot;/&gt;&lt;wsp:rsid wsp:val=&quot;00261D0B&quot;/&gt;&lt;wsp:rsid wsp:val=&quot;00261FAB&quot;/&gt;&lt;wsp:rsid wsp:val=&quot;0026210C&quot;/&gt;&lt;wsp:rsid wsp:val=&quot;002624DA&quot;/&gt;&lt;wsp:rsid wsp:val=&quot;002653AE&quot;/&gt;&lt;wsp:rsid wsp:val=&quot;00265728&quot;/&gt;&lt;wsp:rsid wsp:val=&quot;00265C8B&quot;/&gt;&lt;wsp:rsid wsp:val=&quot;00266309&quot;/&gt;&lt;wsp:rsid wsp:val=&quot;0026665A&quot;/&gt;&lt;wsp:rsid wsp:val=&quot;002672A4&quot;/&gt;&lt;wsp:rsid wsp:val=&quot;0026783F&quot;/&gt;&lt;wsp:rsid wsp:val=&quot;00267A5F&quot;/&gt;&lt;wsp:rsid wsp:val=&quot;00267B21&quot;/&gt;&lt;wsp:rsid wsp:val=&quot;00270661&quot;/&gt;&lt;wsp:rsid wsp:val=&quot;00270DEC&quot;/&gt;&lt;wsp:rsid wsp:val=&quot;00271311&quot;/&gt;&lt;wsp:rsid wsp:val=&quot;00271929&quot;/&gt;&lt;wsp:rsid wsp:val=&quot;00271F9B&quot;/&gt;&lt;wsp:rsid wsp:val=&quot;00273CA1&quot;/&gt;&lt;wsp:rsid wsp:val=&quot;00274096&quot;/&gt;&lt;wsp:rsid wsp:val=&quot;002740E8&quot;/&gt;&lt;wsp:rsid wsp:val=&quot;002743B5&quot;/&gt;&lt;wsp:rsid wsp:val=&quot;002748D1&quot;/&gt;&lt;wsp:rsid wsp:val=&quot;00275CF6&quot;/&gt;&lt;wsp:rsid wsp:val=&quot;00276276&quot;/&gt;&lt;wsp:rsid wsp:val=&quot;002763B2&quot;/&gt;&lt;wsp:rsid wsp:val=&quot;00277F4C&quot;/&gt;&lt;wsp:rsid wsp:val=&quot;00280A14&quot;/&gt;&lt;wsp:rsid wsp:val=&quot;00280B48&quot;/&gt;&lt;wsp:rsid wsp:val=&quot;0028137B&quot;/&gt;&lt;wsp:rsid wsp:val=&quot;0028187B&quot;/&gt;&lt;wsp:rsid wsp:val=&quot;00281C7A&quot;/&gt;&lt;wsp:rsid wsp:val=&quot;002825C5&quot;/&gt;&lt;wsp:rsid wsp:val=&quot;002831B1&quot;/&gt;&lt;wsp:rsid wsp:val=&quot;00284DF1&quot;/&gt;&lt;wsp:rsid wsp:val=&quot;0028533D&quot;/&gt;&lt;wsp:rsid wsp:val=&quot;00285B37&quot;/&gt;&lt;wsp:rsid wsp:val=&quot;00285E47&quot;/&gt;&lt;wsp:rsid wsp:val=&quot;002860E6&quot;/&gt;&lt;wsp:rsid wsp:val=&quot;002863A0&quot;/&gt;&lt;wsp:rsid wsp:val=&quot;00286827&quot;/&gt;&lt;wsp:rsid wsp:val=&quot;0028796B&quot;/&gt;&lt;wsp:rsid wsp:val=&quot;00287F54&quot;/&gt;&lt;wsp:rsid wsp:val=&quot;002909B3&quot;/&gt;&lt;wsp:rsid wsp:val=&quot;00293E98&quot;/&gt;&lt;wsp:rsid wsp:val=&quot;002941FF&quot;/&gt;&lt;wsp:rsid wsp:val=&quot;00294AD0&quot;/&gt;&lt;wsp:rsid wsp:val=&quot;00294BAF&quot;/&gt;&lt;wsp:rsid wsp:val=&quot;0029564D&quot;/&gt;&lt;wsp:rsid wsp:val=&quot;00296134&quot;/&gt;&lt;wsp:rsid wsp:val=&quot;0029618A&quot;/&gt;&lt;wsp:rsid wsp:val=&quot;0029749C&quot;/&gt;&lt;wsp:rsid wsp:val=&quot;00297532&quot;/&gt;&lt;wsp:rsid wsp:val=&quot;00297538&quot;/&gt;&lt;wsp:rsid wsp:val=&quot;00297B52&quot;/&gt;&lt;wsp:rsid wsp:val=&quot;00297C06&quot;/&gt;&lt;wsp:rsid wsp:val=&quot;00297F5E&quot;/&gt;&lt;wsp:rsid wsp:val=&quot;002A0749&quot;/&gt;&lt;wsp:rsid wsp:val=&quot;002A07E9&quot;/&gt;&lt;wsp:rsid wsp:val=&quot;002A132C&quot;/&gt;&lt;wsp:rsid wsp:val=&quot;002A19F6&quot;/&gt;&lt;wsp:rsid wsp:val=&quot;002A38BB&quot;/&gt;&lt;wsp:rsid wsp:val=&quot;002A4F77&quot;/&gt;&lt;wsp:rsid wsp:val=&quot;002A5101&quot;/&gt;&lt;wsp:rsid wsp:val=&quot;002A7B13&quot;/&gt;&lt;wsp:rsid wsp:val=&quot;002B069C&quot;/&gt;&lt;wsp:rsid wsp:val=&quot;002B1929&quot;/&gt;&lt;wsp:rsid wsp:val=&quot;002B1E8B&quot;/&gt;&lt;wsp:rsid wsp:val=&quot;002B3989&quot;/&gt;&lt;wsp:rsid wsp:val=&quot;002B5100&quot;/&gt;&lt;wsp:rsid wsp:val=&quot;002B5B56&quot;/&gt;&lt;wsp:rsid wsp:val=&quot;002B60F8&quot;/&gt;&lt;wsp:rsid wsp:val=&quot;002B63F1&quot;/&gt;&lt;wsp:rsid wsp:val=&quot;002B6B2A&quot;/&gt;&lt;wsp:rsid wsp:val=&quot;002B71A4&quot;/&gt;&lt;wsp:rsid wsp:val=&quot;002B7ADE&quot;/&gt;&lt;wsp:rsid wsp:val=&quot;002B7E65&quot;/&gt;&lt;wsp:rsid wsp:val=&quot;002C00A0&quot;/&gt;&lt;wsp:rsid wsp:val=&quot;002C0710&quot;/&gt;&lt;wsp:rsid wsp:val=&quot;002C0C64&quot;/&gt;&lt;wsp:rsid wsp:val=&quot;002C0DB0&quot;/&gt;&lt;wsp:rsid wsp:val=&quot;002C147C&quot;/&gt;&lt;wsp:rsid wsp:val=&quot;002C14E6&quot;/&gt;&lt;wsp:rsid wsp:val=&quot;002C215C&quot;/&gt;&lt;wsp:rsid wsp:val=&quot;002C2C22&quot;/&gt;&lt;wsp:rsid wsp:val=&quot;002C3080&quot;/&gt;&lt;wsp:rsid wsp:val=&quot;002C3A94&quot;/&gt;&lt;wsp:rsid wsp:val=&quot;002C5390&quot;/&gt;&lt;wsp:rsid wsp:val=&quot;002C5A2B&quot;/&gt;&lt;wsp:rsid wsp:val=&quot;002C626B&quot;/&gt;&lt;wsp:rsid wsp:val=&quot;002C6D0F&quot;/&gt;&lt;wsp:rsid wsp:val=&quot;002C70CC&quot;/&gt;&lt;wsp:rsid wsp:val=&quot;002C74B3&quot;/&gt;&lt;wsp:rsid wsp:val=&quot;002C75BD&quot;/&gt;&lt;wsp:rsid wsp:val=&quot;002C7AB5&quot;/&gt;&lt;wsp:rsid wsp:val=&quot;002C7B4E&quot;/&gt;&lt;wsp:rsid wsp:val=&quot;002C7BBE&quot;/&gt;&lt;wsp:rsid wsp:val=&quot;002D044E&quot;/&gt;&lt;wsp:rsid wsp:val=&quot;002D04F4&quot;/&gt;&lt;wsp:rsid wsp:val=&quot;002D06C2&quot;/&gt;&lt;wsp:rsid wsp:val=&quot;002D06E1&quot;/&gt;&lt;wsp:rsid wsp:val=&quot;002D0B88&quot;/&gt;&lt;wsp:rsid wsp:val=&quot;002D14F0&quot;/&gt;&lt;wsp:rsid wsp:val=&quot;002D2118&quot;/&gt;&lt;wsp:rsid wsp:val=&quot;002D2146&quot;/&gt;&lt;wsp:rsid wsp:val=&quot;002D2541&quot;/&gt;&lt;wsp:rsid wsp:val=&quot;002D2A40&quot;/&gt;&lt;wsp:rsid wsp:val=&quot;002D2DA0&quot;/&gt;&lt;wsp:rsid wsp:val=&quot;002D3128&quot;/&gt;&lt;wsp:rsid wsp:val=&quot;002D33E9&quot;/&gt;&lt;wsp:rsid wsp:val=&quot;002D3D20&quot;/&gt;&lt;wsp:rsid wsp:val=&quot;002D3E1A&quot;/&gt;&lt;wsp:rsid wsp:val=&quot;002D4534&quot;/&gt;&lt;wsp:rsid wsp:val=&quot;002D476C&quot;/&gt;&lt;wsp:rsid wsp:val=&quot;002D4EFE&quot;/&gt;&lt;wsp:rsid wsp:val=&quot;002D52CC&quot;/&gt;&lt;wsp:rsid wsp:val=&quot;002D5E82&quot;/&gt;&lt;wsp:rsid wsp:val=&quot;002D783A&quot;/&gt;&lt;wsp:rsid wsp:val=&quot;002D7D8A&quot;/&gt;&lt;wsp:rsid wsp:val=&quot;002E0B29&quot;/&gt;&lt;wsp:rsid wsp:val=&quot;002E11D4&quot;/&gt;&lt;wsp:rsid wsp:val=&quot;002E13F5&quot;/&gt;&lt;wsp:rsid wsp:val=&quot;002E149A&quot;/&gt;&lt;wsp:rsid wsp:val=&quot;002E23F1&quot;/&gt;&lt;wsp:rsid wsp:val=&quot;002E3CBC&quot;/&gt;&lt;wsp:rsid wsp:val=&quot;002E408E&quot;/&gt;&lt;wsp:rsid wsp:val=&quot;002E410B&quot;/&gt;&lt;wsp:rsid wsp:val=&quot;002E485C&quot;/&gt;&lt;wsp:rsid wsp:val=&quot;002E53D5&quot;/&gt;&lt;wsp:rsid wsp:val=&quot;002E68E3&quot;/&gt;&lt;wsp:rsid wsp:val=&quot;002E69FD&quot;/&gt;&lt;wsp:rsid wsp:val=&quot;002E77D6&quot;/&gt;&lt;wsp:rsid wsp:val=&quot;002F098C&quot;/&gt;&lt;wsp:rsid wsp:val=&quot;002F12A8&quot;/&gt;&lt;wsp:rsid wsp:val=&quot;002F2F8B&quot;/&gt;&lt;wsp:rsid wsp:val=&quot;002F371E&quot;/&gt;&lt;wsp:rsid wsp:val=&quot;002F3FD4&quot;/&gt;&lt;wsp:rsid wsp:val=&quot;002F4CA1&quot;/&gt;&lt;wsp:rsid wsp:val=&quot;002F6797&quot;/&gt;&lt;wsp:rsid wsp:val=&quot;002F6844&quot;/&gt;&lt;wsp:rsid wsp:val=&quot;002F6C6A&quot;/&gt;&lt;wsp:rsid wsp:val=&quot;002F7690&quot;/&gt;&lt;wsp:rsid wsp:val=&quot;002F7838&quot;/&gt;&lt;wsp:rsid wsp:val=&quot;00300672&quot;/&gt;&lt;wsp:rsid wsp:val=&quot;003013BF&quot;/&gt;&lt;wsp:rsid wsp:val=&quot;003019FC&quot;/&gt;&lt;wsp:rsid wsp:val=&quot;00302700&quot;/&gt;&lt;wsp:rsid wsp:val=&quot;00302EB0&quot;/&gt;&lt;wsp:rsid wsp:val=&quot;00302F4C&quot;/&gt;&lt;wsp:rsid wsp:val=&quot;00303A86&quot;/&gt;&lt;wsp:rsid wsp:val=&quot;00303F8E&quot;/&gt;&lt;wsp:rsid wsp:val=&quot;003042C3&quot;/&gt;&lt;wsp:rsid wsp:val=&quot;003060F8&quot;/&gt;&lt;wsp:rsid wsp:val=&quot;00306140&quot;/&gt;&lt;wsp:rsid wsp:val=&quot;003065E2&quot;/&gt;&lt;wsp:rsid wsp:val=&quot;00306A94&quot;/&gt;&lt;wsp:rsid wsp:val=&quot;00306DC2&quot;/&gt;&lt;wsp:rsid wsp:val=&quot;00307983&quot;/&gt;&lt;wsp:rsid wsp:val=&quot;00307A96&quot;/&gt;&lt;wsp:rsid wsp:val=&quot;00310B72&quot;/&gt;&lt;wsp:rsid wsp:val=&quot;00310DC2&quot;/&gt;&lt;wsp:rsid wsp:val=&quot;00311531&quot;/&gt;&lt;wsp:rsid wsp:val=&quot;0031264C&quot;/&gt;&lt;wsp:rsid wsp:val=&quot;00312939&quot;/&gt;&lt;wsp:rsid wsp:val=&quot;00312F19&quot;/&gt;&lt;wsp:rsid wsp:val=&quot;00313660&quot;/&gt;&lt;wsp:rsid wsp:val=&quot;00313C6C&quot;/&gt;&lt;wsp:rsid wsp:val=&quot;003141FD&quot;/&gt;&lt;wsp:rsid wsp:val=&quot;003147CF&quot;/&gt;&lt;wsp:rsid wsp:val=&quot;00314F08&quot;/&gt;&lt;wsp:rsid wsp:val=&quot;00316080&quot;/&gt;&lt;wsp:rsid wsp:val=&quot;00316B5F&quot;/&gt;&lt;wsp:rsid wsp:val=&quot;00317891&quot;/&gt;&lt;wsp:rsid wsp:val=&quot;0032004C&quot;/&gt;&lt;wsp:rsid wsp:val=&quot;003200A6&quot;/&gt;&lt;wsp:rsid wsp:val=&quot;00320CC6&quot;/&gt;&lt;wsp:rsid wsp:val=&quot;00321004&quot;/&gt;&lt;wsp:rsid wsp:val=&quot;00322467&quot;/&gt;&lt;wsp:rsid wsp:val=&quot;00322A53&quot;/&gt;&lt;wsp:rsid wsp:val=&quot;0032329F&quot;/&gt;&lt;wsp:rsid wsp:val=&quot;0032386C&quot;/&gt;&lt;wsp:rsid wsp:val=&quot;00323A99&quot;/&gt;&lt;wsp:rsid wsp:val=&quot;00324137&quot;/&gt;&lt;wsp:rsid wsp:val=&quot;00324593&quot;/&gt;&lt;wsp:rsid wsp:val=&quot;003246E3&quot;/&gt;&lt;wsp:rsid wsp:val=&quot;003256BD&quot;/&gt;&lt;wsp:rsid wsp:val=&quot;0032662D&quot;/&gt;&lt;wsp:rsid wsp:val=&quot;00326ED5&quot;/&gt;&lt;wsp:rsid wsp:val=&quot;00326FC0&quot;/&gt;&lt;wsp:rsid wsp:val=&quot;003277FE&quot;/&gt;&lt;wsp:rsid wsp:val=&quot;00327FB1&quot;/&gt;&lt;wsp:rsid wsp:val=&quot;00330C4D&quot;/&gt;&lt;wsp:rsid wsp:val=&quot;0033140C&quot;/&gt;&lt;wsp:rsid wsp:val=&quot;00331C09&quot;/&gt;&lt;wsp:rsid wsp:val=&quot;00331E8F&quot;/&gt;&lt;wsp:rsid wsp:val=&quot;003320DC&quot;/&gt;&lt;wsp:rsid wsp:val=&quot;003331BA&quot;/&gt;&lt;wsp:rsid wsp:val=&quot;00334331&quot;/&gt;&lt;wsp:rsid wsp:val=&quot;003346B3&quot;/&gt;&lt;wsp:rsid wsp:val=&quot;0033499D&quot;/&gt;&lt;wsp:rsid wsp:val=&quot;00334F79&quot;/&gt;&lt;wsp:rsid wsp:val=&quot;00335C44&quot;/&gt;&lt;wsp:rsid wsp:val=&quot;00336295&quot;/&gt;&lt;wsp:rsid wsp:val=&quot;00336BC6&quot;/&gt;&lt;wsp:rsid wsp:val=&quot;00336D9F&quot;/&gt;&lt;wsp:rsid wsp:val=&quot;00337376&quot;/&gt;&lt;wsp:rsid wsp:val=&quot;003374E3&quot;/&gt;&lt;wsp:rsid wsp:val=&quot;0034038F&quot;/&gt;&lt;wsp:rsid wsp:val=&quot;00340BE6&quot;/&gt;&lt;wsp:rsid wsp:val=&quot;00341A1A&quot;/&gt;&lt;wsp:rsid wsp:val=&quot;0034204A&quot;/&gt;&lt;wsp:rsid wsp:val=&quot;00342EAF&quot;/&gt;&lt;wsp:rsid wsp:val=&quot;00343A95&quot;/&gt;&lt;wsp:rsid wsp:val=&quot;003441F1&quot;/&gt;&lt;wsp:rsid wsp:val=&quot;00344286&quot;/&gt;&lt;wsp:rsid wsp:val=&quot;003446F6&quot;/&gt;&lt;wsp:rsid wsp:val=&quot;003461F4&quot;/&gt;&lt;wsp:rsid wsp:val=&quot;003467CC&quot;/&gt;&lt;wsp:rsid wsp:val=&quot;00346BFC&quot;/&gt;&lt;wsp:rsid wsp:val=&quot;00346DFC&quot;/&gt;&lt;wsp:rsid wsp:val=&quot;003513D6&quot;/&gt;&lt;wsp:rsid wsp:val=&quot;003523D5&quot;/&gt;&lt;wsp:rsid wsp:val=&quot;00352B18&quot;/&gt;&lt;wsp:rsid wsp:val=&quot;00352BFA&quot;/&gt;&lt;wsp:rsid wsp:val=&quot;003532F1&quot;/&gt;&lt;wsp:rsid wsp:val=&quot;0035351D&quot;/&gt;&lt;wsp:rsid wsp:val=&quot;003537F6&quot;/&gt;&lt;wsp:rsid wsp:val=&quot;00354041&quot;/&gt;&lt;wsp:rsid wsp:val=&quot;003540ED&quot;/&gt;&lt;wsp:rsid wsp:val=&quot;00354758&quot;/&gt;&lt;wsp:rsid wsp:val=&quot;0035524F&quot;/&gt;&lt;wsp:rsid wsp:val=&quot;003552AB&quot;/&gt;&lt;wsp:rsid wsp:val=&quot;0035564D&quot;/&gt;&lt;wsp:rsid wsp:val=&quot;00355F19&quot;/&gt;&lt;wsp:rsid wsp:val=&quot;00356930&quot;/&gt;&lt;wsp:rsid wsp:val=&quot;00356964&quot;/&gt;&lt;wsp:rsid wsp:val=&quot;00357932&quot;/&gt;&lt;wsp:rsid wsp:val=&quot;00360B37&quot;/&gt;&lt;wsp:rsid wsp:val=&quot;00360D6C&quot;/&gt;&lt;wsp:rsid wsp:val=&quot;00361CCB&quot;/&gt;&lt;wsp:rsid wsp:val=&quot;0036258D&quot;/&gt;&lt;wsp:rsid wsp:val=&quot;0036293F&quot;/&gt;&lt;wsp:rsid wsp:val=&quot;00364031&quot;/&gt;&lt;wsp:rsid wsp:val=&quot;0036404E&quot;/&gt;&lt;wsp:rsid wsp:val=&quot;003642DA&quot;/&gt;&lt;wsp:rsid wsp:val=&quot;0036465E&quot;/&gt;&lt;wsp:rsid wsp:val=&quot;0036490F&quot;/&gt;&lt;wsp:rsid wsp:val=&quot;003649E5&quot;/&gt;&lt;wsp:rsid wsp:val=&quot;003653CA&quot;/&gt;&lt;wsp:rsid wsp:val=&quot;00365BA8&quot;/&gt;&lt;wsp:rsid wsp:val=&quot;00366A2D&quot;/&gt;&lt;wsp:rsid wsp:val=&quot;00366A66&quot;/&gt;&lt;wsp:rsid wsp:val=&quot;00366D47&quot;/&gt;&lt;wsp:rsid wsp:val=&quot;00370365&quot;/&gt;&lt;wsp:rsid wsp:val=&quot;00370529&quot;/&gt;&lt;wsp:rsid wsp:val=&quot;003706B9&quot;/&gt;&lt;wsp:rsid wsp:val=&quot;003714D1&quot;/&gt;&lt;wsp:rsid wsp:val=&quot;00373620&quot;/&gt;&lt;wsp:rsid wsp:val=&quot;00373743&quot;/&gt;&lt;wsp:rsid wsp:val=&quot;00374826&quot;/&gt;&lt;wsp:rsid wsp:val=&quot;00375A71&quot;/&gt;&lt;wsp:rsid wsp:val=&quot;00376983&quot;/&gt;&lt;wsp:rsid wsp:val=&quot;00376D55&quot;/&gt;&lt;wsp:rsid wsp:val=&quot;00376E70&quot;/&gt;&lt;wsp:rsid wsp:val=&quot;0038075E&quot;/&gt;&lt;wsp:rsid wsp:val=&quot;0038085E&quot;/&gt;&lt;wsp:rsid wsp:val=&quot;00380F07&quot;/&gt;&lt;wsp:rsid wsp:val=&quot;0038116B&quot;/&gt;&lt;wsp:rsid wsp:val=&quot;00381393&quot;/&gt;&lt;wsp:rsid wsp:val=&quot;0038318A&quot;/&gt;&lt;wsp:rsid wsp:val=&quot;0038395D&quot;/&gt;&lt;wsp:rsid wsp:val=&quot;00384782&quot;/&gt;&lt;wsp:rsid wsp:val=&quot;003858E8&quot;/&gt;&lt;wsp:rsid wsp:val=&quot;00385A75&quot;/&gt;&lt;wsp:rsid wsp:val=&quot;00385CC0&quot;/&gt;&lt;wsp:rsid wsp:val=&quot;00387162&quot;/&gt;&lt;wsp:rsid wsp:val=&quot;0038784F&quot;/&gt;&lt;wsp:rsid wsp:val=&quot;0038788E&quot;/&gt;&lt;wsp:rsid wsp:val=&quot;00387B1D&quot;/&gt;&lt;wsp:rsid wsp:val=&quot;00387E19&quot;/&gt;&lt;wsp:rsid wsp:val=&quot;0039001F&quot;/&gt;&lt;wsp:rsid wsp:val=&quot;00390E75&quot;/&gt;&lt;wsp:rsid wsp:val=&quot;003920BB&quot;/&gt;&lt;wsp:rsid wsp:val=&quot;00393911&quot;/&gt;&lt;wsp:rsid wsp:val=&quot;00394A0E&quot;/&gt;&lt;wsp:rsid wsp:val=&quot;00394DDC&quot;/&gt;&lt;wsp:rsid wsp:val=&quot;00395383&quot;/&gt;&lt;wsp:rsid wsp:val=&quot;0039597C&quot;/&gt;&lt;wsp:rsid wsp:val=&quot;00397067&quot;/&gt;&lt;wsp:rsid wsp:val=&quot;003A0517&quot;/&gt;&lt;wsp:rsid wsp:val=&quot;003A06CC&quot;/&gt;&lt;wsp:rsid wsp:val=&quot;003A14ED&quot;/&gt;&lt;wsp:rsid wsp:val=&quot;003A208D&quot;/&gt;&lt;wsp:rsid wsp:val=&quot;003A21DE&quot;/&gt;&lt;wsp:rsid wsp:val=&quot;003A34AD&quot;/&gt;&lt;wsp:rsid wsp:val=&quot;003A3C69&quot;/&gt;&lt;wsp:rsid wsp:val=&quot;003A433C&quot;/&gt;&lt;wsp:rsid wsp:val=&quot;003A519F&quot;/&gt;&lt;wsp:rsid wsp:val=&quot;003A5F24&quot;/&gt;&lt;wsp:rsid wsp:val=&quot;003A612C&quot;/&gt;&lt;wsp:rsid wsp:val=&quot;003A6391&quot;/&gt;&lt;wsp:rsid wsp:val=&quot;003A77AD&quot;/&gt;&lt;wsp:rsid wsp:val=&quot;003A7B1C&quot;/&gt;&lt;wsp:rsid wsp:val=&quot;003B1D74&quot;/&gt;&lt;wsp:rsid wsp:val=&quot;003B5BD2&quot;/&gt;&lt;wsp:rsid wsp:val=&quot;003B5DAE&quot;/&gt;&lt;wsp:rsid wsp:val=&quot;003B5FBB&quot;/&gt;&lt;wsp:rsid wsp:val=&quot;003B6317&quot;/&gt;&lt;wsp:rsid wsp:val=&quot;003B68CC&quot;/&gt;&lt;wsp:rsid wsp:val=&quot;003B72BD&quot;/&gt;&lt;wsp:rsid wsp:val=&quot;003B72D6&quot;/&gt;&lt;wsp:rsid wsp:val=&quot;003B796C&quot;/&gt;&lt;wsp:rsid wsp:val=&quot;003B7C44&quot;/&gt;&lt;wsp:rsid wsp:val=&quot;003B7C6B&quot;/&gt;&lt;wsp:rsid wsp:val=&quot;003B7F9E&quot;/&gt;&lt;wsp:rsid wsp:val=&quot;003C18E6&quot;/&gt;&lt;wsp:rsid wsp:val=&quot;003C1BF1&quot;/&gt;&lt;wsp:rsid wsp:val=&quot;003C2339&quot;/&gt;&lt;wsp:rsid wsp:val=&quot;003C24DF&quot;/&gt;&lt;wsp:rsid wsp:val=&quot;003C28A7&quot;/&gt;&lt;wsp:rsid wsp:val=&quot;003C3C9C&quot;/&gt;&lt;wsp:rsid wsp:val=&quot;003C409D&quot;/&gt;&lt;wsp:rsid wsp:val=&quot;003C4376&quot;/&gt;&lt;wsp:rsid wsp:val=&quot;003C5856&quot;/&gt;&lt;wsp:rsid wsp:val=&quot;003C5D81&quot;/&gt;&lt;wsp:rsid wsp:val=&quot;003C620B&quot;/&gt;&lt;wsp:rsid wsp:val=&quot;003C63CC&quot;/&gt;&lt;wsp:rsid wsp:val=&quot;003C6B4F&quot;/&gt;&lt;wsp:rsid wsp:val=&quot;003C6BC3&quot;/&gt;&lt;wsp:rsid wsp:val=&quot;003C7470&quot;/&gt;&lt;wsp:rsid wsp:val=&quot;003C7FD6&quot;/&gt;&lt;wsp:rsid wsp:val=&quot;003D0099&quot;/&gt;&lt;wsp:rsid wsp:val=&quot;003D033D&quot;/&gt;&lt;wsp:rsid wsp:val=&quot;003D12C6&quot;/&gt;&lt;wsp:rsid wsp:val=&quot;003D26DC&quot;/&gt;&lt;wsp:rsid wsp:val=&quot;003D288A&quot;/&gt;&lt;wsp:rsid wsp:val=&quot;003D3C8C&quot;/&gt;&lt;wsp:rsid wsp:val=&quot;003D426C&quot;/&gt;&lt;wsp:rsid wsp:val=&quot;003D481D&quot;/&gt;&lt;wsp:rsid wsp:val=&quot;003D505B&quot;/&gt;&lt;wsp:rsid wsp:val=&quot;003D53FE&quot;/&gt;&lt;wsp:rsid wsp:val=&quot;003D581E&quot;/&gt;&lt;wsp:rsid wsp:val=&quot;003E098B&quot;/&gt;&lt;wsp:rsid wsp:val=&quot;003E1CA5&quot;/&gt;&lt;wsp:rsid wsp:val=&quot;003E2639&quot;/&gt;&lt;wsp:rsid wsp:val=&quot;003E28AE&quot;/&gt;&lt;wsp:rsid wsp:val=&quot;003E2A5E&quot;/&gt;&lt;wsp:rsid wsp:val=&quot;003E3091&quot;/&gt;&lt;wsp:rsid wsp:val=&quot;003E4580&quot;/&gt;&lt;wsp:rsid wsp:val=&quot;003E4FA8&quot;/&gt;&lt;wsp:rsid wsp:val=&quot;003E5107&quot;/&gt;&lt;wsp:rsid wsp:val=&quot;003E600B&quot;/&gt;&lt;wsp:rsid wsp:val=&quot;003E614C&quot;/&gt;&lt;wsp:rsid wsp:val=&quot;003E6604&quot;/&gt;&lt;wsp:rsid wsp:val=&quot;003E67DE&quot;/&gt;&lt;wsp:rsid wsp:val=&quot;003E6843&quot;/&gt;&lt;wsp:rsid wsp:val=&quot;003E6B7E&quot;/&gt;&lt;wsp:rsid wsp:val=&quot;003E701B&quot;/&gt;&lt;wsp:rsid wsp:val=&quot;003E7AF8&quot;/&gt;&lt;wsp:rsid wsp:val=&quot;003F0283&quot;/&gt;&lt;wsp:rsid wsp:val=&quot;003F0362&quot;/&gt;&lt;wsp:rsid wsp:val=&quot;003F11F9&quot;/&gt;&lt;wsp:rsid wsp:val=&quot;003F3D1F&quot;/&gt;&lt;wsp:rsid wsp:val=&quot;003F3FA2&quot;/&gt;&lt;wsp:rsid wsp:val=&quot;003F4077&quot;/&gt;&lt;wsp:rsid wsp:val=&quot;003F4906&quot;/&gt;&lt;wsp:rsid wsp:val=&quot;003F503D&quot;/&gt;&lt;wsp:rsid wsp:val=&quot;003F5339&quot;/&gt;&lt;wsp:rsid wsp:val=&quot;003F5B6A&quot;/&gt;&lt;wsp:rsid wsp:val=&quot;003F62B2&quot;/&gt;&lt;wsp:rsid wsp:val=&quot;003F630A&quot;/&gt;&lt;wsp:rsid wsp:val=&quot;003F6F53&quot;/&gt;&lt;wsp:rsid wsp:val=&quot;00400048&quot;/&gt;&lt;wsp:rsid wsp:val=&quot;00400346&quot;/&gt;&lt;wsp:rsid wsp:val=&quot;00400CFA&quot;/&gt;&lt;wsp:rsid wsp:val=&quot;00400F19&quot;/&gt;&lt;wsp:rsid wsp:val=&quot;0040172E&quot;/&gt;&lt;wsp:rsid wsp:val=&quot;00401F11&quot;/&gt;&lt;wsp:rsid wsp:val=&quot;004022FC&quot;/&gt;&lt;wsp:rsid wsp:val=&quot;0040236E&quot;/&gt;&lt;wsp:rsid wsp:val=&quot;00403E18&quot;/&gt;&lt;wsp:rsid wsp:val=&quot;00404A14&quot;/&gt;&lt;wsp:rsid wsp:val=&quot;004057F5&quot;/&gt;&lt;wsp:rsid wsp:val=&quot;004063A5&quot;/&gt;&lt;wsp:rsid wsp:val=&quot;004066A9&quot;/&gt;&lt;wsp:rsid wsp:val=&quot;00406BDA&quot;/&gt;&lt;wsp:rsid wsp:val=&quot;00406F60&quot;/&gt;&lt;wsp:rsid wsp:val=&quot;004107D5&quot;/&gt;&lt;wsp:rsid wsp:val=&quot;00410BBD&quot;/&gt;&lt;wsp:rsid wsp:val=&quot;0041167A&quot;/&gt;&lt;wsp:rsid wsp:val=&quot;00411714&quot;/&gt;&lt;wsp:rsid wsp:val=&quot;00411C50&quot;/&gt;&lt;wsp:rsid wsp:val=&quot;004123F9&quot;/&gt;&lt;wsp:rsid wsp:val=&quot;00413009&quot;/&gt;&lt;wsp:rsid wsp:val=&quot;00413403&quot;/&gt;&lt;wsp:rsid wsp:val=&quot;00414BB5&quot;/&gt;&lt;wsp:rsid wsp:val=&quot;00414E38&quot;/&gt;&lt;wsp:rsid wsp:val=&quot;00415986&quot;/&gt;&lt;wsp:rsid wsp:val=&quot;00416387&quot;/&gt;&lt;wsp:rsid wsp:val=&quot;004163C1&quot;/&gt;&lt;wsp:rsid wsp:val=&quot;0041666B&quot;/&gt;&lt;wsp:rsid wsp:val=&quot;004169D7&quot;/&gt;&lt;wsp:rsid wsp:val=&quot;00416B76&quot;/&gt;&lt;wsp:rsid wsp:val=&quot;00417267&quot;/&gt;&lt;wsp:rsid wsp:val=&quot;0041790C&quot;/&gt;&lt;wsp:rsid wsp:val=&quot;00420171&quot;/&gt;&lt;wsp:rsid wsp:val=&quot;0042045A&quot;/&gt;&lt;wsp:rsid wsp:val=&quot;0042078F&quot;/&gt;&lt;wsp:rsid wsp:val=&quot;004207AC&quot;/&gt;&lt;wsp:rsid wsp:val=&quot;00420A61&quot;/&gt;&lt;wsp:rsid wsp:val=&quot;00420AFE&quot;/&gt;&lt;wsp:rsid wsp:val=&quot;0042107A&quot;/&gt;&lt;wsp:rsid wsp:val=&quot;00421471&quot;/&gt;&lt;wsp:rsid wsp:val=&quot;00422280&quot;/&gt;&lt;wsp:rsid wsp:val=&quot;00422680&quot;/&gt;&lt;wsp:rsid wsp:val=&quot;00423C92&quot;/&gt;&lt;wsp:rsid wsp:val=&quot;00423F7E&quot;/&gt;&lt;wsp:rsid wsp:val=&quot;00424B45&quot;/&gt;&lt;wsp:rsid wsp:val=&quot;0042545F&quot;/&gt;&lt;wsp:rsid wsp:val=&quot;00426360&quot;/&gt;&lt;wsp:rsid wsp:val=&quot;00426A51&quot;/&gt;&lt;wsp:rsid wsp:val=&quot;00427A06&quot;/&gt;&lt;wsp:rsid wsp:val=&quot;00430010&quot;/&gt;&lt;wsp:rsid wsp:val=&quot;00430574&quot;/&gt;&lt;wsp:rsid wsp:val=&quot;00430DD9&quot;/&gt;&lt;wsp:rsid wsp:val=&quot;004316E4&quot;/&gt;&lt;wsp:rsid wsp:val=&quot;004337BF&quot;/&gt;&lt;wsp:rsid wsp:val=&quot;00434652&quot;/&gt;&lt;wsp:rsid wsp:val=&quot;00434EAA&quot;/&gt;&lt;wsp:rsid wsp:val=&quot;00436479&quot;/&gt;&lt;wsp:rsid wsp:val=&quot;0043752F&quot;/&gt;&lt;wsp:rsid wsp:val=&quot;00437B96&quot;/&gt;&lt;wsp:rsid wsp:val=&quot;00437DA6&quot;/&gt;&lt;wsp:rsid wsp:val=&quot;00437DF4&quot;/&gt;&lt;wsp:rsid wsp:val=&quot;00440C41&quot;/&gt;&lt;wsp:rsid wsp:val=&quot;00441B85&quot;/&gt;&lt;wsp:rsid wsp:val=&quot;00441FA2&quot;/&gt;&lt;wsp:rsid wsp:val=&quot;00442D24&quot;/&gt;&lt;wsp:rsid wsp:val=&quot;00442E38&quot;/&gt;&lt;wsp:rsid wsp:val=&quot;00443246&quot;/&gt;&lt;wsp:rsid wsp:val=&quot;00445934&quot;/&gt;&lt;wsp:rsid wsp:val=&quot;0044699E&quot;/&gt;&lt;wsp:rsid wsp:val=&quot;00447F07&quot;/&gt;&lt;wsp:rsid wsp:val=&quot;004501B6&quot;/&gt;&lt;wsp:rsid wsp:val=&quot;0045035D&quot;/&gt;&lt;wsp:rsid wsp:val=&quot;004505BE&quot;/&gt;&lt;wsp:rsid wsp:val=&quot;00450C3C&quot;/&gt;&lt;wsp:rsid wsp:val=&quot;00451034&quot;/&gt;&lt;wsp:rsid wsp:val=&quot;0045161B&quot;/&gt;&lt;wsp:rsid wsp:val=&quot;00451854&quot;/&gt;&lt;wsp:rsid wsp:val=&quot;00451A2F&quot;/&gt;&lt;wsp:rsid wsp:val=&quot;004523E6&quot;/&gt;&lt;wsp:rsid wsp:val=&quot;00453166&quot;/&gt;&lt;wsp:rsid wsp:val=&quot;0045321E&quot;/&gt;&lt;wsp:rsid wsp:val=&quot;0045386D&quot;/&gt;&lt;wsp:rsid wsp:val=&quot;00453E8E&quot;/&gt;&lt;wsp:rsid wsp:val=&quot;004546B1&quot;/&gt;&lt;wsp:rsid wsp:val=&quot;0045484B&quot;/&gt;&lt;wsp:rsid wsp:val=&quot;004601E0&quot;/&gt;&lt;wsp:rsid wsp:val=&quot;00460BE8&quot;/&gt;&lt;wsp:rsid wsp:val=&quot;00460C74&quot;/&gt;&lt;wsp:rsid wsp:val=&quot;004618AC&quot;/&gt;&lt;wsp:rsid wsp:val=&quot;004618E8&quot;/&gt;&lt;wsp:rsid wsp:val=&quot;00461C0C&quot;/&gt;&lt;wsp:rsid wsp:val=&quot;00461D15&quot;/&gt;&lt;wsp:rsid wsp:val=&quot;00461D89&quot;/&gt;&lt;wsp:rsid wsp:val=&quot;00461F1F&quot;/&gt;&lt;wsp:rsid wsp:val=&quot;004623F7&quot;/&gt;&lt;wsp:rsid wsp:val=&quot;0046253C&quot;/&gt;&lt;wsp:rsid wsp:val=&quot;00462788&quot;/&gt;&lt;wsp:rsid wsp:val=&quot;004630C4&quot;/&gt;&lt;wsp:rsid wsp:val=&quot;0046313C&quot;/&gt;&lt;wsp:rsid wsp:val=&quot;00465405&quot;/&gt;&lt;wsp:rsid wsp:val=&quot;00465782&quot;/&gt;&lt;wsp:rsid wsp:val=&quot;00465843&quot;/&gt;&lt;wsp:rsid wsp:val=&quot;00466204&quot;/&gt;&lt;wsp:rsid wsp:val=&quot;00466725&quot;/&gt;&lt;wsp:rsid wsp:val=&quot;004670F6&quot;/&gt;&lt;wsp:rsid wsp:val=&quot;004705DB&quot;/&gt;&lt;wsp:rsid wsp:val=&quot;004708EC&quot;/&gt;&lt;wsp:rsid wsp:val=&quot;00471F6C&quot;/&gt;&lt;wsp:rsid wsp:val=&quot;00471F81&quot;/&gt;&lt;wsp:rsid wsp:val=&quot;004728B7&quot;/&gt;&lt;wsp:rsid wsp:val=&quot;00474AA5&quot;/&gt;&lt;wsp:rsid wsp:val=&quot;00474D20&quot;/&gt;&lt;wsp:rsid wsp:val=&quot;0047630D&quot;/&gt;&lt;wsp:rsid wsp:val=&quot;00476378&quot;/&gt;&lt;wsp:rsid wsp:val=&quot;00476AA2&quot;/&gt;&lt;wsp:rsid wsp:val=&quot;00477196&quot;/&gt;&lt;wsp:rsid wsp:val=&quot;00477B4B&quot;/&gt;&lt;wsp:rsid wsp:val=&quot;004806DE&quot;/&gt;&lt;wsp:rsid wsp:val=&quot;00480BFE&quot;/&gt;&lt;wsp:rsid wsp:val=&quot;00481E26&quot;/&gt;&lt;wsp:rsid wsp:val=&quot;0048460A&quot;/&gt;&lt;wsp:rsid wsp:val=&quot;0048465C&quot;/&gt;&lt;wsp:rsid wsp:val=&quot;00484B9C&quot;/&gt;&lt;wsp:rsid wsp:val=&quot;0048525C&quot;/&gt;&lt;wsp:rsid wsp:val=&quot;00485419&quot;/&gt;&lt;wsp:rsid wsp:val=&quot;00485573&quot;/&gt;&lt;wsp:rsid wsp:val=&quot;00485786&quot;/&gt;&lt;wsp:rsid wsp:val=&quot;00485F18&quot;/&gt;&lt;wsp:rsid wsp:val=&quot;00486204&quot;/&gt;&lt;wsp:rsid wsp:val=&quot;00486ACA&quot;/&gt;&lt;wsp:rsid wsp:val=&quot;00487401&quot;/&gt;&lt;wsp:rsid wsp:val=&quot;004878D8&quot;/&gt;&lt;wsp:rsid wsp:val=&quot;00487F68&quot;/&gt;&lt;wsp:rsid wsp:val=&quot;0049100F&quot;/&gt;&lt;wsp:rsid wsp:val=&quot;004921A3&quot;/&gt;&lt;wsp:rsid wsp:val=&quot;004921D1&quot;/&gt;&lt;wsp:rsid wsp:val=&quot;00493101&quot;/&gt;&lt;wsp:rsid wsp:val=&quot;00493802&quot;/&gt;&lt;wsp:rsid wsp:val=&quot;00493AEA&quot;/&gt;&lt;wsp:rsid wsp:val=&quot;00493FE9&quot;/&gt;&lt;wsp:rsid wsp:val=&quot;004955C0&quot;/&gt;&lt;wsp:rsid wsp:val=&quot;00495856&quot;/&gt;&lt;wsp:rsid wsp:val=&quot;004958D2&quot;/&gt;&lt;wsp:rsid wsp:val=&quot;00495CAA&quot;/&gt;&lt;wsp:rsid wsp:val=&quot;0049662D&quot;/&gt;&lt;wsp:rsid wsp:val=&quot;00496C83&quot;/&gt;&lt;wsp:rsid wsp:val=&quot;00497489&quot;/&gt;&lt;wsp:rsid wsp:val=&quot;0049793A&quot;/&gt;&lt;wsp:rsid wsp:val=&quot;00497A5A&quot;/&gt;&lt;wsp:rsid wsp:val=&quot;00497C4A&quot;/&gt;&lt;wsp:rsid wsp:val=&quot;004A0AD9&quot;/&gt;&lt;wsp:rsid wsp:val=&quot;004A1B14&quot;/&gt;&lt;wsp:rsid wsp:val=&quot;004A2716&quot;/&gt;&lt;wsp:rsid wsp:val=&quot;004A2DEF&quot;/&gt;&lt;wsp:rsid wsp:val=&quot;004A3CEF&quot;/&gt;&lt;wsp:rsid wsp:val=&quot;004A3CF7&quot;/&gt;&lt;wsp:rsid wsp:val=&quot;004A52BB&quot;/&gt;&lt;wsp:rsid wsp:val=&quot;004A5677&quot;/&gt;&lt;wsp:rsid wsp:val=&quot;004A5FC8&quot;/&gt;&lt;wsp:rsid wsp:val=&quot;004A63DE&quot;/&gt;&lt;wsp:rsid wsp:val=&quot;004A721C&quot;/&gt;&lt;wsp:rsid wsp:val=&quot;004A72EC&quot;/&gt;&lt;wsp:rsid wsp:val=&quot;004A7442&quot;/&gt;&lt;wsp:rsid wsp:val=&quot;004A7540&quot;/&gt;&lt;wsp:rsid wsp:val=&quot;004B05E8&quot;/&gt;&lt;wsp:rsid wsp:val=&quot;004B0E8D&quot;/&gt;&lt;wsp:rsid wsp:val=&quot;004B335C&quot;/&gt;&lt;wsp:rsid wsp:val=&quot;004B35F8&quot;/&gt;&lt;wsp:rsid wsp:val=&quot;004B465C&quot;/&gt;&lt;wsp:rsid wsp:val=&quot;004B4FAC&quot;/&gt;&lt;wsp:rsid wsp:val=&quot;004B5222&quot;/&gt;&lt;wsp:rsid wsp:val=&quot;004B57D4&quot;/&gt;&lt;wsp:rsid wsp:val=&quot;004B5807&quot;/&gt;&lt;wsp:rsid wsp:val=&quot;004B5F3B&quot;/&gt;&lt;wsp:rsid wsp:val=&quot;004B64CF&quot;/&gt;&lt;wsp:rsid wsp:val=&quot;004B7F0D&quot;/&gt;&lt;wsp:rsid wsp:val=&quot;004C0CA5&quot;/&gt;&lt;wsp:rsid wsp:val=&quot;004C0FFE&quot;/&gt;&lt;wsp:rsid wsp:val=&quot;004C1538&quot;/&gt;&lt;wsp:rsid wsp:val=&quot;004C1A1B&quot;/&gt;&lt;wsp:rsid wsp:val=&quot;004C1B5D&quot;/&gt;&lt;wsp:rsid wsp:val=&quot;004C2073&quot;/&gt;&lt;wsp:rsid wsp:val=&quot;004C2084&quot;/&gt;&lt;wsp:rsid wsp:val=&quot;004C28CB&quot;/&gt;&lt;wsp:rsid wsp:val=&quot;004C310E&quot;/&gt;&lt;wsp:rsid wsp:val=&quot;004C38BD&quot;/&gt;&lt;wsp:rsid wsp:val=&quot;004C3D41&quot;/&gt;&lt;wsp:rsid wsp:val=&quot;004C4A54&quot;/&gt;&lt;wsp:rsid wsp:val=&quot;004C53D2&quot;/&gt;&lt;wsp:rsid wsp:val=&quot;004C5DCC&quot;/&gt;&lt;wsp:rsid wsp:val=&quot;004C6C46&quot;/&gt;&lt;wsp:rsid wsp:val=&quot;004C7507&quot;/&gt;&lt;wsp:rsid wsp:val=&quot;004C7A03&quot;/&gt;&lt;wsp:rsid wsp:val=&quot;004C7AC8&quot;/&gt;&lt;wsp:rsid wsp:val=&quot;004D0F10&quot;/&gt;&lt;wsp:rsid wsp:val=&quot;004D2DDB&quot;/&gt;&lt;wsp:rsid wsp:val=&quot;004D3191&quot;/&gt;&lt;wsp:rsid wsp:val=&quot;004D32C7&quot;/&gt;&lt;wsp:rsid wsp:val=&quot;004D34D2&quot;/&gt;&lt;wsp:rsid wsp:val=&quot;004D3D0F&quot;/&gt;&lt;wsp:rsid wsp:val=&quot;004D5336&quot;/&gt;&lt;wsp:rsid wsp:val=&quot;004D5532&quot;/&gt;&lt;wsp:rsid wsp:val=&quot;004D57E5&quot;/&gt;&lt;wsp:rsid wsp:val=&quot;004D59C4&quot;/&gt;&lt;wsp:rsid wsp:val=&quot;004D670C&quot;/&gt;&lt;wsp:rsid wsp:val=&quot;004D6DFB&quot;/&gt;&lt;wsp:rsid wsp:val=&quot;004D7195&quot;/&gt;&lt;wsp:rsid wsp:val=&quot;004D724F&quot;/&gt;&lt;wsp:rsid wsp:val=&quot;004D72F8&quot;/&gt;&lt;wsp:rsid wsp:val=&quot;004D742E&quot;/&gt;&lt;wsp:rsid wsp:val=&quot;004D7F2E&quot;/&gt;&lt;wsp:rsid wsp:val=&quot;004E22B5&quot;/&gt;&lt;wsp:rsid wsp:val=&quot;004E2618&quot;/&gt;&lt;wsp:rsid wsp:val=&quot;004E29A7&quot;/&gt;&lt;wsp:rsid wsp:val=&quot;004E2A18&quot;/&gt;&lt;wsp:rsid wsp:val=&quot;004E2CB4&quot;/&gt;&lt;wsp:rsid wsp:val=&quot;004E300D&quot;/&gt;&lt;wsp:rsid wsp:val=&quot;004E3400&quot;/&gt;&lt;wsp:rsid wsp:val=&quot;004E3772&quot;/&gt;&lt;wsp:rsid wsp:val=&quot;004E39A0&quot;/&gt;&lt;wsp:rsid wsp:val=&quot;004E3CFC&quot;/&gt;&lt;wsp:rsid wsp:val=&quot;004E410C&quot;/&gt;&lt;wsp:rsid wsp:val=&quot;004E4F40&quot;/&gt;&lt;wsp:rsid wsp:val=&quot;004E6A6C&quot;/&gt;&lt;wsp:rsid wsp:val=&quot;004E6CFA&quot;/&gt;&lt;wsp:rsid wsp:val=&quot;004F0035&quot;/&gt;&lt;wsp:rsid wsp:val=&quot;004F050F&quot;/&gt;&lt;wsp:rsid wsp:val=&quot;004F0524&quot;/&gt;&lt;wsp:rsid wsp:val=&quot;004F0A3C&quot;/&gt;&lt;wsp:rsid wsp:val=&quot;004F2749&quot;/&gt;&lt;wsp:rsid wsp:val=&quot;004F356E&quot;/&gt;&lt;wsp:rsid wsp:val=&quot;004F4B46&quot;/&gt;&lt;wsp:rsid wsp:val=&quot;004F54FB&quot;/&gt;&lt;wsp:rsid wsp:val=&quot;004F5879&quot;/&gt;&lt;wsp:rsid wsp:val=&quot;004F5985&quot;/&gt;&lt;wsp:rsid wsp:val=&quot;004F5C61&quot;/&gt;&lt;wsp:rsid wsp:val=&quot;004F67F8&quot;/&gt;&lt;wsp:rsid wsp:val=&quot;004F6C59&quot;/&gt;&lt;wsp:rsid wsp:val=&quot;004F7269&quot;/&gt;&lt;wsp:rsid wsp:val=&quot;004F74D2&quot;/&gt;&lt;wsp:rsid wsp:val=&quot;004F7B3C&quot;/&gt;&lt;wsp:rsid wsp:val=&quot;004F7E80&quot;/&gt;&lt;wsp:rsid wsp:val=&quot;00500AAF&quot;/&gt;&lt;wsp:rsid wsp:val=&quot;00500B83&quot;/&gt;&lt;wsp:rsid wsp:val=&quot;00500E1A&quot;/&gt;&lt;wsp:rsid wsp:val=&quot;005014C6&quot;/&gt;&lt;wsp:rsid wsp:val=&quot;00501522&quot;/&gt;&lt;wsp:rsid wsp:val=&quot;0050237C&quot;/&gt;&lt;wsp:rsid wsp:val=&quot;005026ED&quot;/&gt;&lt;wsp:rsid wsp:val=&quot;0050391F&quot;/&gt;&lt;wsp:rsid wsp:val=&quot;00503BBC&quot;/&gt;&lt;wsp:rsid wsp:val=&quot;00504497&quot;/&gt;&lt;wsp:rsid wsp:val=&quot;005047F4&quot;/&gt;&lt;wsp:rsid wsp:val=&quot;00504A37&quot;/&gt;&lt;wsp:rsid wsp:val=&quot;00504AA8&quot;/&gt;&lt;wsp:rsid wsp:val=&quot;00504EFD&quot;/&gt;&lt;wsp:rsid wsp:val=&quot;005052CE&quot;/&gt;&lt;wsp:rsid wsp:val=&quot;005053A1&quot;/&gt;&lt;wsp:rsid wsp:val=&quot;0050576F&quot;/&gt;&lt;wsp:rsid wsp:val=&quot;00506D55&quot;/&gt;&lt;wsp:rsid wsp:val=&quot;00506E85&quot;/&gt;&lt;wsp:rsid wsp:val=&quot;005075DE&quot;/&gt;&lt;wsp:rsid wsp:val=&quot;00507CB0&quot;/&gt;&lt;wsp:rsid wsp:val=&quot;00510380&quot;/&gt;&lt;wsp:rsid wsp:val=&quot;00510639&quot;/&gt;&lt;wsp:rsid wsp:val=&quot;00510FA5&quot;/&gt;&lt;wsp:rsid wsp:val=&quot;0051110F&quot;/&gt;&lt;wsp:rsid wsp:val=&quot;00511B75&quot;/&gt;&lt;wsp:rsid wsp:val=&quot;00511C6C&quot;/&gt;&lt;wsp:rsid wsp:val=&quot;0051226A&quot;/&gt;&lt;wsp:rsid wsp:val=&quot;00512582&quot;/&gt;&lt;wsp:rsid wsp:val=&quot;00512C55&quot;/&gt;&lt;wsp:rsid wsp:val=&quot;005134E3&quot;/&gt;&lt;wsp:rsid wsp:val=&quot;00513775&quot;/&gt;&lt;wsp:rsid wsp:val=&quot;00514532&quot;/&gt;&lt;wsp:rsid wsp:val=&quot;00514FE8&quot;/&gt;&lt;wsp:rsid wsp:val=&quot;00515BEE&quot;/&gt;&lt;wsp:rsid wsp:val=&quot;00516A15&quot;/&gt;&lt;wsp:rsid wsp:val=&quot;00517322&quot;/&gt;&lt;wsp:rsid wsp:val=&quot;00517E63&quot;/&gt;&lt;wsp:rsid wsp:val=&quot;00520373&quot;/&gt;&lt;wsp:rsid wsp:val=&quot;00520669&quot;/&gt;&lt;wsp:rsid wsp:val=&quot;00520888&quot;/&gt;&lt;wsp:rsid wsp:val=&quot;0052108F&quot;/&gt;&lt;wsp:rsid wsp:val=&quot;00521EA0&quot;/&gt;&lt;wsp:rsid wsp:val=&quot;00522A8A&quot;/&gt;&lt;wsp:rsid wsp:val=&quot;00522EAA&quot;/&gt;&lt;wsp:rsid wsp:val=&quot;005235EB&quot;/&gt;&lt;wsp:rsid wsp:val=&quot;0052365B&quot;/&gt;&lt;wsp:rsid wsp:val=&quot;00524B36&quot;/&gt;&lt;wsp:rsid wsp:val=&quot;00525141&quot;/&gt;&lt;wsp:rsid wsp:val=&quot;00525E26&quot;/&gt;&lt;wsp:rsid wsp:val=&quot;00526C0A&quot;/&gt;&lt;wsp:rsid wsp:val=&quot;00527CD5&quot;/&gt;&lt;wsp:rsid wsp:val=&quot;005310B9&quot;/&gt;&lt;wsp:rsid wsp:val=&quot;00531169&quot;/&gt;&lt;wsp:rsid wsp:val=&quot;00531222&quot;/&gt;&lt;wsp:rsid wsp:val=&quot;005313BA&quot;/&gt;&lt;wsp:rsid wsp:val=&quot;00531615&quot;/&gt;&lt;wsp:rsid wsp:val=&quot;005319C7&quot;/&gt;&lt;wsp:rsid wsp:val=&quot;00531D9A&quot;/&gt;&lt;wsp:rsid wsp:val=&quot;00532202&quot;/&gt;&lt;wsp:rsid wsp:val=&quot;00532477&quot;/&gt;&lt;wsp:rsid wsp:val=&quot;00532955&quot;/&gt;&lt;wsp:rsid wsp:val=&quot;005332DB&quot;/&gt;&lt;wsp:rsid wsp:val=&quot;005336B8&quot;/&gt;&lt;wsp:rsid wsp:val=&quot;00533713&quot;/&gt;&lt;wsp:rsid wsp:val=&quot;00533B86&quot;/&gt;&lt;wsp:rsid wsp:val=&quot;00534112&quot;/&gt;&lt;wsp:rsid wsp:val=&quot;0053639A&quot;/&gt;&lt;wsp:rsid wsp:val=&quot;00536949&quot;/&gt;&lt;wsp:rsid wsp:val=&quot;00536DBE&quot;/&gt;&lt;wsp:rsid wsp:val=&quot;00537FD2&quot;/&gt;&lt;wsp:rsid wsp:val=&quot;005400A7&quot;/&gt;&lt;wsp:rsid wsp:val=&quot;005427A7&quot;/&gt;&lt;wsp:rsid wsp:val=&quot;00542C57&quot;/&gt;&lt;wsp:rsid wsp:val=&quot;00543193&quot;/&gt;&lt;wsp:rsid wsp:val=&quot;0054359D&quot;/&gt;&lt;wsp:rsid wsp:val=&quot;005439F3&quot;/&gt;&lt;wsp:rsid wsp:val=&quot;00543E56&quot;/&gt;&lt;wsp:rsid wsp:val=&quot;005467C4&quot;/&gt;&lt;wsp:rsid wsp:val=&quot;00546916&quot;/&gt;&lt;wsp:rsid wsp:val=&quot;00546D5B&quot;/&gt;&lt;wsp:rsid wsp:val=&quot;0055050D&quot;/&gt;&lt;wsp:rsid wsp:val=&quot;0055107D&quot;/&gt;&lt;wsp:rsid wsp:val=&quot;00551629&quot;/&gt;&lt;wsp:rsid wsp:val=&quot;00551864&quot;/&gt;&lt;wsp:rsid wsp:val=&quot;005521F2&quot;/&gt;&lt;wsp:rsid wsp:val=&quot;005527FC&quot;/&gt;&lt;wsp:rsid wsp:val=&quot;00552B4E&quot;/&gt;&lt;wsp:rsid wsp:val=&quot;00553131&quot;/&gt;&lt;wsp:rsid wsp:val=&quot;005531CE&quot;/&gt;&lt;wsp:rsid wsp:val=&quot;00554834&quot;/&gt;&lt;wsp:rsid wsp:val=&quot;00554A69&quot;/&gt;&lt;wsp:rsid wsp:val=&quot;00554CDC&quot;/&gt;&lt;wsp:rsid wsp:val=&quot;005552F8&quot;/&gt;&lt;wsp:rsid wsp:val=&quot;0055558D&quot;/&gt;&lt;wsp:rsid wsp:val=&quot;005568AF&quot;/&gt;&lt;wsp:rsid wsp:val=&quot;005569ED&quot;/&gt;&lt;wsp:rsid wsp:val=&quot;005575A1&quot;/&gt;&lt;wsp:rsid wsp:val=&quot;0055789C&quot;/&gt;&lt;wsp:rsid wsp:val=&quot;005611D5&quot;/&gt;&lt;wsp:rsid wsp:val=&quot;00561880&quot;/&gt;&lt;wsp:rsid wsp:val=&quot;005619CA&quot;/&gt;&lt;wsp:rsid wsp:val=&quot;0056208F&quot;/&gt;&lt;wsp:rsid wsp:val=&quot;00563599&quot;/&gt;&lt;wsp:rsid wsp:val=&quot;00563F0C&quot;/&gt;&lt;wsp:rsid wsp:val=&quot;005642E0&quot;/&gt;&lt;wsp:rsid wsp:val=&quot;00564408&quot;/&gt;&lt;wsp:rsid wsp:val=&quot;00564715&quot;/&gt;&lt;wsp:rsid wsp:val=&quot;00564C99&quot;/&gt;&lt;wsp:rsid wsp:val=&quot;005652C9&quot;/&gt;&lt;wsp:rsid wsp:val=&quot;005665FF&quot;/&gt;&lt;wsp:rsid wsp:val=&quot;00571E8E&quot;/&gt;&lt;wsp:rsid wsp:val=&quot;005724DC&quot;/&gt;&lt;wsp:rsid wsp:val=&quot;00572D7F&quot;/&gt;&lt;wsp:rsid wsp:val=&quot;005741CF&quot;/&gt;&lt;wsp:rsid wsp:val=&quot;005743AA&quot;/&gt;&lt;wsp:rsid wsp:val=&quot;005748FE&quot;/&gt;&lt;wsp:rsid wsp:val=&quot;00575798&quot;/&gt;&lt;wsp:rsid wsp:val=&quot;00575B46&quot;/&gt;&lt;wsp:rsid wsp:val=&quot;005763F2&quot;/&gt;&lt;wsp:rsid wsp:val=&quot;005768F6&quot;/&gt;&lt;wsp:rsid wsp:val=&quot;00576A47&quot;/&gt;&lt;wsp:rsid wsp:val=&quot;00577D8C&quot;/&gt;&lt;wsp:rsid wsp:val=&quot;005802DE&quot;/&gt;&lt;wsp:rsid wsp:val=&quot;00581D5D&quot;/&gt;&lt;wsp:rsid wsp:val=&quot;00583080&quot;/&gt;&lt;wsp:rsid wsp:val=&quot;005838E6&quot;/&gt;&lt;wsp:rsid wsp:val=&quot;00583FDC&quot;/&gt;&lt;wsp:rsid wsp:val=&quot;0058458B&quot;/&gt;&lt;wsp:rsid wsp:val=&quot;00584DE0&quot;/&gt;&lt;wsp:rsid wsp:val=&quot;0058594C&quot;/&gt;&lt;wsp:rsid wsp:val=&quot;00585F6E&quot;/&gt;&lt;wsp:rsid wsp:val=&quot;005865EF&quot;/&gt;&lt;wsp:rsid wsp:val=&quot;005873BB&quot;/&gt;&lt;wsp:rsid wsp:val=&quot;0058745B&quot;/&gt;&lt;wsp:rsid wsp:val=&quot;00587C44&quot;/&gt;&lt;wsp:rsid wsp:val=&quot;00590133&quot;/&gt;&lt;wsp:rsid wsp:val=&quot;00590567&quot;/&gt;&lt;wsp:rsid wsp:val=&quot;00590692&quot;/&gt;&lt;wsp:rsid wsp:val=&quot;00590C5F&quot;/&gt;&lt;wsp:rsid wsp:val=&quot;0059158B&quot;/&gt;&lt;wsp:rsid wsp:val=&quot;005924B2&quot;/&gt;&lt;wsp:rsid wsp:val=&quot;00592E6D&quot;/&gt;&lt;wsp:rsid wsp:val=&quot;005940D6&quot;/&gt;&lt;wsp:rsid wsp:val=&quot;00594611&quot;/&gt;&lt;wsp:rsid wsp:val=&quot;00594ED7&quot;/&gt;&lt;wsp:rsid wsp:val=&quot;005950B1&quot;/&gt;&lt;wsp:rsid wsp:val=&quot;005950EA&quot;/&gt;&lt;wsp:rsid wsp:val=&quot;005965CB&quot;/&gt;&lt;wsp:rsid wsp:val=&quot;00596B38&quot;/&gt;&lt;wsp:rsid wsp:val=&quot;00596C15&quot;/&gt;&lt;wsp:rsid wsp:val=&quot;005975F2&quot;/&gt;&lt;wsp:rsid wsp:val=&quot;00597CC7&quot;/&gt;&lt;wsp:rsid wsp:val=&quot;005A030B&quot;/&gt;&lt;wsp:rsid wsp:val=&quot;005A154D&quot;/&gt;&lt;wsp:rsid wsp:val=&quot;005A2789&quot;/&gt;&lt;wsp:rsid wsp:val=&quot;005A31B4&quot;/&gt;&lt;wsp:rsid wsp:val=&quot;005A33C5&quot;/&gt;&lt;wsp:rsid wsp:val=&quot;005A35A5&quot;/&gt;&lt;wsp:rsid wsp:val=&quot;005A360B&quot;/&gt;&lt;wsp:rsid wsp:val=&quot;005A397C&quot;/&gt;&lt;wsp:rsid wsp:val=&quot;005A3E88&quot;/&gt;&lt;wsp:rsid wsp:val=&quot;005A416E&quot;/&gt;&lt;wsp:rsid wsp:val=&quot;005A5326&quot;/&gt;&lt;wsp:rsid wsp:val=&quot;005A5CE9&quot;/&gt;&lt;wsp:rsid wsp:val=&quot;005A6CCD&quot;/&gt;&lt;wsp:rsid wsp:val=&quot;005B0C9D&quot;/&gt;&lt;wsp:rsid wsp:val=&quot;005B2151&quot;/&gt;&lt;wsp:rsid wsp:val=&quot;005B2955&quot;/&gt;&lt;wsp:rsid wsp:val=&quot;005B2CB6&quot;/&gt;&lt;wsp:rsid wsp:val=&quot;005B2CC1&quot;/&gt;&lt;wsp:rsid wsp:val=&quot;005B3294&quot;/&gt;&lt;wsp:rsid wsp:val=&quot;005B33CF&quot;/&gt;&lt;wsp:rsid wsp:val=&quot;005B3E56&quot;/&gt;&lt;wsp:rsid wsp:val=&quot;005B43A4&quot;/&gt;&lt;wsp:rsid wsp:val=&quot;005B4486&quot;/&gt;&lt;wsp:rsid wsp:val=&quot;005B4529&quot;/&gt;&lt;wsp:rsid wsp:val=&quot;005B5263&quot;/&gt;&lt;wsp:rsid wsp:val=&quot;005B6E26&quot;/&gt;&lt;wsp:rsid wsp:val=&quot;005B7B7E&quot;/&gt;&lt;wsp:rsid wsp:val=&quot;005C06C5&quot;/&gt;&lt;wsp:rsid wsp:val=&quot;005C1733&quot;/&gt;&lt;wsp:rsid wsp:val=&quot;005C19EB&quot;/&gt;&lt;wsp:rsid wsp:val=&quot;005C3597&quot;/&gt;&lt;wsp:rsid wsp:val=&quot;005C383A&quot;/&gt;&lt;wsp:rsid wsp:val=&quot;005C3A42&quot;/&gt;&lt;wsp:rsid wsp:val=&quot;005C454A&quot;/&gt;&lt;wsp:rsid wsp:val=&quot;005C604A&quot;/&gt;&lt;wsp:rsid wsp:val=&quot;005C751D&quot;/&gt;&lt;wsp:rsid wsp:val=&quot;005D05A0&quot;/&gt;&lt;wsp:rsid wsp:val=&quot;005D0E90&quot;/&gt;&lt;wsp:rsid wsp:val=&quot;005D1E1E&quot;/&gt;&lt;wsp:rsid wsp:val=&quot;005D2875&quot;/&gt;&lt;wsp:rsid wsp:val=&quot;005D2936&quot;/&gt;&lt;wsp:rsid wsp:val=&quot;005D2C31&quot;/&gt;&lt;wsp:rsid wsp:val=&quot;005D3192&quot;/&gt;&lt;wsp:rsid wsp:val=&quot;005D5271&quot;/&gt;&lt;wsp:rsid wsp:val=&quot;005D55B6&quot;/&gt;&lt;wsp:rsid wsp:val=&quot;005D5A81&quot;/&gt;&lt;wsp:rsid wsp:val=&quot;005D68F4&quot;/&gt;&lt;wsp:rsid wsp:val=&quot;005E0012&quot;/&gt;&lt;wsp:rsid wsp:val=&quot;005E043D&quot;/&gt;&lt;wsp:rsid wsp:val=&quot;005E2D86&quot;/&gt;&lt;wsp:rsid wsp:val=&quot;005E2E18&quot;/&gt;&lt;wsp:rsid wsp:val=&quot;005E307D&quot;/&gt;&lt;wsp:rsid wsp:val=&quot;005E347F&quot;/&gt;&lt;wsp:rsid wsp:val=&quot;005E4EEC&quot;/&gt;&lt;wsp:rsid wsp:val=&quot;005E6A17&quot;/&gt;&lt;wsp:rsid wsp:val=&quot;005E6C20&quot;/&gt;&lt;wsp:rsid wsp:val=&quot;005E786E&quot;/&gt;&lt;wsp:rsid wsp:val=&quot;005E79C2&quot;/&gt;&lt;wsp:rsid wsp:val=&quot;005E7C97&quot;/&gt;&lt;wsp:rsid wsp:val=&quot;005F0434&quot;/&gt;&lt;wsp:rsid wsp:val=&quot;005F0833&quot;/&gt;&lt;wsp:rsid wsp:val=&quot;005F0D14&quot;/&gt;&lt;wsp:rsid wsp:val=&quot;005F0E3B&quot;/&gt;&lt;wsp:rsid wsp:val=&quot;005F1A94&quot;/&gt;&lt;wsp:rsid wsp:val=&quot;005F2549&quot;/&gt;&lt;wsp:rsid wsp:val=&quot;005F2787&quot;/&gt;&lt;wsp:rsid wsp:val=&quot;005F27D9&quot;/&gt;&lt;wsp:rsid wsp:val=&quot;005F2888&quot;/&gt;&lt;wsp:rsid wsp:val=&quot;005F2BF6&quot;/&gt;&lt;wsp:rsid wsp:val=&quot;005F3A83&quot;/&gt;&lt;wsp:rsid wsp:val=&quot;005F3D2F&quot;/&gt;&lt;wsp:rsid wsp:val=&quot;005F4F0C&quot;/&gt;&lt;wsp:rsid wsp:val=&quot;005F5835&quot;/&gt;&lt;wsp:rsid wsp:val=&quot;005F65DD&quot;/&gt;&lt;wsp:rsid wsp:val=&quot;005F6A26&quot;/&gt;&lt;wsp:rsid wsp:val=&quot;005F76A2&quot;/&gt;&lt;wsp:rsid wsp:val=&quot;00600305&quot;/&gt;&lt;wsp:rsid wsp:val=&quot;00602CC7&quot;/&gt;&lt;wsp:rsid wsp:val=&quot;00603C91&quot;/&gt;&lt;wsp:rsid wsp:val=&quot;00603FE9&quot;/&gt;&lt;wsp:rsid wsp:val=&quot;006056AB&quot;/&gt;&lt;wsp:rsid wsp:val=&quot;00605A4F&quot;/&gt;&lt;wsp:rsid wsp:val=&quot;00605F9A&quot;/&gt;&lt;wsp:rsid wsp:val=&quot;00606446&quot;/&gt;&lt;wsp:rsid wsp:val=&quot;00606B39&quot;/&gt;&lt;wsp:rsid wsp:val=&quot;00606BD6&quot;/&gt;&lt;wsp:rsid wsp:val=&quot;00606F5E&quot;/&gt;&lt;wsp:rsid wsp:val=&quot;00607180&quot;/&gt;&lt;wsp:rsid wsp:val=&quot;00607689&quot;/&gt;&lt;wsp:rsid wsp:val=&quot;00610DAA&quot;/&gt;&lt;wsp:rsid wsp:val=&quot;00611130&quot;/&gt;&lt;wsp:rsid wsp:val=&quot;00611B46&quot;/&gt;&lt;wsp:rsid wsp:val=&quot;00612873&quot;/&gt;&lt;wsp:rsid wsp:val=&quot;0061478A&quot;/&gt;&lt;wsp:rsid wsp:val=&quot;0061495F&quot;/&gt;&lt;wsp:rsid wsp:val=&quot;00614D00&quot;/&gt;&lt;wsp:rsid wsp:val=&quot;00616079&quot;/&gt;&lt;wsp:rsid wsp:val=&quot;006172D4&quot;/&gt;&lt;wsp:rsid wsp:val=&quot;00617B55&quot;/&gt;&lt;wsp:rsid wsp:val=&quot;006202EA&quot;/&gt;&lt;wsp:rsid wsp:val=&quot;0062083F&quot;/&gt;&lt;wsp:rsid wsp:val=&quot;00621EBF&quot;/&gt;&lt;wsp:rsid wsp:val=&quot;00622747&quot;/&gt;&lt;wsp:rsid wsp:val=&quot;00623449&quot;/&gt;&lt;wsp:rsid wsp:val=&quot;0062350F&quot;/&gt;&lt;wsp:rsid wsp:val=&quot;00623AF4&quot;/&gt;&lt;wsp:rsid wsp:val=&quot;00623B58&quot;/&gt;&lt;wsp:rsid wsp:val=&quot;0062404B&quot;/&gt;&lt;wsp:rsid wsp:val=&quot;006251B6&quot;/&gt;&lt;wsp:rsid wsp:val=&quot;006257D6&quot;/&gt;&lt;wsp:rsid wsp:val=&quot;00625D14&quot;/&gt;&lt;wsp:rsid wsp:val=&quot;00625EA9&quot;/&gt;&lt;wsp:rsid wsp:val=&quot;00626ACF&quot;/&gt;&lt;wsp:rsid wsp:val=&quot;00630EFB&quot;/&gt;&lt;wsp:rsid wsp:val=&quot;00631BB6&quot;/&gt;&lt;wsp:rsid wsp:val=&quot;00632861&quot;/&gt;&lt;wsp:rsid wsp:val=&quot;00633EE3&quot;/&gt;&lt;wsp:rsid wsp:val=&quot;00634531&quot;/&gt;&lt;wsp:rsid wsp:val=&quot;00634C26&quot;/&gt;&lt;wsp:rsid wsp:val=&quot;006352A8&quot;/&gt;&lt;wsp:rsid wsp:val=&quot;006353EA&quot;/&gt;&lt;wsp:rsid wsp:val=&quot;006365C4&quot;/&gt;&lt;wsp:rsid wsp:val=&quot;006402F9&quot;/&gt;&lt;wsp:rsid wsp:val=&quot;0064123D&quot;/&gt;&lt;wsp:rsid wsp:val=&quot;006414D1&quot;/&gt;&lt;wsp:rsid wsp:val=&quot;0064306C&quot;/&gt;&lt;wsp:rsid wsp:val=&quot;00643609&quot;/&gt;&lt;wsp:rsid wsp:val=&quot;00643F19&quot;/&gt;&lt;wsp:rsid wsp:val=&quot;006441DE&quot;/&gt;&lt;wsp:rsid wsp:val=&quot;006458A7&quot;/&gt;&lt;wsp:rsid wsp:val=&quot;006458BF&quot;/&gt;&lt;wsp:rsid wsp:val=&quot;00645C99&quot;/&gt;&lt;wsp:rsid wsp:val=&quot;00645DCE&quot;/&gt;&lt;wsp:rsid wsp:val=&quot;00646A6D&quot;/&gt;&lt;wsp:rsid wsp:val=&quot;00647C95&quot;/&gt;&lt;wsp:rsid wsp:val=&quot;00647CEE&quot;/&gt;&lt;wsp:rsid wsp:val=&quot;00650108&quot;/&gt;&lt;wsp:rsid wsp:val=&quot;006506F2&quot;/&gt;&lt;wsp:rsid wsp:val=&quot;0065074A&quot;/&gt;&lt;wsp:rsid wsp:val=&quot;0065096F&quot;/&gt;&lt;wsp:rsid wsp:val=&quot;00651E02&quot;/&gt;&lt;wsp:rsid wsp:val=&quot;0065275A&quot;/&gt;&lt;wsp:rsid wsp:val=&quot;00652BC6&quot;/&gt;&lt;wsp:rsid wsp:val=&quot;00654E07&quot;/&gt;&lt;wsp:rsid wsp:val=&quot;00654EC3&quot;/&gt;&lt;wsp:rsid wsp:val=&quot;006558A2&quot;/&gt;&lt;wsp:rsid wsp:val=&quot;006563F4&quot;/&gt;&lt;wsp:rsid wsp:val=&quot;00656459&quot;/&gt;&lt;wsp:rsid wsp:val=&quot;00656493&quot;/&gt;&lt;wsp:rsid wsp:val=&quot;0065653A&quot;/&gt;&lt;wsp:rsid wsp:val=&quot;00657754&quot;/&gt;&lt;wsp:rsid wsp:val=&quot;006579C2&quot;/&gt;&lt;wsp:rsid wsp:val=&quot;0066045E&quot;/&gt;&lt;wsp:rsid wsp:val=&quot;006605B3&quot;/&gt;&lt;wsp:rsid wsp:val=&quot;00662249&quot;/&gt;&lt;wsp:rsid wsp:val=&quot;00662255&quot;/&gt;&lt;wsp:rsid wsp:val=&quot;0066255B&quot;/&gt;&lt;wsp:rsid wsp:val=&quot;00662E36&quot;/&gt;&lt;wsp:rsid wsp:val=&quot;006656ED&quot;/&gt;&lt;wsp:rsid wsp:val=&quot;00665CC5&quot;/&gt;&lt;wsp:rsid wsp:val=&quot;006664C4&quot;/&gt;&lt;wsp:rsid wsp:val=&quot;00666B2C&quot;/&gt;&lt;wsp:rsid wsp:val=&quot;00670485&quot;/&gt;&lt;wsp:rsid wsp:val=&quot;0067081C&quot;/&gt;&lt;wsp:rsid wsp:val=&quot;00670F86&quot;/&gt;&lt;wsp:rsid wsp:val=&quot;00671055&quot;/&gt;&lt;wsp:rsid wsp:val=&quot;006717B9&quot;/&gt;&lt;wsp:rsid wsp:val=&quot;0067186F&quot;/&gt;&lt;wsp:rsid wsp:val=&quot;00671988&quot;/&gt;&lt;wsp:rsid wsp:val=&quot;00672442&quot;/&gt;&lt;wsp:rsid wsp:val=&quot;006727A0&quot;/&gt;&lt;wsp:rsid wsp:val=&quot;006737AC&quot;/&gt;&lt;wsp:rsid wsp:val=&quot;00673D2C&quot;/&gt;&lt;wsp:rsid wsp:val=&quot;006740D0&quot;/&gt;&lt;wsp:rsid wsp:val=&quot;00674406&quot;/&gt;&lt;wsp:rsid wsp:val=&quot;0067448C&quot;/&gt;&lt;wsp:rsid wsp:val=&quot;00674921&quot;/&gt;&lt;wsp:rsid wsp:val=&quot;00674C10&quot;/&gt;&lt;wsp:rsid wsp:val=&quot;00674D82&quot;/&gt;&lt;wsp:rsid wsp:val=&quot;00674EAA&quot;/&gt;&lt;wsp:rsid wsp:val=&quot;006753BC&quot;/&gt;&lt;wsp:rsid wsp:val=&quot;00676424&quot;/&gt;&lt;wsp:rsid wsp:val=&quot;006779D9&quot;/&gt;&lt;wsp:rsid wsp:val=&quot;00680138&quot;/&gt;&lt;wsp:rsid wsp:val=&quot;006804E7&quot;/&gt;&lt;wsp:rsid wsp:val=&quot;00680B0C&quot;/&gt;&lt;wsp:rsid wsp:val=&quot;00680EE3&quot;/&gt;&lt;wsp:rsid wsp:val=&quot;0068145B&quot;/&gt;&lt;wsp:rsid wsp:val=&quot;00681543&quot;/&gt;&lt;wsp:rsid wsp:val=&quot;006823B9&quot;/&gt;&lt;wsp:rsid wsp:val=&quot;00683D12&quot;/&gt;&lt;wsp:rsid wsp:val=&quot;00684400&quot;/&gt;&lt;wsp:rsid wsp:val=&quot;0068475D&quot;/&gt;&lt;wsp:rsid wsp:val=&quot;006849F1&quot;/&gt;&lt;wsp:rsid wsp:val=&quot;00685222&quot;/&gt;&lt;wsp:rsid wsp:val=&quot;00685F9D&quot;/&gt;&lt;wsp:rsid wsp:val=&quot;00685FBE&quot;/&gt;&lt;wsp:rsid wsp:val=&quot;00686175&quot;/&gt;&lt;wsp:rsid wsp:val=&quot;006878E4&quot;/&gt;&lt;wsp:rsid wsp:val=&quot;00687D7A&quot;/&gt;&lt;wsp:rsid wsp:val=&quot;00687EEB&quot;/&gt;&lt;wsp:rsid wsp:val=&quot;00690C49&quot;/&gt;&lt;wsp:rsid wsp:val=&quot;006922D0&quot;/&gt;&lt;wsp:rsid wsp:val=&quot;00692EFD&quot;/&gt;&lt;wsp:rsid wsp:val=&quot;00693A09&quot;/&gt;&lt;wsp:rsid wsp:val=&quot;00693E22&quot;/&gt;&lt;wsp:rsid wsp:val=&quot;00694A58&quot;/&gt;&lt;wsp:rsid wsp:val=&quot;00695A30&quot;/&gt;&lt;wsp:rsid wsp:val=&quot;0069646E&quot;/&gt;&lt;wsp:rsid wsp:val=&quot;006967E4&quot;/&gt;&lt;wsp:rsid wsp:val=&quot;00696C5D&quot;/&gt;&lt;wsp:rsid wsp:val=&quot;00696DED&quot;/&gt;&lt;wsp:rsid wsp:val=&quot;0069736C&quot;/&gt;&lt;wsp:rsid wsp:val=&quot;00697B5E&quot;/&gt;&lt;wsp:rsid wsp:val=&quot;006A0C6F&quot;/&gt;&lt;wsp:rsid wsp:val=&quot;006A1219&quot;/&gt;&lt;wsp:rsid wsp:val=&quot;006A1F01&quot;/&gt;&lt;wsp:rsid wsp:val=&quot;006A3064&quot;/&gt;&lt;wsp:rsid wsp:val=&quot;006A3268&quot;/&gt;&lt;wsp:rsid wsp:val=&quot;006A3289&quot;/&gt;&lt;wsp:rsid wsp:val=&quot;006A376E&quot;/&gt;&lt;wsp:rsid wsp:val=&quot;006A3930&quot;/&gt;&lt;wsp:rsid wsp:val=&quot;006A39C1&quot;/&gt;&lt;wsp:rsid wsp:val=&quot;006A3AE8&quot;/&gt;&lt;wsp:rsid wsp:val=&quot;006A3D5B&quot;/&gt;&lt;wsp:rsid wsp:val=&quot;006A4108&quot;/&gt;&lt;wsp:rsid wsp:val=&quot;006A51D5&quot;/&gt;&lt;wsp:rsid wsp:val=&quot;006A57A0&quot;/&gt;&lt;wsp:rsid wsp:val=&quot;006A5D2E&quot;/&gt;&lt;wsp:rsid wsp:val=&quot;006A5D51&quot;/&gt;&lt;wsp:rsid wsp:val=&quot;006A6232&quot;/&gt;&lt;wsp:rsid wsp:val=&quot;006A6467&quot;/&gt;&lt;wsp:rsid wsp:val=&quot;006A6485&quot;/&gt;&lt;wsp:rsid wsp:val=&quot;006A6DB6&quot;/&gt;&lt;wsp:rsid wsp:val=&quot;006A6E1C&quot;/&gt;&lt;wsp:rsid wsp:val=&quot;006A706D&quot;/&gt;&lt;wsp:rsid wsp:val=&quot;006A78EF&quot;/&gt;&lt;wsp:rsid wsp:val=&quot;006A7DFA&quot;/&gt;&lt;wsp:rsid wsp:val=&quot;006B0999&quot;/&gt;&lt;wsp:rsid wsp:val=&quot;006B14FE&quot;/&gt;&lt;wsp:rsid wsp:val=&quot;006B1B93&quot;/&gt;&lt;wsp:rsid wsp:val=&quot;006B1DE3&quot;/&gt;&lt;wsp:rsid wsp:val=&quot;006B3085&quot;/&gt;&lt;wsp:rsid wsp:val=&quot;006B4402&quot;/&gt;&lt;wsp:rsid wsp:val=&quot;006B4E06&quot;/&gt;&lt;wsp:rsid wsp:val=&quot;006B5512&quot;/&gt;&lt;wsp:rsid wsp:val=&quot;006B5741&quot;/&gt;&lt;wsp:rsid wsp:val=&quot;006B6390&quot;/&gt;&lt;wsp:rsid wsp:val=&quot;006B7D94&quot;/&gt;&lt;wsp:rsid wsp:val=&quot;006C0EAB&quot;/&gt;&lt;wsp:rsid wsp:val=&quot;006C18BD&quot;/&gt;&lt;wsp:rsid wsp:val=&quot;006C24C5&quot;/&gt;&lt;wsp:rsid wsp:val=&quot;006C2D7E&quot;/&gt;&lt;wsp:rsid wsp:val=&quot;006C3EB6&quot;/&gt;&lt;wsp:rsid wsp:val=&quot;006C51DF&quot;/&gt;&lt;wsp:rsid wsp:val=&quot;006C5539&quot;/&gt;&lt;wsp:rsid wsp:val=&quot;006C7985&quot;/&gt;&lt;wsp:rsid wsp:val=&quot;006C7BC5&quot;/&gt;&lt;wsp:rsid wsp:val=&quot;006D03B1&quot;/&gt;&lt;wsp:rsid wsp:val=&quot;006D121D&quot;/&gt;&lt;wsp:rsid wsp:val=&quot;006D1DC5&quot;/&gt;&lt;wsp:rsid wsp:val=&quot;006D3411&quot;/&gt;&lt;wsp:rsid wsp:val=&quot;006D4086&quot;/&gt;&lt;wsp:rsid wsp:val=&quot;006D5079&quot;/&gt;&lt;wsp:rsid wsp:val=&quot;006D5546&quot;/&gt;&lt;wsp:rsid wsp:val=&quot;006D5A37&quot;/&gt;&lt;wsp:rsid wsp:val=&quot;006D69F8&quot;/&gt;&lt;wsp:rsid wsp:val=&quot;006D7671&quot;/&gt;&lt;wsp:rsid wsp:val=&quot;006D7770&quot;/&gt;&lt;wsp:rsid wsp:val=&quot;006E01B8&quot;/&gt;&lt;wsp:rsid wsp:val=&quot;006E0CA7&quot;/&gt;&lt;wsp:rsid wsp:val=&quot;006E0DCD&quot;/&gt;&lt;wsp:rsid wsp:val=&quot;006E0F55&quot;/&gt;&lt;wsp:rsid wsp:val=&quot;006E1926&quot;/&gt;&lt;wsp:rsid wsp:val=&quot;006E1AEA&quot;/&gt;&lt;wsp:rsid wsp:val=&quot;006E1F7F&quot;/&gt;&lt;wsp:rsid wsp:val=&quot;006E3A1B&quot;/&gt;&lt;wsp:rsid wsp:val=&quot;006E4448&quot;/&gt;&lt;wsp:rsid wsp:val=&quot;006E44B5&quot;/&gt;&lt;wsp:rsid wsp:val=&quot;006E4655&quot;/&gt;&lt;wsp:rsid wsp:val=&quot;006E474D&quot;/&gt;&lt;wsp:rsid wsp:val=&quot;006E5D96&quot;/&gt;&lt;wsp:rsid wsp:val=&quot;006E6715&quot;/&gt;&lt;wsp:rsid wsp:val=&quot;006E7132&quot;/&gt;&lt;wsp:rsid wsp:val=&quot;006F094E&quot;/&gt;&lt;wsp:rsid wsp:val=&quot;006F201D&quot;/&gt;&lt;wsp:rsid wsp:val=&quot;006F2B78&quot;/&gt;&lt;wsp:rsid wsp:val=&quot;006F30C6&quot;/&gt;&lt;wsp:rsid wsp:val=&quot;006F3398&quot;/&gt;&lt;wsp:rsid wsp:val=&quot;006F38A8&quot;/&gt;&lt;wsp:rsid wsp:val=&quot;006F5693&quot;/&gt;&lt;wsp:rsid wsp:val=&quot;006F589C&quot;/&gt;&lt;wsp:rsid wsp:val=&quot;006F6731&quot;/&gt;&lt;wsp:rsid wsp:val=&quot;006F6E44&quot;/&gt;&lt;wsp:rsid wsp:val=&quot;006F6E7B&quot;/&gt;&lt;wsp:rsid wsp:val=&quot;007002C0&quot;/&gt;&lt;wsp:rsid wsp:val=&quot;0070044C&quot;/&gt;&lt;wsp:rsid wsp:val=&quot;00700B71&quot;/&gt;&lt;wsp:rsid wsp:val=&quot;0070113A&quot;/&gt;&lt;wsp:rsid wsp:val=&quot;00702681&quot;/&gt;&lt;wsp:rsid wsp:val=&quot;00702AB6&quot;/&gt;&lt;wsp:rsid wsp:val=&quot;00702AD5&quot;/&gt;&lt;wsp:rsid wsp:val=&quot;00702DC2&quot;/&gt;&lt;wsp:rsid wsp:val=&quot;00703A72&quot;/&gt;&lt;wsp:rsid wsp:val=&quot;007044B6&quot;/&gt;&lt;wsp:rsid wsp:val=&quot;00704F12&quot;/&gt;&lt;wsp:rsid wsp:val=&quot;00705218&quot;/&gt;&lt;wsp:rsid wsp:val=&quot;007059E2&quot;/&gt;&lt;wsp:rsid wsp:val=&quot;007067DB&quot;/&gt;&lt;wsp:rsid wsp:val=&quot;0070730C&quot;/&gt;&lt;wsp:rsid wsp:val=&quot;00707762&quot;/&gt;&lt;wsp:rsid wsp:val=&quot;007077F1&quot;/&gt;&lt;wsp:rsid wsp:val=&quot;00707B42&quot;/&gt;&lt;wsp:rsid wsp:val=&quot;00707FB9&quot;/&gt;&lt;wsp:rsid wsp:val=&quot;00710536&quot;/&gt;&lt;wsp:rsid wsp:val=&quot;007107CA&quot;/&gt;&lt;wsp:rsid wsp:val=&quot;00711F8C&quot;/&gt;&lt;wsp:rsid wsp:val=&quot;00712B84&quot;/&gt;&lt;wsp:rsid wsp:val=&quot;00712C00&quot;/&gt;&lt;wsp:rsid wsp:val=&quot;00712D62&quot;/&gt;&lt;wsp:rsid wsp:val=&quot;00713169&quot;/&gt;&lt;wsp:rsid wsp:val=&quot;00713341&quot;/&gt;&lt;wsp:rsid wsp:val=&quot;00714A09&quot;/&gt;&lt;wsp:rsid wsp:val=&quot;007152ED&quot;/&gt;&lt;wsp:rsid wsp:val=&quot;00715C10&quot;/&gt;&lt;wsp:rsid wsp:val=&quot;00715D23&quot;/&gt;&lt;wsp:rsid wsp:val=&quot;00715FCD&quot;/&gt;&lt;wsp:rsid wsp:val=&quot;007163C7&quot;/&gt;&lt;wsp:rsid wsp:val=&quot;007204F3&quot;/&gt;&lt;wsp:rsid wsp:val=&quot;00720687&quot;/&gt;&lt;wsp:rsid wsp:val=&quot;00720859&quot;/&gt;&lt;wsp:rsid wsp:val=&quot;00720B9B&quot;/&gt;&lt;wsp:rsid wsp:val=&quot;00721BDB&quot;/&gt;&lt;wsp:rsid wsp:val=&quot;00721F21&quot;/&gt;&lt;wsp:rsid wsp:val=&quot;0072247C&quot;/&gt;&lt;wsp:rsid wsp:val=&quot;00722A92&quot;/&gt;&lt;wsp:rsid wsp:val=&quot;00723BA7&quot;/&gt;&lt;wsp:rsid wsp:val=&quot;00724E5F&quot;/&gt;&lt;wsp:rsid wsp:val=&quot;007252D2&quot;/&gt;&lt;wsp:rsid wsp:val=&quot;00725896&quot;/&gt;&lt;wsp:rsid wsp:val=&quot;00725BD2&quot;/&gt;&lt;wsp:rsid wsp:val=&quot;00725E7D&quot;/&gt;&lt;wsp:rsid wsp:val=&quot;007260C2&quot;/&gt;&lt;wsp:rsid wsp:val=&quot;0072752C&quot;/&gt;&lt;wsp:rsid wsp:val=&quot;00730580&quot;/&gt;&lt;wsp:rsid wsp:val=&quot;00730E70&quot;/&gt;&lt;wsp:rsid wsp:val=&quot;00730EF9&quot;/&gt;&lt;wsp:rsid wsp:val=&quot;00732175&quot;/&gt;&lt;wsp:rsid wsp:val=&quot;00732528&quot;/&gt;&lt;wsp:rsid wsp:val=&quot;00732659&quot;/&gt;&lt;wsp:rsid wsp:val=&quot;0073377B&quot;/&gt;&lt;wsp:rsid wsp:val=&quot;007337EF&quot;/&gt;&lt;wsp:rsid wsp:val=&quot;007345D3&quot;/&gt;&lt;wsp:rsid wsp:val=&quot;00734B85&quot;/&gt;&lt;wsp:rsid wsp:val=&quot;00735263&quot;/&gt;&lt;wsp:rsid wsp:val=&quot;007356AD&quot;/&gt;&lt;wsp:rsid wsp:val=&quot;00736035&quot;/&gt;&lt;wsp:rsid wsp:val=&quot;00736056&quot;/&gt;&lt;wsp:rsid wsp:val=&quot;007362F1&quot;/&gt;&lt;wsp:rsid wsp:val=&quot;00736472&quot;/&gt;&lt;wsp:rsid wsp:val=&quot;0073785E&quot;/&gt;&lt;wsp:rsid wsp:val=&quot;007406F1&quot;/&gt;&lt;wsp:rsid wsp:val=&quot;0074086C&quot;/&gt;&lt;wsp:rsid wsp:val=&quot;00742872&quot;/&gt;&lt;wsp:rsid wsp:val=&quot;007442EF&quot;/&gt;&lt;wsp:rsid wsp:val=&quot;00744C1F&quot;/&gt;&lt;wsp:rsid wsp:val=&quot;00744D52&quot;/&gt;&lt;wsp:rsid wsp:val=&quot;00745E70&quot;/&gt;&lt;wsp:rsid wsp:val=&quot;007474AB&quot;/&gt;&lt;wsp:rsid wsp:val=&quot;0074795D&quot;/&gt;&lt;wsp:rsid wsp:val=&quot;00747E61&quot;/&gt;&lt;wsp:rsid wsp:val=&quot;007507C0&quot;/&gt;&lt;wsp:rsid wsp:val=&quot;0075129B&quot;/&gt;&lt;wsp:rsid wsp:val=&quot;007517C1&quot;/&gt;&lt;wsp:rsid wsp:val=&quot;00751C1C&quot;/&gt;&lt;wsp:rsid wsp:val=&quot;0075282E&quot;/&gt;&lt;wsp:rsid wsp:val=&quot;00752B30&quot;/&gt;&lt;wsp:rsid wsp:val=&quot;00752BA1&quot;/&gt;&lt;wsp:rsid wsp:val=&quot;007547C6&quot;/&gt;&lt;wsp:rsid wsp:val=&quot;00754992&quot;/&gt;&lt;wsp:rsid wsp:val=&quot;00755F07&quot;/&gt;&lt;wsp:rsid wsp:val=&quot;007601D5&quot;/&gt;&lt;wsp:rsid wsp:val=&quot;00760E34&quot;/&gt;&lt;wsp:rsid wsp:val=&quot;00762570&quot;/&gt;&lt;wsp:rsid wsp:val=&quot;007636E6&quot;/&gt;&lt;wsp:rsid wsp:val=&quot;00763E8E&quot;/&gt;&lt;wsp:rsid wsp:val=&quot;0076425F&quot;/&gt;&lt;wsp:rsid wsp:val=&quot;00764859&quot;/&gt;&lt;wsp:rsid wsp:val=&quot;00764B12&quot;/&gt;&lt;wsp:rsid wsp:val=&quot;00766895&quot;/&gt;&lt;wsp:rsid wsp:val=&quot;007668DE&quot;/&gt;&lt;wsp:rsid wsp:val=&quot;00767FDE&quot;/&gt;&lt;wsp:rsid wsp:val=&quot;0077050E&quot;/&gt;&lt;wsp:rsid wsp:val=&quot;00771A78&quot;/&gt;&lt;wsp:rsid wsp:val=&quot;00771C45&quot;/&gt;&lt;wsp:rsid wsp:val=&quot;00771D23&quot;/&gt;&lt;wsp:rsid wsp:val=&quot;00773106&quot;/&gt;&lt;wsp:rsid wsp:val=&quot;0077351A&quot;/&gt;&lt;wsp:rsid wsp:val=&quot;00773BB1&quot;/&gt;&lt;wsp:rsid wsp:val=&quot;00774CEA&quot;/&gt;&lt;wsp:rsid wsp:val=&quot;007757FC&quot;/&gt;&lt;wsp:rsid wsp:val=&quot;00775B2F&quot;/&gt;&lt;wsp:rsid wsp:val=&quot;007762A1&quot;/&gt;&lt;wsp:rsid wsp:val=&quot;00776489&quot;/&gt;&lt;wsp:rsid wsp:val=&quot;00776DD1&quot;/&gt;&lt;wsp:rsid wsp:val=&quot;00777456&quot;/&gt;&lt;wsp:rsid wsp:val=&quot;007774BD&quot;/&gt;&lt;wsp:rsid wsp:val=&quot;00777B7E&quot;/&gt;&lt;wsp:rsid wsp:val=&quot;00777E54&quot;/&gt;&lt;wsp:rsid wsp:val=&quot;00781066&quot;/&gt;&lt;wsp:rsid wsp:val=&quot;00782F0B&quot;/&gt;&lt;wsp:rsid wsp:val=&quot;00784101&quot;/&gt;&lt;wsp:rsid wsp:val=&quot;00784315&quot;/&gt;&lt;wsp:rsid wsp:val=&quot;007846F0&quot;/&gt;&lt;wsp:rsid wsp:val=&quot;00784882&quot;/&gt;&lt;wsp:rsid wsp:val=&quot;007848A0&quot;/&gt;&lt;wsp:rsid wsp:val=&quot;00787256&quot;/&gt;&lt;wsp:rsid wsp:val=&quot;00787D26&quot;/&gt;&lt;wsp:rsid wsp:val=&quot;0079043E&quot;/&gt;&lt;wsp:rsid wsp:val=&quot;007904ED&quot;/&gt;&lt;wsp:rsid wsp:val=&quot;007905BA&quot;/&gt;&lt;wsp:rsid wsp:val=&quot;007910A0&quot;/&gt;&lt;wsp:rsid wsp:val=&quot;007913C3&quot;/&gt;&lt;wsp:rsid wsp:val=&quot;0079144B&quot;/&gt;&lt;wsp:rsid wsp:val=&quot;007915FF&quot;/&gt;&lt;wsp:rsid wsp:val=&quot;0079220E&quot;/&gt;&lt;wsp:rsid wsp:val=&quot;007927F3&quot;/&gt;&lt;wsp:rsid wsp:val=&quot;0079336D&quot;/&gt;&lt;wsp:rsid wsp:val=&quot;00793EA9&quot;/&gt;&lt;wsp:rsid wsp:val=&quot;00795370&quot;/&gt;&lt;wsp:rsid wsp:val=&quot;0079550D&quot;/&gt;&lt;wsp:rsid wsp:val=&quot;00795C6A&quot;/&gt;&lt;wsp:rsid wsp:val=&quot;00796352&quot;/&gt;&lt;wsp:rsid wsp:val=&quot;00797082&quot;/&gt;&lt;wsp:rsid wsp:val=&quot;007977BC&quot;/&gt;&lt;wsp:rsid wsp:val=&quot;007977C2&quot;/&gt;&lt;wsp:rsid wsp:val=&quot;007A0170&quot;/&gt;&lt;wsp:rsid wsp:val=&quot;007A0E6E&quot;/&gt;&lt;wsp:rsid wsp:val=&quot;007A1446&quot;/&gt;&lt;wsp:rsid wsp:val=&quot;007A1B72&quot;/&gt;&lt;wsp:rsid wsp:val=&quot;007A23A9&quot;/&gt;&lt;wsp:rsid wsp:val=&quot;007A2AC1&quot;/&gt;&lt;wsp:rsid wsp:val=&quot;007A3E72&quot;/&gt;&lt;wsp:rsid wsp:val=&quot;007A48E1&quot;/&gt;&lt;wsp:rsid wsp:val=&quot;007A4E15&quot;/&gt;&lt;wsp:rsid wsp:val=&quot;007A55E0&quot;/&gt;&lt;wsp:rsid wsp:val=&quot;007A5940&quot;/&gt;&lt;wsp:rsid wsp:val=&quot;007A6353&quot;/&gt;&lt;wsp:rsid wsp:val=&quot;007A6520&quot;/&gt;&lt;wsp:rsid wsp:val=&quot;007A6819&quot;/&gt;&lt;wsp:rsid wsp:val=&quot;007A6B2E&quot;/&gt;&lt;wsp:rsid wsp:val=&quot;007A7037&quot;/&gt;&lt;wsp:rsid wsp:val=&quot;007A7A52&quot;/&gt;&lt;wsp:rsid wsp:val=&quot;007A7D70&quot;/&gt;&lt;wsp:rsid wsp:val=&quot;007B074F&quot;/&gt;&lt;wsp:rsid wsp:val=&quot;007B0EF7&quot;/&gt;&lt;wsp:rsid wsp:val=&quot;007B139B&quot;/&gt;&lt;wsp:rsid wsp:val=&quot;007B182D&quot;/&gt;&lt;wsp:rsid wsp:val=&quot;007B2B08&quot;/&gt;&lt;wsp:rsid wsp:val=&quot;007B2C58&quot;/&gt;&lt;wsp:rsid wsp:val=&quot;007B3135&quot;/&gt;&lt;wsp:rsid wsp:val=&quot;007B3D95&quot;/&gt;&lt;wsp:rsid wsp:val=&quot;007B3DB3&quot;/&gt;&lt;wsp:rsid wsp:val=&quot;007B3F5C&quot;/&gt;&lt;wsp:rsid wsp:val=&quot;007B406D&quot;/&gt;&lt;wsp:rsid wsp:val=&quot;007B440D&quot;/&gt;&lt;wsp:rsid wsp:val=&quot;007B5781&quot;/&gt;&lt;wsp:rsid wsp:val=&quot;007B57CB&quot;/&gt;&lt;wsp:rsid wsp:val=&quot;007B5CCB&quot;/&gt;&lt;wsp:rsid wsp:val=&quot;007B629A&quot;/&gt;&lt;wsp:rsid wsp:val=&quot;007B64D5&quot;/&gt;&lt;wsp:rsid wsp:val=&quot;007B7795&quot;/&gt;&lt;wsp:rsid wsp:val=&quot;007C00C1&quot;/&gt;&lt;wsp:rsid wsp:val=&quot;007C0A12&quot;/&gt;&lt;wsp:rsid wsp:val=&quot;007C0FCD&quot;/&gt;&lt;wsp:rsid wsp:val=&quot;007C1B6F&quot;/&gt;&lt;wsp:rsid wsp:val=&quot;007C234C&quot;/&gt;&lt;wsp:rsid wsp:val=&quot;007C2CB5&quot;/&gt;&lt;wsp:rsid wsp:val=&quot;007C3595&quot;/&gt;&lt;wsp:rsid wsp:val=&quot;007C3991&quot;/&gt;&lt;wsp:rsid wsp:val=&quot;007C42E0&quot;/&gt;&lt;wsp:rsid wsp:val=&quot;007C457E&quot;/&gt;&lt;wsp:rsid wsp:val=&quot;007C623C&quot;/&gt;&lt;wsp:rsid wsp:val=&quot;007C7049&quot;/&gt;&lt;wsp:rsid wsp:val=&quot;007C7256&quot;/&gt;&lt;wsp:rsid wsp:val=&quot;007C7368&quot;/&gt;&lt;wsp:rsid wsp:val=&quot;007C7B86&quot;/&gt;&lt;wsp:rsid wsp:val=&quot;007D0293&quot;/&gt;&lt;wsp:rsid wsp:val=&quot;007D03D8&quot;/&gt;&lt;wsp:rsid wsp:val=&quot;007D0A60&quot;/&gt;&lt;wsp:rsid wsp:val=&quot;007D0B16&quot;/&gt;&lt;wsp:rsid wsp:val=&quot;007D1CD2&quot;/&gt;&lt;wsp:rsid wsp:val=&quot;007D1D3A&quot;/&gt;&lt;wsp:rsid wsp:val=&quot;007D2658&quot;/&gt;&lt;wsp:rsid wsp:val=&quot;007D26A3&quot;/&gt;&lt;wsp:rsid wsp:val=&quot;007D2BFB&quot;/&gt;&lt;wsp:rsid wsp:val=&quot;007D2CA9&quot;/&gt;&lt;wsp:rsid wsp:val=&quot;007D372A&quot;/&gt;&lt;wsp:rsid wsp:val=&quot;007D3943&quot;/&gt;&lt;wsp:rsid wsp:val=&quot;007D4DEC&quot;/&gt;&lt;wsp:rsid wsp:val=&quot;007D50E8&quot;/&gt;&lt;wsp:rsid wsp:val=&quot;007D511F&quot;/&gt;&lt;wsp:rsid wsp:val=&quot;007D5642&quot;/&gt;&lt;wsp:rsid wsp:val=&quot;007D5EE5&quot;/&gt;&lt;wsp:rsid wsp:val=&quot;007D6582&quot;/&gt;&lt;wsp:rsid wsp:val=&quot;007D6A20&quot;/&gt;&lt;wsp:rsid wsp:val=&quot;007D6E98&quot;/&gt;&lt;wsp:rsid wsp:val=&quot;007D7105&quot;/&gt;&lt;wsp:rsid wsp:val=&quot;007D72F6&quot;/&gt;&lt;wsp:rsid wsp:val=&quot;007E00D1&quot;/&gt;&lt;wsp:rsid wsp:val=&quot;007E0E6B&quot;/&gt;&lt;wsp:rsid wsp:val=&quot;007E1401&quot;/&gt;&lt;wsp:rsid wsp:val=&quot;007E1C08&quot;/&gt;&lt;wsp:rsid wsp:val=&quot;007E260D&quot;/&gt;&lt;wsp:rsid wsp:val=&quot;007E2611&quot;/&gt;&lt;wsp:rsid wsp:val=&quot;007E2E37&quot;/&gt;&lt;wsp:rsid wsp:val=&quot;007E3029&quot;/&gt;&lt;wsp:rsid wsp:val=&quot;007E35C8&quot;/&gt;&lt;wsp:rsid wsp:val=&quot;007E36A6&quot;/&gt;&lt;wsp:rsid wsp:val=&quot;007E3A86&quot;/&gt;&lt;wsp:rsid wsp:val=&quot;007E3A8E&quot;/&gt;&lt;wsp:rsid wsp:val=&quot;007E3F41&quot;/&gt;&lt;wsp:rsid wsp:val=&quot;007E5B85&quot;/&gt;&lt;wsp:rsid wsp:val=&quot;007E637B&quot;/&gt;&lt;wsp:rsid wsp:val=&quot;007E6CD9&quot;/&gt;&lt;wsp:rsid wsp:val=&quot;007E7DC5&quot;/&gt;&lt;wsp:rsid wsp:val=&quot;007F0177&quot;/&gt;&lt;wsp:rsid wsp:val=&quot;007F0A89&quot;/&gt;&lt;wsp:rsid wsp:val=&quot;007F0C7F&quot;/&gt;&lt;wsp:rsid wsp:val=&quot;007F0DEC&quot;/&gt;&lt;wsp:rsid wsp:val=&quot;007F0E43&quot;/&gt;&lt;wsp:rsid wsp:val=&quot;007F1570&quot;/&gt;&lt;wsp:rsid wsp:val=&quot;007F17B0&quot;/&gt;&lt;wsp:rsid wsp:val=&quot;007F1B1D&quot;/&gt;&lt;wsp:rsid wsp:val=&quot;007F1BFB&quot;/&gt;&lt;wsp:rsid wsp:val=&quot;007F2552&quot;/&gt;&lt;wsp:rsid wsp:val=&quot;007F265E&quot;/&gt;&lt;wsp:rsid wsp:val=&quot;007F28A4&quot;/&gt;&lt;wsp:rsid wsp:val=&quot;007F3572&quot;/&gt;&lt;wsp:rsid wsp:val=&quot;007F367E&quot;/&gt;&lt;wsp:rsid wsp:val=&quot;007F45EF&quot;/&gt;&lt;wsp:rsid wsp:val=&quot;007F4863&quot;/&gt;&lt;wsp:rsid wsp:val=&quot;007F6E80&quot;/&gt;&lt;wsp:rsid wsp:val=&quot;007F7007&quot;/&gt;&lt;wsp:rsid wsp:val=&quot;007F72DF&quot;/&gt;&lt;wsp:rsid wsp:val=&quot;0080042D&quot;/&gt;&lt;wsp:rsid wsp:val=&quot;008007D5&quot;/&gt;&lt;wsp:rsid wsp:val=&quot;00800FD9&quot;/&gt;&lt;wsp:rsid wsp:val=&quot;0080118C&quot;/&gt;&lt;wsp:rsid wsp:val=&quot;00801BBD&quot;/&gt;&lt;wsp:rsid wsp:val=&quot;00801D4B&quot;/&gt;&lt;wsp:rsid wsp:val=&quot;00801F03&quot;/&gt;&lt;wsp:rsid wsp:val=&quot;00803434&quot;/&gt;&lt;wsp:rsid wsp:val=&quot;00803C56&quot;/&gt;&lt;wsp:rsid wsp:val=&quot;0080573A&quot;/&gt;&lt;wsp:rsid wsp:val=&quot;00805ACD&quot;/&gt;&lt;wsp:rsid wsp:val=&quot;0080665E&quot;/&gt;&lt;wsp:rsid wsp:val=&quot;00807533&quot;/&gt;&lt;wsp:rsid wsp:val=&quot;008100BB&quot;/&gt;&lt;wsp:rsid wsp:val=&quot;008102F4&quot;/&gt;&lt;wsp:rsid wsp:val=&quot;00810959&quot;/&gt;&lt;wsp:rsid wsp:val=&quot;00811C1A&quot;/&gt;&lt;wsp:rsid wsp:val=&quot;008127AD&quot;/&gt;&lt;wsp:rsid wsp:val=&quot;00816433&quot;/&gt;&lt;wsp:rsid wsp:val=&quot;008172F5&quot;/&gt;&lt;wsp:rsid wsp:val=&quot;0082042E&quot;/&gt;&lt;wsp:rsid wsp:val=&quot;00820549&quot;/&gt;&lt;wsp:rsid wsp:val=&quot;00820953&quot;/&gt;&lt;wsp:rsid wsp:val=&quot;008210B6&quot;/&gt;&lt;wsp:rsid wsp:val=&quot;00823B7D&quot;/&gt;&lt;wsp:rsid wsp:val=&quot;00823BB9&quot;/&gt;&lt;wsp:rsid wsp:val=&quot;008240E4&quot;/&gt;&lt;wsp:rsid wsp:val=&quot;008245D2&quot;/&gt;&lt;wsp:rsid wsp:val=&quot;008269E5&quot;/&gt;&lt;wsp:rsid wsp:val=&quot;008272BF&quot;/&gt;&lt;wsp:rsid wsp:val=&quot;00827A38&quot;/&gt;&lt;wsp:rsid wsp:val=&quot;00827DE3&quot;/&gt;&lt;wsp:rsid wsp:val=&quot;00830349&quot;/&gt;&lt;wsp:rsid wsp:val=&quot;00832046&quot;/&gt;&lt;wsp:rsid wsp:val=&quot;008322A7&quot;/&gt;&lt;wsp:rsid wsp:val=&quot;00832529&quot;/&gt;&lt;wsp:rsid wsp:val=&quot;0083307B&quot;/&gt;&lt;wsp:rsid wsp:val=&quot;0083326A&quot;/&gt;&lt;wsp:rsid wsp:val=&quot;0083398E&quot;/&gt;&lt;wsp:rsid wsp:val=&quot;00833EEA&quot;/&gt;&lt;wsp:rsid wsp:val=&quot;008342A3&quot;/&gt;&lt;wsp:rsid wsp:val=&quot;008349B8&quot;/&gt;&lt;wsp:rsid wsp:val=&quot;00834D38&quot;/&gt;&lt;wsp:rsid wsp:val=&quot;00834DAB&quot;/&gt;&lt;wsp:rsid wsp:val=&quot;00835474&quot;/&gt;&lt;wsp:rsid wsp:val=&quot;0083578C&quot;/&gt;&lt;wsp:rsid wsp:val=&quot;008363FF&quot;/&gt;&lt;wsp:rsid wsp:val=&quot;00836802&quot;/&gt;&lt;wsp:rsid wsp:val=&quot;00836BFD&quot;/&gt;&lt;wsp:rsid wsp:val=&quot;00836F33&quot;/&gt;&lt;wsp:rsid wsp:val=&quot;00837C97&quot;/&gt;&lt;wsp:rsid wsp:val=&quot;008403E5&quot;/&gt;&lt;wsp:rsid wsp:val=&quot;00840419&quot;/&gt;&lt;wsp:rsid wsp:val=&quot;008414F8&quot;/&gt;&lt;wsp:rsid wsp:val=&quot;00841EC2&quot;/&gt;&lt;wsp:rsid wsp:val=&quot;00841FEA&quot;/&gt;&lt;wsp:rsid wsp:val=&quot;008428B3&quot;/&gt;&lt;wsp:rsid wsp:val=&quot;00843857&quot;/&gt;&lt;wsp:rsid wsp:val=&quot;00844E6F&quot;/&gt;&lt;wsp:rsid wsp:val=&quot;00844F95&quot;/&gt;&lt;wsp:rsid wsp:val=&quot;00845E47&quot;/&gt;&lt;wsp:rsid wsp:val=&quot;008467BA&quot;/&gt;&lt;wsp:rsid wsp:val=&quot;00846B04&quot;/&gt;&lt;wsp:rsid wsp:val=&quot;008475BD&quot;/&gt;&lt;wsp:rsid wsp:val=&quot;008503C1&quot;/&gt;&lt;wsp:rsid wsp:val=&quot;00850A5C&quot;/&gt;&lt;wsp:rsid wsp:val=&quot;008525A1&quot;/&gt;&lt;wsp:rsid wsp:val=&quot;008527B2&quot;/&gt;&lt;wsp:rsid wsp:val=&quot;00854898&quot;/&gt;&lt;wsp:rsid wsp:val=&quot;008552F4&quot;/&gt;&lt;wsp:rsid wsp:val=&quot;0085635C&quot;/&gt;&lt;wsp:rsid wsp:val=&quot;00856ED3&quot;/&gt;&lt;wsp:rsid wsp:val=&quot;00857366&quot;/&gt;&lt;wsp:rsid wsp:val=&quot;0086045D&quot;/&gt;&lt;wsp:rsid wsp:val=&quot;008605FA&quot;/&gt;&lt;wsp:rsid wsp:val=&quot;00860A4B&quot;/&gt;&lt;wsp:rsid wsp:val=&quot;00861EAD&quot;/&gt;&lt;wsp:rsid wsp:val=&quot;008620BA&quot;/&gt;&lt;wsp:rsid wsp:val=&quot;00862BD0&quot;/&gt;&lt;wsp:rsid wsp:val=&quot;00862DCC&quot;/&gt;&lt;wsp:rsid wsp:val=&quot;00863F28&quot;/&gt;&lt;wsp:rsid wsp:val=&quot;00864230&quot;/&gt;&lt;wsp:rsid wsp:val=&quot;0086455C&quot;/&gt;&lt;wsp:rsid wsp:val=&quot;00864A75&quot;/&gt;&lt;wsp:rsid wsp:val=&quot;0086533A&quot;/&gt;&lt;wsp:rsid wsp:val=&quot;00865390&quot;/&gt;&lt;wsp:rsid wsp:val=&quot;008655E9&quot;/&gt;&lt;wsp:rsid wsp:val=&quot;00865F79&quot;/&gt;&lt;wsp:rsid wsp:val=&quot;00866917&quot;/&gt;&lt;wsp:rsid wsp:val=&quot;00867928&quot;/&gt;&lt;wsp:rsid wsp:val=&quot;0087020E&quot;/&gt;&lt;wsp:rsid wsp:val=&quot;00871D11&quot;/&gt;&lt;wsp:rsid wsp:val=&quot;00871FDA&quot;/&gt;&lt;wsp:rsid wsp:val=&quot;00872BA8&quot;/&gt;&lt;wsp:rsid wsp:val=&quot;00873CD0&quot;/&gt;&lt;wsp:rsid wsp:val=&quot;00874029&quot;/&gt;&lt;wsp:rsid wsp:val=&quot;00874312&quot;/&gt;&lt;wsp:rsid wsp:val=&quot;0087512A&quot;/&gt;&lt;wsp:rsid wsp:val=&quot;00875435&quot;/&gt;&lt;wsp:rsid wsp:val=&quot;00875565&quot;/&gt;&lt;wsp:rsid wsp:val=&quot;00875E75&quot;/&gt;&lt;wsp:rsid wsp:val=&quot;00875F58&quot;/&gt;&lt;wsp:rsid wsp:val=&quot;0087651F&quot;/&gt;&lt;wsp:rsid wsp:val=&quot;008765F8&quot;/&gt;&lt;wsp:rsid wsp:val=&quot;00877048&quot;/&gt;&lt;wsp:rsid wsp:val=&quot;00877725&quot;/&gt;&lt;wsp:rsid wsp:val=&quot;0087793F&quot;/&gt;&lt;wsp:rsid wsp:val=&quot;0088009C&quot;/&gt;&lt;wsp:rsid wsp:val=&quot;008807DB&quot;/&gt;&lt;wsp:rsid wsp:val=&quot;00883457&quot;/&gt;&lt;wsp:rsid wsp:val=&quot;008837BF&quot;/&gt;&lt;wsp:rsid wsp:val=&quot;00883B23&quot;/&gt;&lt;wsp:rsid wsp:val=&quot;00884B83&quot;/&gt;&lt;wsp:rsid wsp:val=&quot;0088587E&quot;/&gt;&lt;wsp:rsid wsp:val=&quot;00885989&quot;/&gt;&lt;wsp:rsid wsp:val=&quot;00885D44&quot;/&gt;&lt;wsp:rsid wsp:val=&quot;008860E8&quot;/&gt;&lt;wsp:rsid wsp:val=&quot;00886159&quot;/&gt;&lt;wsp:rsid wsp:val=&quot;00886267&quot;/&gt;&lt;wsp:rsid wsp:val=&quot;00886620&quot;/&gt;&lt;wsp:rsid wsp:val=&quot;00886E9B&quot;/&gt;&lt;wsp:rsid wsp:val=&quot;008874D7&quot;/&gt;&lt;wsp:rsid wsp:val=&quot;008916FF&quot;/&gt;&lt;wsp:rsid wsp:val=&quot;0089304E&quot;/&gt;&lt;wsp:rsid wsp:val=&quot;00894542&quot;/&gt;&lt;wsp:rsid wsp:val=&quot;00894B7D&quot;/&gt;&lt;wsp:rsid wsp:val=&quot;0089517E&quot;/&gt;&lt;wsp:rsid wsp:val=&quot;0089662D&quot;/&gt;&lt;wsp:rsid wsp:val=&quot;00897016&quot;/&gt;&lt;wsp:rsid wsp:val=&quot;008A0BAF&quot;/&gt;&lt;wsp:rsid wsp:val=&quot;008A0C4E&quot;/&gt;&lt;wsp:rsid wsp:val=&quot;008A0FC8&quot;/&gt;&lt;wsp:rsid wsp:val=&quot;008A11CD&quot;/&gt;&lt;wsp:rsid wsp:val=&quot;008A16F6&quot;/&gt;&lt;wsp:rsid wsp:val=&quot;008A1D8A&quot;/&gt;&lt;wsp:rsid wsp:val=&quot;008A27D5&quot;/&gt;&lt;wsp:rsid wsp:val=&quot;008A2DC1&quot;/&gt;&lt;wsp:rsid wsp:val=&quot;008A35F5&quot;/&gt;&lt;wsp:rsid wsp:val=&quot;008A37BF&quot;/&gt;&lt;wsp:rsid wsp:val=&quot;008A5140&quot;/&gt;&lt;wsp:rsid wsp:val=&quot;008A5E92&quot;/&gt;&lt;wsp:rsid wsp:val=&quot;008A6244&quot;/&gt;&lt;wsp:rsid wsp:val=&quot;008A6F0B&quot;/&gt;&lt;wsp:rsid wsp:val=&quot;008A73AA&quot;/&gt;&lt;wsp:rsid wsp:val=&quot;008A7BC0&quot;/&gt;&lt;wsp:rsid wsp:val=&quot;008B1155&quot;/&gt;&lt;wsp:rsid wsp:val=&quot;008B1296&quot;/&gt;&lt;wsp:rsid wsp:val=&quot;008B2B7E&quot;/&gt;&lt;wsp:rsid wsp:val=&quot;008B435D&quot;/&gt;&lt;wsp:rsid wsp:val=&quot;008B43DC&quot;/&gt;&lt;wsp:rsid wsp:val=&quot;008B47C3&quot;/&gt;&lt;wsp:rsid wsp:val=&quot;008B4E41&quot;/&gt;&lt;wsp:rsid wsp:val=&quot;008B52F0&quot;/&gt;&lt;wsp:rsid wsp:val=&quot;008B6149&quot;/&gt;&lt;wsp:rsid wsp:val=&quot;008B6452&quot;/&gt;&lt;wsp:rsid wsp:val=&quot;008B647C&quot;/&gt;&lt;wsp:rsid wsp:val=&quot;008B6FA4&quot;/&gt;&lt;wsp:rsid wsp:val=&quot;008B75AC&quot;/&gt;&lt;wsp:rsid wsp:val=&quot;008C059B&quot;/&gt;&lt;wsp:rsid wsp:val=&quot;008C1215&quot;/&gt;&lt;wsp:rsid wsp:val=&quot;008C1A9F&quot;/&gt;&lt;wsp:rsid wsp:val=&quot;008C1D01&quot;/&gt;&lt;wsp:rsid wsp:val=&quot;008C2727&quot;/&gt;&lt;wsp:rsid wsp:val=&quot;008C30C2&quot;/&gt;&lt;wsp:rsid wsp:val=&quot;008C341F&quot;/&gt;&lt;wsp:rsid wsp:val=&quot;008C36FD&quot;/&gt;&lt;wsp:rsid wsp:val=&quot;008C3831&quot;/&gt;&lt;wsp:rsid wsp:val=&quot;008C3AA3&quot;/&gt;&lt;wsp:rsid wsp:val=&quot;008C5053&quot;/&gt;&lt;wsp:rsid wsp:val=&quot;008C5A82&quot;/&gt;&lt;wsp:rsid wsp:val=&quot;008C6167&quot;/&gt;&lt;wsp:rsid wsp:val=&quot;008C6368&quot;/&gt;&lt;wsp:rsid wsp:val=&quot;008C66A0&quot;/&gt;&lt;wsp:rsid wsp:val=&quot;008C6BE6&quot;/&gt;&lt;wsp:rsid wsp:val=&quot;008C7694&quot;/&gt;&lt;wsp:rsid wsp:val=&quot;008C7F68&quot;/&gt;&lt;wsp:rsid wsp:val=&quot;008D00A0&quot;/&gt;&lt;wsp:rsid wsp:val=&quot;008D04F1&quot;/&gt;&lt;wsp:rsid wsp:val=&quot;008D05D5&quot;/&gt;&lt;wsp:rsid wsp:val=&quot;008D080D&quot;/&gt;&lt;wsp:rsid wsp:val=&quot;008D0957&quot;/&gt;&lt;wsp:rsid wsp:val=&quot;008D0C6B&quot;/&gt;&lt;wsp:rsid wsp:val=&quot;008D0CFE&quot;/&gt;&lt;wsp:rsid wsp:val=&quot;008D153F&quot;/&gt;&lt;wsp:rsid wsp:val=&quot;008D1D8F&quot;/&gt;&lt;wsp:rsid wsp:val=&quot;008D2323&quot;/&gt;&lt;wsp:rsid wsp:val=&quot;008D2B31&quot;/&gt;&lt;wsp:rsid wsp:val=&quot;008D3368&quot;/&gt;&lt;wsp:rsid wsp:val=&quot;008D3CBB&quot;/&gt;&lt;wsp:rsid wsp:val=&quot;008D4F21&quot;/&gt;&lt;wsp:rsid wsp:val=&quot;008D5C84&quot;/&gt;&lt;wsp:rsid wsp:val=&quot;008E01FB&quot;/&gt;&lt;wsp:rsid wsp:val=&quot;008E0799&quot;/&gt;&lt;wsp:rsid wsp:val=&quot;008E17AB&quot;/&gt;&lt;wsp:rsid wsp:val=&quot;008E25C1&quot;/&gt;&lt;wsp:rsid wsp:val=&quot;008E32DA&quot;/&gt;&lt;wsp:rsid wsp:val=&quot;008E3D03&quot;/&gt;&lt;wsp:rsid wsp:val=&quot;008E4428&quot;/&gt;&lt;wsp:rsid wsp:val=&quot;008E453E&quot;/&gt;&lt;wsp:rsid wsp:val=&quot;008E51A8&quot;/&gt;&lt;wsp:rsid wsp:val=&quot;008E5CFB&quot;/&gt;&lt;wsp:rsid wsp:val=&quot;008E5D96&quot;/&gt;&lt;wsp:rsid wsp:val=&quot;008E5DF6&quot;/&gt;&lt;wsp:rsid wsp:val=&quot;008E5E84&quot;/&gt;&lt;wsp:rsid wsp:val=&quot;008E5FD8&quot;/&gt;&lt;wsp:rsid wsp:val=&quot;008E6DF1&quot;/&gt;&lt;wsp:rsid wsp:val=&quot;008E732F&quot;/&gt;&lt;wsp:rsid wsp:val=&quot;008E7E67&quot;/&gt;&lt;wsp:rsid wsp:val=&quot;008F026C&quot;/&gt;&lt;wsp:rsid wsp:val=&quot;008F116C&quot;/&gt;&lt;wsp:rsid wsp:val=&quot;008F120E&quot;/&gt;&lt;wsp:rsid wsp:val=&quot;008F1AE9&quot;/&gt;&lt;wsp:rsid wsp:val=&quot;008F2E03&quot;/&gt;&lt;wsp:rsid wsp:val=&quot;008F39CA&quot;/&gt;&lt;wsp:rsid wsp:val=&quot;008F39E3&quot;/&gt;&lt;wsp:rsid wsp:val=&quot;008F4A88&quot;/&gt;&lt;wsp:rsid wsp:val=&quot;008F5520&quot;/&gt;&lt;wsp:rsid wsp:val=&quot;008F5625&quot;/&gt;&lt;wsp:rsid wsp:val=&quot;008F57CA&quot;/&gt;&lt;wsp:rsid wsp:val=&quot;008F5D21&quot;/&gt;&lt;wsp:rsid wsp:val=&quot;008F64CB&quot;/&gt;&lt;wsp:rsid wsp:val=&quot;008F71B1&quot;/&gt;&lt;wsp:rsid wsp:val=&quot;008F799A&quot;/&gt;&lt;wsp:rsid wsp:val=&quot;00900F91&quot;/&gt;&lt;wsp:rsid wsp:val=&quot;00901CE8&quot;/&gt;&lt;wsp:rsid wsp:val=&quot;00901E3B&quot;/&gt;&lt;wsp:rsid wsp:val=&quot;009022B5&quot;/&gt;&lt;wsp:rsid wsp:val=&quot;00902611&quot;/&gt;&lt;wsp:rsid wsp:val=&quot;00902A16&quot;/&gt;&lt;wsp:rsid wsp:val=&quot;00902ECF&quot;/&gt;&lt;wsp:rsid wsp:val=&quot;009035AA&quot;/&gt;&lt;wsp:rsid wsp:val=&quot;0090369A&quot;/&gt;&lt;wsp:rsid wsp:val=&quot;00904169&quot;/&gt;&lt;wsp:rsid wsp:val=&quot;009056ED&quot;/&gt;&lt;wsp:rsid wsp:val=&quot;0090650B&quot;/&gt;&lt;wsp:rsid wsp:val=&quot;00906554&quot;/&gt;&lt;wsp:rsid wsp:val=&quot;00906A17&quot;/&gt;&lt;wsp:rsid wsp:val=&quot;00906D0A&quot;/&gt;&lt;wsp:rsid wsp:val=&quot;0090768A&quot;/&gt;&lt;wsp:rsid wsp:val=&quot;0090784C&quot;/&gt;&lt;wsp:rsid wsp:val=&quot;00907B15&quot;/&gt;&lt;wsp:rsid wsp:val=&quot;00910823&quot;/&gt;&lt;wsp:rsid wsp:val=&quot;00911270&quot;/&gt;&lt;wsp:rsid wsp:val=&quot;009116B1&quot;/&gt;&lt;wsp:rsid wsp:val=&quot;0091178A&quot;/&gt;&lt;wsp:rsid wsp:val=&quot;00911B4A&quot;/&gt;&lt;wsp:rsid wsp:val=&quot;00911C6D&quot;/&gt;&lt;wsp:rsid wsp:val=&quot;00912862&quot;/&gt;&lt;wsp:rsid wsp:val=&quot;00912B61&quot;/&gt;&lt;wsp:rsid wsp:val=&quot;009131B1&quot;/&gt;&lt;wsp:rsid wsp:val=&quot;00913558&quot;/&gt;&lt;wsp:rsid wsp:val=&quot;00913592&quot;/&gt;&lt;wsp:rsid wsp:val=&quot;00913A5A&quot;/&gt;&lt;wsp:rsid wsp:val=&quot;00913D7E&quot;/&gt;&lt;wsp:rsid wsp:val=&quot;00915FD6&quot;/&gt;&lt;wsp:rsid wsp:val=&quot;009169A8&quot;/&gt;&lt;wsp:rsid wsp:val=&quot;00917302&quot;/&gt;&lt;wsp:rsid wsp:val=&quot;00917A52&quot;/&gt;&lt;wsp:rsid wsp:val=&quot;00920B56&quot;/&gt;&lt;wsp:rsid wsp:val=&quot;00920B94&quot;/&gt;&lt;wsp:rsid wsp:val=&quot;009211D2&quot;/&gt;&lt;wsp:rsid wsp:val=&quot;00921303&quot;/&gt;&lt;wsp:rsid wsp:val=&quot;00921A99&quot;/&gt;&lt;wsp:rsid wsp:val=&quot;009225E2&quot;/&gt;&lt;wsp:rsid wsp:val=&quot;00922AB8&quot;/&gt;&lt;wsp:rsid wsp:val=&quot;009230AF&quot;/&gt;&lt;wsp:rsid wsp:val=&quot;009240AA&quot;/&gt;&lt;wsp:rsid wsp:val=&quot;0092443D&quot;/&gt;&lt;wsp:rsid wsp:val=&quot;009255E2&quot;/&gt;&lt;wsp:rsid wsp:val=&quot;00925E87&quot;/&gt;&lt;wsp:rsid wsp:val=&quot;00925FA0&quot;/&gt;&lt;wsp:rsid wsp:val=&quot;0092613A&quot;/&gt;&lt;wsp:rsid wsp:val=&quot;00926512&quot;/&gt;&lt;wsp:rsid wsp:val=&quot;0092652F&quot;/&gt;&lt;wsp:rsid wsp:val=&quot;00926839&quot;/&gt;&lt;wsp:rsid wsp:val=&quot;00927AAD&quot;/&gt;&lt;wsp:rsid wsp:val=&quot;00930FE0&quot;/&gt;&lt;wsp:rsid wsp:val=&quot;00931D5B&quot;/&gt;&lt;wsp:rsid wsp:val=&quot;00932411&quot;/&gt;&lt;wsp:rsid wsp:val=&quot;009324C6&quot;/&gt;&lt;wsp:rsid wsp:val=&quot;00932E0C&quot;/&gt;&lt;wsp:rsid wsp:val=&quot;00933379&quot;/&gt;&lt;wsp:rsid wsp:val=&quot;00933C0C&quot;/&gt;&lt;wsp:rsid wsp:val=&quot;00934A2D&quot;/&gt;&lt;wsp:rsid wsp:val=&quot;00934CA6&quot;/&gt;&lt;wsp:rsid wsp:val=&quot;00934D6B&quot;/&gt;&lt;wsp:rsid wsp:val=&quot;00936131&quot;/&gt;&lt;wsp:rsid wsp:val=&quot;00936289&quot;/&gt;&lt;wsp:rsid wsp:val=&quot;00936724&quot;/&gt;&lt;wsp:rsid wsp:val=&quot;00936963&quot;/&gt;&lt;wsp:rsid wsp:val=&quot;00936C18&quot;/&gt;&lt;wsp:rsid wsp:val=&quot;00936EE7&quot;/&gt;&lt;wsp:rsid wsp:val=&quot;00936F4C&quot;/&gt;&lt;wsp:rsid wsp:val=&quot;009370EF&quot;/&gt;&lt;wsp:rsid wsp:val=&quot;009403AD&quot;/&gt;&lt;wsp:rsid wsp:val=&quot;00941E81&quot;/&gt;&lt;wsp:rsid wsp:val=&quot;00942118&quot;/&gt;&lt;wsp:rsid wsp:val=&quot;00942543&quot;/&gt;&lt;wsp:rsid wsp:val=&quot;00943FA0&quot;/&gt;&lt;wsp:rsid wsp:val=&quot;00944D9D&quot;/&gt;&lt;wsp:rsid wsp:val=&quot;00945718&quot;/&gt;&lt;wsp:rsid wsp:val=&quot;00945AFF&quot;/&gt;&lt;wsp:rsid wsp:val=&quot;00946391&quot;/&gt;&lt;wsp:rsid wsp:val=&quot;00946AA6&quot;/&gt;&lt;wsp:rsid wsp:val=&quot;00947BDC&quot;/&gt;&lt;wsp:rsid wsp:val=&quot;00951109&quot;/&gt;&lt;wsp:rsid wsp:val=&quot;00951549&quot;/&gt;&lt;wsp:rsid wsp:val=&quot;009517E8&quot;/&gt;&lt;wsp:rsid wsp:val=&quot;00951C30&quot;/&gt;&lt;wsp:rsid wsp:val=&quot;00952B88&quot;/&gt;&lt;wsp:rsid wsp:val=&quot;0095376D&quot;/&gt;&lt;wsp:rsid wsp:val=&quot;009539CF&quot;/&gt;&lt;wsp:rsid wsp:val=&quot;00953D10&quot;/&gt;&lt;wsp:rsid wsp:val=&quot;00954537&quot;/&gt;&lt;wsp:rsid wsp:val=&quot;00954798&quot;/&gt;&lt;wsp:rsid wsp:val=&quot;00954D45&quot;/&gt;&lt;wsp:rsid wsp:val=&quot;00954FC4&quot;/&gt;&lt;wsp:rsid wsp:val=&quot;009552B2&quot;/&gt;&lt;wsp:rsid wsp:val=&quot;00955B72&quot;/&gt;&lt;wsp:rsid wsp:val=&quot;00955FA8&quot;/&gt;&lt;wsp:rsid wsp:val=&quot;00956591&quot;/&gt;&lt;wsp:rsid wsp:val=&quot;009565B6&quot;/&gt;&lt;wsp:rsid wsp:val=&quot;00957336&quot;/&gt;&lt;wsp:rsid wsp:val=&quot;00957D4F&quot;/&gt;&lt;wsp:rsid wsp:val=&quot;009601FC&quot;/&gt;&lt;wsp:rsid wsp:val=&quot;00960A22&quot;/&gt;&lt;wsp:rsid wsp:val=&quot;00961C29&quot;/&gt;&lt;wsp:rsid wsp:val=&quot;00965F86&quot;/&gt;&lt;wsp:rsid wsp:val=&quot;00966333&quot;/&gt;&lt;wsp:rsid wsp:val=&quot;00966593&quot;/&gt;&lt;wsp:rsid wsp:val=&quot;00966C17&quot;/&gt;&lt;wsp:rsid wsp:val=&quot;009672CC&quot;/&gt;&lt;wsp:rsid wsp:val=&quot;00967FA3&quot;/&gt;&lt;wsp:rsid wsp:val=&quot;00970E33&quot;/&gt;&lt;wsp:rsid wsp:val=&quot;009711A8&quot;/&gt;&lt;wsp:rsid wsp:val=&quot;00971284&quot;/&gt;&lt;wsp:rsid wsp:val=&quot;0097185D&quot;/&gt;&lt;wsp:rsid wsp:val=&quot;00971B9A&quot;/&gt;&lt;wsp:rsid wsp:val=&quot;0097247A&quot;/&gt;&lt;wsp:rsid wsp:val=&quot;0097362C&quot;/&gt;&lt;wsp:rsid wsp:val=&quot;00973D18&quot;/&gt;&lt;wsp:rsid wsp:val=&quot;00973E9E&quot;/&gt;&lt;wsp:rsid wsp:val=&quot;00973EED&quot;/&gt;&lt;wsp:rsid wsp:val=&quot;0097474A&quot;/&gt;&lt;wsp:rsid wsp:val=&quot;009754D9&quot;/&gt;&lt;wsp:rsid wsp:val=&quot;00975AA4&quot;/&gt;&lt;wsp:rsid wsp:val=&quot;009778CB&quot;/&gt;&lt;wsp:rsid wsp:val=&quot;009802E9&quot;/&gt;&lt;wsp:rsid wsp:val=&quot;00980657&quot;/&gt;&lt;wsp:rsid wsp:val=&quot;00980A60&quot;/&gt;&lt;wsp:rsid wsp:val=&quot;00982642&quot;/&gt;&lt;wsp:rsid wsp:val=&quot;00982792&quot;/&gt;&lt;wsp:rsid wsp:val=&quot;00982AC1&quot;/&gt;&lt;wsp:rsid wsp:val=&quot;00982BBD&quot;/&gt;&lt;wsp:rsid wsp:val=&quot;009831E7&quot;/&gt;&lt;wsp:rsid wsp:val=&quot;009842F8&quot;/&gt;&lt;wsp:rsid wsp:val=&quot;00984B23&quot;/&gt;&lt;wsp:rsid wsp:val=&quot;0098527A&quot;/&gt;&lt;wsp:rsid wsp:val=&quot;00985561&quot;/&gt;&lt;wsp:rsid wsp:val=&quot;009859DE&quot;/&gt;&lt;wsp:rsid wsp:val=&quot;00985B63&quot;/&gt;&lt;wsp:rsid wsp:val=&quot;0098653E&quot;/&gt;&lt;wsp:rsid wsp:val=&quot;00986C52&quot;/&gt;&lt;wsp:rsid wsp:val=&quot;00987401&quot;/&gt;&lt;wsp:rsid wsp:val=&quot;0098787D&quot;/&gt;&lt;wsp:rsid wsp:val=&quot;009903F4&quot;/&gt;&lt;wsp:rsid wsp:val=&quot;00990A66&quot;/&gt;&lt;wsp:rsid wsp:val=&quot;00990D05&quot;/&gt;&lt;wsp:rsid wsp:val=&quot;00991021&quot;/&gt;&lt;wsp:rsid wsp:val=&quot;009919A4&quot;/&gt;&lt;wsp:rsid wsp:val=&quot;00991A96&quot;/&gt;&lt;wsp:rsid wsp:val=&quot;009933A6&quot;/&gt;&lt;wsp:rsid wsp:val=&quot;009941E8&quot;/&gt;&lt;wsp:rsid wsp:val=&quot;00995481&quot;/&gt;&lt;wsp:rsid wsp:val=&quot;0099597D&quot;/&gt;&lt;wsp:rsid wsp:val=&quot;00995ABD&quot;/&gt;&lt;wsp:rsid wsp:val=&quot;00996B2D&quot;/&gt;&lt;wsp:rsid wsp:val=&quot;009976F6&quot;/&gt;&lt;wsp:rsid wsp:val=&quot;009A03A8&quot;/&gt;&lt;wsp:rsid wsp:val=&quot;009A0BEA&quot;/&gt;&lt;wsp:rsid wsp:val=&quot;009A1C7F&quot;/&gt;&lt;wsp:rsid wsp:val=&quot;009A2EAD&quot;/&gt;&lt;wsp:rsid wsp:val=&quot;009A37DF&quot;/&gt;&lt;wsp:rsid wsp:val=&quot;009A3816&quot;/&gt;&lt;wsp:rsid wsp:val=&quot;009A4C5D&quot;/&gt;&lt;wsp:rsid wsp:val=&quot;009A4DF0&quot;/&gt;&lt;wsp:rsid wsp:val=&quot;009A5458&quot;/&gt;&lt;wsp:rsid wsp:val=&quot;009A682D&quot;/&gt;&lt;wsp:rsid wsp:val=&quot;009A792F&quot;/&gt;&lt;wsp:rsid wsp:val=&quot;009A798E&quot;/&gt;&lt;wsp:rsid wsp:val=&quot;009A7ECB&quot;/&gt;&lt;wsp:rsid wsp:val=&quot;009B0439&quot;/&gt;&lt;wsp:rsid wsp:val=&quot;009B0522&quot;/&gt;&lt;wsp:rsid wsp:val=&quot;009B0689&quot;/&gt;&lt;wsp:rsid wsp:val=&quot;009B0820&quot;/&gt;&lt;wsp:rsid wsp:val=&quot;009B0ED0&quot;/&gt;&lt;wsp:rsid wsp:val=&quot;009B226D&quot;/&gt;&lt;wsp:rsid wsp:val=&quot;009B2365&quot;/&gt;&lt;wsp:rsid wsp:val=&quot;009B3441&quot;/&gt;&lt;wsp:rsid wsp:val=&quot;009B3538&quot;/&gt;&lt;wsp:rsid wsp:val=&quot;009B3DA0&quot;/&gt;&lt;wsp:rsid wsp:val=&quot;009B5893&quot;/&gt;&lt;wsp:rsid wsp:val=&quot;009B64B4&quot;/&gt;&lt;wsp:rsid wsp:val=&quot;009B6B23&quot;/&gt;&lt;wsp:rsid wsp:val=&quot;009B7966&quot;/&gt;&lt;wsp:rsid wsp:val=&quot;009C06C7&quot;/&gt;&lt;wsp:rsid wsp:val=&quot;009C1130&quot;/&gt;&lt;wsp:rsid wsp:val=&quot;009C23CA&quot;/&gt;&lt;wsp:rsid wsp:val=&quot;009C2ABC&quot;/&gt;&lt;wsp:rsid wsp:val=&quot;009C34C3&quot;/&gt;&lt;wsp:rsid wsp:val=&quot;009C3AB4&quot;/&gt;&lt;wsp:rsid wsp:val=&quot;009C3B7F&quot;/&gt;&lt;wsp:rsid wsp:val=&quot;009C3BB1&quot;/&gt;&lt;wsp:rsid wsp:val=&quot;009C3C56&quot;/&gt;&lt;wsp:rsid wsp:val=&quot;009C45FE&quot;/&gt;&lt;wsp:rsid wsp:val=&quot;009C692C&quot;/&gt;&lt;wsp:rsid wsp:val=&quot;009C7E0D&quot;/&gt;&lt;wsp:rsid wsp:val=&quot;009D0620&quot;/&gt;&lt;wsp:rsid wsp:val=&quot;009D123A&quot;/&gt;&lt;wsp:rsid wsp:val=&quot;009D138A&quot;/&gt;&lt;wsp:rsid wsp:val=&quot;009D1C3C&quot;/&gt;&lt;wsp:rsid wsp:val=&quot;009D1D65&quot;/&gt;&lt;wsp:rsid wsp:val=&quot;009D1D89&quot;/&gt;&lt;wsp:rsid wsp:val=&quot;009D2436&quot;/&gt;&lt;wsp:rsid wsp:val=&quot;009D36DE&quot;/&gt;&lt;wsp:rsid wsp:val=&quot;009D3712&quot;/&gt;&lt;wsp:rsid wsp:val=&quot;009D3E74&quot;/&gt;&lt;wsp:rsid wsp:val=&quot;009D4B30&quot;/&gt;&lt;wsp:rsid wsp:val=&quot;009D4F67&quot;/&gt;&lt;wsp:rsid wsp:val=&quot;009D582C&quot;/&gt;&lt;wsp:rsid wsp:val=&quot;009D6A13&quot;/&gt;&lt;wsp:rsid wsp:val=&quot;009D6DE8&quot;/&gt;&lt;wsp:rsid wsp:val=&quot;009D7A49&quot;/&gt;&lt;wsp:rsid wsp:val=&quot;009D7EC5&quot;/&gt;&lt;wsp:rsid wsp:val=&quot;009D7EF2&quot;/&gt;&lt;wsp:rsid wsp:val=&quot;009E1A66&quot;/&gt;&lt;wsp:rsid wsp:val=&quot;009E1BEC&quot;/&gt;&lt;wsp:rsid wsp:val=&quot;009E1E94&quot;/&gt;&lt;wsp:rsid wsp:val=&quot;009E28C7&quot;/&gt;&lt;wsp:rsid wsp:val=&quot;009E28DF&quot;/&gt;&lt;wsp:rsid wsp:val=&quot;009E2BC4&quot;/&gt;&lt;wsp:rsid wsp:val=&quot;009E3526&quot;/&gt;&lt;wsp:rsid wsp:val=&quot;009E39F1&quot;/&gt;&lt;wsp:rsid wsp:val=&quot;009E40A0&quot;/&gt;&lt;wsp:rsid wsp:val=&quot;009E4D7B&quot;/&gt;&lt;wsp:rsid wsp:val=&quot;009E4D9A&quot;/&gt;&lt;wsp:rsid wsp:val=&quot;009E5066&quot;/&gt;&lt;wsp:rsid wsp:val=&quot;009E5135&quot;/&gt;&lt;wsp:rsid wsp:val=&quot;009E5B7F&quot;/&gt;&lt;wsp:rsid wsp:val=&quot;009E5F32&quot;/&gt;&lt;wsp:rsid wsp:val=&quot;009E62E4&quot;/&gt;&lt;wsp:rsid wsp:val=&quot;009E63DA&quot;/&gt;&lt;wsp:rsid wsp:val=&quot;009E6696&quot;/&gt;&lt;wsp:rsid wsp:val=&quot;009E68E0&quot;/&gt;&lt;wsp:rsid wsp:val=&quot;009E7185&quot;/&gt;&lt;wsp:rsid wsp:val=&quot;009E7324&quot;/&gt;&lt;wsp:rsid wsp:val=&quot;009E7997&quot;/&gt;&lt;wsp:rsid wsp:val=&quot;009F0498&quot;/&gt;&lt;wsp:rsid wsp:val=&quot;009F0E8E&quot;/&gt;&lt;wsp:rsid wsp:val=&quot;009F1052&quot;/&gt;&lt;wsp:rsid wsp:val=&quot;009F1F3B&quot;/&gt;&lt;wsp:rsid wsp:val=&quot;009F262B&quot;/&gt;&lt;wsp:rsid wsp:val=&quot;009F289E&quot;/&gt;&lt;wsp:rsid wsp:val=&quot;009F2A92&quot;/&gt;&lt;wsp:rsid wsp:val=&quot;009F2AC2&quot;/&gt;&lt;wsp:rsid wsp:val=&quot;009F2BBB&quot;/&gt;&lt;wsp:rsid wsp:val=&quot;009F4493&quot;/&gt;&lt;wsp:rsid wsp:val=&quot;009F469C&quot;/&gt;&lt;wsp:rsid wsp:val=&quot;009F4BF6&quot;/&gt;&lt;wsp:rsid wsp:val=&quot;009F4E3D&quot;/&gt;&lt;wsp:rsid wsp:val=&quot;009F5F16&quot;/&gt;&lt;wsp:rsid wsp:val=&quot;009F6107&quot;/&gt;&lt;wsp:rsid wsp:val=&quot;00A0011B&quot;/&gt;&lt;wsp:rsid wsp:val=&quot;00A00B87&quot;/&gt;&lt;wsp:rsid wsp:val=&quot;00A013C3&quot;/&gt;&lt;wsp:rsid wsp:val=&quot;00A01446&quot;/&gt;&lt;wsp:rsid wsp:val=&quot;00A02005&quot;/&gt;&lt;wsp:rsid wsp:val=&quot;00A03819&quot;/&gt;&lt;wsp:rsid wsp:val=&quot;00A05408&quot;/&gt;&lt;wsp:rsid wsp:val=&quot;00A055F0&quot;/&gt;&lt;wsp:rsid wsp:val=&quot;00A05672&quot;/&gt;&lt;wsp:rsid wsp:val=&quot;00A06557&quot;/&gt;&lt;wsp:rsid wsp:val=&quot;00A0687A&quot;/&gt;&lt;wsp:rsid wsp:val=&quot;00A06A24&quot;/&gt;&lt;wsp:rsid wsp:val=&quot;00A070EF&quot;/&gt;&lt;wsp:rsid wsp:val=&quot;00A077CD&quot;/&gt;&lt;wsp:rsid wsp:val=&quot;00A07BFA&quot;/&gt;&lt;wsp:rsid wsp:val=&quot;00A07C1B&quot;/&gt;&lt;wsp:rsid wsp:val=&quot;00A10452&quot;/&gt;&lt;wsp:rsid wsp:val=&quot;00A10863&quot;/&gt;&lt;wsp:rsid wsp:val=&quot;00A10EB6&quot;/&gt;&lt;wsp:rsid wsp:val=&quot;00A11752&quot;/&gt;&lt;wsp:rsid wsp:val=&quot;00A11A41&quot;/&gt;&lt;wsp:rsid wsp:val=&quot;00A122BA&quot;/&gt;&lt;wsp:rsid wsp:val=&quot;00A13926&quot;/&gt;&lt;wsp:rsid wsp:val=&quot;00A15340&quot;/&gt;&lt;wsp:rsid wsp:val=&quot;00A15CBE&quot;/&gt;&lt;wsp:rsid wsp:val=&quot;00A16348&quot;/&gt;&lt;wsp:rsid wsp:val=&quot;00A17E9D&quot;/&gt;&lt;wsp:rsid wsp:val=&quot;00A207EA&quot;/&gt;&lt;wsp:rsid wsp:val=&quot;00A22437&quot;/&gt;&lt;wsp:rsid wsp:val=&quot;00A22485&quot;/&gt;&lt;wsp:rsid wsp:val=&quot;00A22604&quot;/&gt;&lt;wsp:rsid wsp:val=&quot;00A22B0E&quot;/&gt;&lt;wsp:rsid wsp:val=&quot;00A231F8&quot;/&gt;&lt;wsp:rsid wsp:val=&quot;00A23A57&quot;/&gt;&lt;wsp:rsid wsp:val=&quot;00A23DDD&quot;/&gt;&lt;wsp:rsid wsp:val=&quot;00A23FE1&quot;/&gt;&lt;wsp:rsid wsp:val=&quot;00A2401E&quot;/&gt;&lt;wsp:rsid wsp:val=&quot;00A2501F&quot;/&gt;&lt;wsp:rsid wsp:val=&quot;00A25215&quot;/&gt;&lt;wsp:rsid wsp:val=&quot;00A254B6&quot;/&gt;&lt;wsp:rsid wsp:val=&quot;00A2577F&quot;/&gt;&lt;wsp:rsid wsp:val=&quot;00A26169&quot;/&gt;&lt;wsp:rsid wsp:val=&quot;00A261E9&quot;/&gt;&lt;wsp:rsid wsp:val=&quot;00A267E8&quot;/&gt;&lt;wsp:rsid wsp:val=&quot;00A306E4&quot;/&gt;&lt;wsp:rsid wsp:val=&quot;00A31156&quot;/&gt;&lt;wsp:rsid wsp:val=&quot;00A31F4B&quot;/&gt;&lt;wsp:rsid wsp:val=&quot;00A32D79&quot;/&gt;&lt;wsp:rsid wsp:val=&quot;00A33757&quot;/&gt;&lt;wsp:rsid wsp:val=&quot;00A33D3D&quot;/&gt;&lt;wsp:rsid wsp:val=&quot;00A33EE4&quot;/&gt;&lt;wsp:rsid wsp:val=&quot;00A34AAA&quot;/&gt;&lt;wsp:rsid wsp:val=&quot;00A34BF4&quot;/&gt;&lt;wsp:rsid wsp:val=&quot;00A35215&quot;/&gt;&lt;wsp:rsid wsp:val=&quot;00A35F82&quot;/&gt;&lt;wsp:rsid wsp:val=&quot;00A36834&quot;/&gt;&lt;wsp:rsid wsp:val=&quot;00A36F22&quot;/&gt;&lt;wsp:rsid wsp:val=&quot;00A3789B&quot;/&gt;&lt;wsp:rsid wsp:val=&quot;00A37E98&quot;/&gt;&lt;wsp:rsid wsp:val=&quot;00A4024E&quot;/&gt;&lt;wsp:rsid wsp:val=&quot;00A40925&quot;/&gt;&lt;wsp:rsid wsp:val=&quot;00A424BC&quot;/&gt;&lt;wsp:rsid wsp:val=&quot;00A428AB&quot;/&gt;&lt;wsp:rsid wsp:val=&quot;00A430D9&quot;/&gt;&lt;wsp:rsid wsp:val=&quot;00A43FBC&quot;/&gt;&lt;wsp:rsid wsp:val=&quot;00A44E7C&quot;/&gt;&lt;wsp:rsid wsp:val=&quot;00A45140&quot;/&gt;&lt;wsp:rsid wsp:val=&quot;00A45827&quot;/&gt;&lt;wsp:rsid wsp:val=&quot;00A46242&quot;/&gt;&lt;wsp:rsid wsp:val=&quot;00A465E0&quot;/&gt;&lt;wsp:rsid wsp:val=&quot;00A473DC&quot;/&gt;&lt;wsp:rsid wsp:val=&quot;00A51255&quot;/&gt;&lt;wsp:rsid wsp:val=&quot;00A51498&quot;/&gt;&lt;wsp:rsid wsp:val=&quot;00A51727&quot;/&gt;&lt;wsp:rsid wsp:val=&quot;00A525AF&quot;/&gt;&lt;wsp:rsid wsp:val=&quot;00A52803&quot;/&gt;&lt;wsp:rsid wsp:val=&quot;00A532AD&quot;/&gt;&lt;wsp:rsid wsp:val=&quot;00A5388C&quot;/&gt;&lt;wsp:rsid wsp:val=&quot;00A53E2F&quot;/&gt;&lt;wsp:rsid wsp:val=&quot;00A54292&quot;/&gt;&lt;wsp:rsid wsp:val=&quot;00A54EED&quot;/&gt;&lt;wsp:rsid wsp:val=&quot;00A54FF0&quot;/&gt;&lt;wsp:rsid wsp:val=&quot;00A5534E&quot;/&gt;&lt;wsp:rsid wsp:val=&quot;00A553D4&quot;/&gt;&lt;wsp:rsid wsp:val=&quot;00A5584C&quot;/&gt;&lt;wsp:rsid wsp:val=&quot;00A55BBE&quot;/&gt;&lt;wsp:rsid wsp:val=&quot;00A55E50&quot;/&gt;&lt;wsp:rsid wsp:val=&quot;00A572C7&quot;/&gt;&lt;wsp:rsid wsp:val=&quot;00A573EB&quot;/&gt;&lt;wsp:rsid wsp:val=&quot;00A57F7E&quot;/&gt;&lt;wsp:rsid wsp:val=&quot;00A607B6&quot;/&gt;&lt;wsp:rsid wsp:val=&quot;00A60FEE&quot;/&gt;&lt;wsp:rsid wsp:val=&quot;00A6108A&quot;/&gt;&lt;wsp:rsid wsp:val=&quot;00A61593&quot;/&gt;&lt;wsp:rsid wsp:val=&quot;00A61A35&quot;/&gt;&lt;wsp:rsid wsp:val=&quot;00A62CDB&quot;/&gt;&lt;wsp:rsid wsp:val=&quot;00A636C0&quot;/&gt;&lt;wsp:rsid wsp:val=&quot;00A63A4C&quot;/&gt;&lt;wsp:rsid wsp:val=&quot;00A64224&quot;/&gt;&lt;wsp:rsid wsp:val=&quot;00A64722&quot;/&gt;&lt;wsp:rsid wsp:val=&quot;00A64C9A&quot;/&gt;&lt;wsp:rsid wsp:val=&quot;00A65F7C&quot;/&gt;&lt;wsp:rsid wsp:val=&quot;00A66EB9&quot;/&gt;&lt;wsp:rsid wsp:val=&quot;00A703F1&quot;/&gt;&lt;wsp:rsid wsp:val=&quot;00A7091D&quot;/&gt;&lt;wsp:rsid wsp:val=&quot;00A70A88&quot;/&gt;&lt;wsp:rsid wsp:val=&quot;00A71156&quot;/&gt;&lt;wsp:rsid wsp:val=&quot;00A716D9&quot;/&gt;&lt;wsp:rsid wsp:val=&quot;00A71DCE&quot;/&gt;&lt;wsp:rsid wsp:val=&quot;00A72748&quot;/&gt;&lt;wsp:rsid wsp:val=&quot;00A7437C&quot;/&gt;&lt;wsp:rsid wsp:val=&quot;00A747EE&quot;/&gt;&lt;wsp:rsid wsp:val=&quot;00A74859&quot;/&gt;&lt;wsp:rsid wsp:val=&quot;00A766FA&quot;/&gt;&lt;wsp:rsid wsp:val=&quot;00A76D0F&quot;/&gt;&lt;wsp:rsid wsp:val=&quot;00A76D3B&quot;/&gt;&lt;wsp:rsid wsp:val=&quot;00A77209&quot;/&gt;&lt;wsp:rsid wsp:val=&quot;00A81784&quot;/&gt;&lt;wsp:rsid wsp:val=&quot;00A81E4D&quot;/&gt;&lt;wsp:rsid wsp:val=&quot;00A83116&quot;/&gt;&lt;wsp:rsid wsp:val=&quot;00A8320D&quot;/&gt;&lt;wsp:rsid wsp:val=&quot;00A8463E&quot;/&gt;&lt;wsp:rsid wsp:val=&quot;00A84863&quot;/&gt;&lt;wsp:rsid wsp:val=&quot;00A85E57&quot;/&gt;&lt;wsp:rsid wsp:val=&quot;00A86873&quot;/&gt;&lt;wsp:rsid wsp:val=&quot;00A86BBE&quot;/&gt;&lt;wsp:rsid wsp:val=&quot;00A905C0&quot;/&gt;&lt;wsp:rsid wsp:val=&quot;00A92450&quot;/&gt;&lt;wsp:rsid wsp:val=&quot;00A92A19&quot;/&gt;&lt;wsp:rsid wsp:val=&quot;00A92C9D&quot;/&gt;&lt;wsp:rsid wsp:val=&quot;00A93150&quot;/&gt;&lt;wsp:rsid wsp:val=&quot;00A936B2&quot;/&gt;&lt;wsp:rsid wsp:val=&quot;00A94144&quot;/&gt;&lt;wsp:rsid wsp:val=&quot;00A94CF4&quot;/&gt;&lt;wsp:rsid wsp:val=&quot;00A950A4&quot;/&gt;&lt;wsp:rsid wsp:val=&quot;00A96E45&quot;/&gt;&lt;wsp:rsid wsp:val=&quot;00A96FF5&quot;/&gt;&lt;wsp:rsid wsp:val=&quot;00A97601&quot;/&gt;&lt;wsp:rsid wsp:val=&quot;00A97C89&quot;/&gt;&lt;wsp:rsid wsp:val=&quot;00A97DA6&quot;/&gt;&lt;wsp:rsid wsp:val=&quot;00AA13DE&quot;/&gt;&lt;wsp:rsid wsp:val=&quot;00AA19A0&quot;/&gt;&lt;wsp:rsid wsp:val=&quot;00AA32AC&quot;/&gt;&lt;wsp:rsid wsp:val=&quot;00AA41B4&quot;/&gt;&lt;wsp:rsid wsp:val=&quot;00AA4A33&quot;/&gt;&lt;wsp:rsid wsp:val=&quot;00AA4E7D&quot;/&gt;&lt;wsp:rsid wsp:val=&quot;00AA6142&quot;/&gt;&lt;wsp:rsid wsp:val=&quot;00AA7A52&quot;/&gt;&lt;wsp:rsid wsp:val=&quot;00AB04D2&quot;/&gt;&lt;wsp:rsid wsp:val=&quot;00AB051A&quot;/&gt;&lt;wsp:rsid wsp:val=&quot;00AB059E&quot;/&gt;&lt;wsp:rsid wsp:val=&quot;00AB0C72&quot;/&gt;&lt;wsp:rsid wsp:val=&quot;00AB0E38&quot;/&gt;&lt;wsp:rsid wsp:val=&quot;00AB21CF&quot;/&gt;&lt;wsp:rsid wsp:val=&quot;00AB3325&quot;/&gt;&lt;wsp:rsid wsp:val=&quot;00AB4D45&quot;/&gt;&lt;wsp:rsid wsp:val=&quot;00AB7428&quot;/&gt;&lt;wsp:rsid wsp:val=&quot;00AB7B6B&quot;/&gt;&lt;wsp:rsid wsp:val=&quot;00AC2D5C&quot;/&gt;&lt;wsp:rsid wsp:val=&quot;00AC2DB1&quot;/&gt;&lt;wsp:rsid wsp:val=&quot;00AC3774&quot;/&gt;&lt;wsp:rsid wsp:val=&quot;00AC403B&quot;/&gt;&lt;wsp:rsid wsp:val=&quot;00AC424A&quot;/&gt;&lt;wsp:rsid wsp:val=&quot;00AC56B3&quot;/&gt;&lt;wsp:rsid wsp:val=&quot;00AC5796&quot;/&gt;&lt;wsp:rsid wsp:val=&quot;00AC5D77&quot;/&gt;&lt;wsp:rsid wsp:val=&quot;00AC6537&quot;/&gt;&lt;wsp:rsid wsp:val=&quot;00AC6C8D&quot;/&gt;&lt;wsp:rsid wsp:val=&quot;00AC6D7B&quot;/&gt;&lt;wsp:rsid wsp:val=&quot;00AC7AC8&quot;/&gt;&lt;wsp:rsid wsp:val=&quot;00AD0612&quot;/&gt;&lt;wsp:rsid wsp:val=&quot;00AD0AE8&quot;/&gt;&lt;wsp:rsid wsp:val=&quot;00AD1465&quot;/&gt;&lt;wsp:rsid wsp:val=&quot;00AD1B57&quot;/&gt;&lt;wsp:rsid wsp:val=&quot;00AD1D46&quot;/&gt;&lt;wsp:rsid wsp:val=&quot;00AD21A4&quot;/&gt;&lt;wsp:rsid wsp:val=&quot;00AD2D30&quot;/&gt;&lt;wsp:rsid wsp:val=&quot;00AD37F4&quot;/&gt;&lt;wsp:rsid wsp:val=&quot;00AD38A3&quot;/&gt;&lt;wsp:rsid wsp:val=&quot;00AD4E53&quot;/&gt;&lt;wsp:rsid wsp:val=&quot;00AD53AA&quot;/&gt;&lt;wsp:rsid wsp:val=&quot;00AD5856&quot;/&gt;&lt;wsp:rsid wsp:val=&quot;00AD6B33&quot;/&gt;&lt;wsp:rsid wsp:val=&quot;00AD6DA6&quot;/&gt;&lt;wsp:rsid wsp:val=&quot;00AD7FB4&quot;/&gt;&lt;wsp:rsid wsp:val=&quot;00AE0296&quot;/&gt;&lt;wsp:rsid wsp:val=&quot;00AE09E2&quot;/&gt;&lt;wsp:rsid wsp:val=&quot;00AE0D54&quot;/&gt;&lt;wsp:rsid wsp:val=&quot;00AE1775&quot;/&gt;&lt;wsp:rsid wsp:val=&quot;00AE19B8&quot;/&gt;&lt;wsp:rsid wsp:val=&quot;00AE1EC7&quot;/&gt;&lt;wsp:rsid wsp:val=&quot;00AE2B85&quot;/&gt;&lt;wsp:rsid wsp:val=&quot;00AE30EE&quot;/&gt;&lt;wsp:rsid wsp:val=&quot;00AE57BE&quot;/&gt;&lt;wsp:rsid wsp:val=&quot;00AE637F&quot;/&gt;&lt;wsp:rsid wsp:val=&quot;00AE6E1F&quot;/&gt;&lt;wsp:rsid wsp:val=&quot;00AE6F24&quot;/&gt;&lt;wsp:rsid wsp:val=&quot;00AE730A&quot;/&gt;&lt;wsp:rsid wsp:val=&quot;00AE7B83&quot;/&gt;&lt;wsp:rsid wsp:val=&quot;00AE7E0E&quot;/&gt;&lt;wsp:rsid wsp:val=&quot;00AE7FE1&quot;/&gt;&lt;wsp:rsid wsp:val=&quot;00AF0DA1&quot;/&gt;&lt;wsp:rsid wsp:val=&quot;00AF17E8&quot;/&gt;&lt;wsp:rsid wsp:val=&quot;00AF1DD9&quot;/&gt;&lt;wsp:rsid wsp:val=&quot;00AF21C6&quot;/&gt;&lt;wsp:rsid wsp:val=&quot;00AF33A3&quot;/&gt;&lt;wsp:rsid wsp:val=&quot;00AF3EE4&quot;/&gt;&lt;wsp:rsid wsp:val=&quot;00AF4752&quot;/&gt;&lt;wsp:rsid wsp:val=&quot;00AF516C&quot;/&gt;&lt;wsp:rsid wsp:val=&quot;00AF6884&quot;/&gt;&lt;wsp:rsid wsp:val=&quot;00AF6BF4&quot;/&gt;&lt;wsp:rsid wsp:val=&quot;00AF74E3&quot;/&gt;&lt;wsp:rsid wsp:val=&quot;00AF77FF&quot;/&gt;&lt;wsp:rsid wsp:val=&quot;00AF7D34&quot;/&gt;&lt;wsp:rsid wsp:val=&quot;00B002C2&quot;/&gt;&lt;wsp:rsid wsp:val=&quot;00B00EB8&quot;/&gt;&lt;wsp:rsid wsp:val=&quot;00B01C02&quot;/&gt;&lt;wsp:rsid wsp:val=&quot;00B02349&quot;/&gt;&lt;wsp:rsid wsp:val=&quot;00B02B4F&quot;/&gt;&lt;wsp:rsid wsp:val=&quot;00B032E7&quot;/&gt;&lt;wsp:rsid wsp:val=&quot;00B036C9&quot;/&gt;&lt;wsp:rsid wsp:val=&quot;00B04151&quot;/&gt;&lt;wsp:rsid wsp:val=&quot;00B043D2&quot;/&gt;&lt;wsp:rsid wsp:val=&quot;00B0574C&quot;/&gt;&lt;wsp:rsid wsp:val=&quot;00B05AC0&quot;/&gt;&lt;wsp:rsid wsp:val=&quot;00B05AEC&quot;/&gt;&lt;wsp:rsid wsp:val=&quot;00B06D5D&quot;/&gt;&lt;wsp:rsid wsp:val=&quot;00B077F2&quot;/&gt;&lt;wsp:rsid wsp:val=&quot;00B07A4C&quot;/&gt;&lt;wsp:rsid wsp:val=&quot;00B10093&quot;/&gt;&lt;wsp:rsid wsp:val=&quot;00B100AA&quot;/&gt;&lt;wsp:rsid wsp:val=&quot;00B10516&quot;/&gt;&lt;wsp:rsid wsp:val=&quot;00B10AAE&quot;/&gt;&lt;wsp:rsid wsp:val=&quot;00B10C6C&quot;/&gt;&lt;wsp:rsid wsp:val=&quot;00B10C97&quot;/&gt;&lt;wsp:rsid wsp:val=&quot;00B1194E&quot;/&gt;&lt;wsp:rsid wsp:val=&quot;00B1364A&quot;/&gt;&lt;wsp:rsid wsp:val=&quot;00B1442D&quot;/&gt;&lt;wsp:rsid wsp:val=&quot;00B153A8&quot;/&gt;&lt;wsp:rsid wsp:val=&quot;00B162FB&quot;/&gt;&lt;wsp:rsid wsp:val=&quot;00B16E2F&quot;/&gt;&lt;wsp:rsid wsp:val=&quot;00B17172&quot;/&gt;&lt;wsp:rsid wsp:val=&quot;00B20442&quot;/&gt;&lt;wsp:rsid wsp:val=&quot;00B20574&quot;/&gt;&lt;wsp:rsid wsp:val=&quot;00B2082D&quot;/&gt;&lt;wsp:rsid wsp:val=&quot;00B209A6&quot;/&gt;&lt;wsp:rsid wsp:val=&quot;00B20D29&quot;/&gt;&lt;wsp:rsid wsp:val=&quot;00B20D3B&quot;/&gt;&lt;wsp:rsid wsp:val=&quot;00B24098&quot;/&gt;&lt;wsp:rsid wsp:val=&quot;00B243B9&quot;/&gt;&lt;wsp:rsid wsp:val=&quot;00B25881&quot;/&gt;&lt;wsp:rsid wsp:val=&quot;00B25966&quot;/&gt;&lt;wsp:rsid wsp:val=&quot;00B260DC&quot;/&gt;&lt;wsp:rsid wsp:val=&quot;00B269E0&quot;/&gt;&lt;wsp:rsid wsp:val=&quot;00B26CC2&quot;/&gt;&lt;wsp:rsid wsp:val=&quot;00B27422&quot;/&gt;&lt;wsp:rsid wsp:val=&quot;00B30842&quot;/&gt;&lt;wsp:rsid wsp:val=&quot;00B31843&quot;/&gt;&lt;wsp:rsid wsp:val=&quot;00B32BC1&quot;/&gt;&lt;wsp:rsid wsp:val=&quot;00B33501&quot;/&gt;&lt;wsp:rsid wsp:val=&quot;00B3447F&quot;/&gt;&lt;wsp:rsid wsp:val=&quot;00B346A2&quot;/&gt;&lt;wsp:rsid wsp:val=&quot;00B35B10&quot;/&gt;&lt;wsp:rsid wsp:val=&quot;00B35D25&quot;/&gt;&lt;wsp:rsid wsp:val=&quot;00B36C6C&quot;/&gt;&lt;wsp:rsid wsp:val=&quot;00B36E8A&quot;/&gt;&lt;wsp:rsid wsp:val=&quot;00B4234B&quot;/&gt;&lt;wsp:rsid wsp:val=&quot;00B42EBC&quot;/&gt;&lt;wsp:rsid wsp:val=&quot;00B4382A&quot;/&gt;&lt;wsp:rsid wsp:val=&quot;00B45CA6&quot;/&gt;&lt;wsp:rsid wsp:val=&quot;00B45D3F&quot;/&gt;&lt;wsp:rsid wsp:val=&quot;00B45FC3&quot;/&gt;&lt;wsp:rsid wsp:val=&quot;00B461C9&quot;/&gt;&lt;wsp:rsid wsp:val=&quot;00B46511&quot;/&gt;&lt;wsp:rsid wsp:val=&quot;00B47104&quot;/&gt;&lt;wsp:rsid wsp:val=&quot;00B478A9&quot;/&gt;&lt;wsp:rsid wsp:val=&quot;00B5287A&quot;/&gt;&lt;wsp:rsid wsp:val=&quot;00B53026&quot;/&gt;&lt;wsp:rsid wsp:val=&quot;00B54779&quot;/&gt;&lt;wsp:rsid wsp:val=&quot;00B5488F&quot;/&gt;&lt;wsp:rsid wsp:val=&quot;00B55546&quot;/&gt;&lt;wsp:rsid wsp:val=&quot;00B55F4C&quot;/&gt;&lt;wsp:rsid wsp:val=&quot;00B56470&quot;/&gt;&lt;wsp:rsid wsp:val=&quot;00B565C4&quot;/&gt;&lt;wsp:rsid wsp:val=&quot;00B56C64&quot;/&gt;&lt;wsp:rsid wsp:val=&quot;00B56D98&quot;/&gt;&lt;wsp:rsid wsp:val=&quot;00B57277&quot;/&gt;&lt;wsp:rsid wsp:val=&quot;00B578AB&quot;/&gt;&lt;wsp:rsid wsp:val=&quot;00B60677&quot;/&gt;&lt;wsp:rsid wsp:val=&quot;00B60AEA&quot;/&gt;&lt;wsp:rsid wsp:val=&quot;00B60D74&quot;/&gt;&lt;wsp:rsid wsp:val=&quot;00B60E65&quot;/&gt;&lt;wsp:rsid wsp:val=&quot;00B6105F&quot;/&gt;&lt;wsp:rsid wsp:val=&quot;00B6160B&quot;/&gt;&lt;wsp:rsid wsp:val=&quot;00B625F7&quot;/&gt;&lt;wsp:rsid wsp:val=&quot;00B62A67&quot;/&gt;&lt;wsp:rsid wsp:val=&quot;00B64252&quot;/&gt;&lt;wsp:rsid wsp:val=&quot;00B643A1&quot;/&gt;&lt;wsp:rsid wsp:val=&quot;00B643A7&quot;/&gt;&lt;wsp:rsid wsp:val=&quot;00B650E1&quot;/&gt;&lt;wsp:rsid wsp:val=&quot;00B65577&quot;/&gt;&lt;wsp:rsid wsp:val=&quot;00B65E2D&quot;/&gt;&lt;wsp:rsid wsp:val=&quot;00B65E4C&quot;/&gt;&lt;wsp:rsid wsp:val=&quot;00B67518&quot;/&gt;&lt;wsp:rsid wsp:val=&quot;00B71695&quot;/&gt;&lt;wsp:rsid wsp:val=&quot;00B73106&quot;/&gt;&lt;wsp:rsid wsp:val=&quot;00B74D12&quot;/&gt;&lt;wsp:rsid wsp:val=&quot;00B75110&quot;/&gt;&lt;wsp:rsid wsp:val=&quot;00B7573E&quot;/&gt;&lt;wsp:rsid wsp:val=&quot;00B75FE4&quot;/&gt;&lt;wsp:rsid wsp:val=&quot;00B76C05&quot;/&gt;&lt;wsp:rsid wsp:val=&quot;00B76E7B&quot;/&gt;&lt;wsp:rsid wsp:val=&quot;00B7723E&quot;/&gt;&lt;wsp:rsid wsp:val=&quot;00B77BD1&quot;/&gt;&lt;wsp:rsid wsp:val=&quot;00B77F2E&quot;/&gt;&lt;wsp:rsid wsp:val=&quot;00B8012E&quot;/&gt;&lt;wsp:rsid wsp:val=&quot;00B80351&quot;/&gt;&lt;wsp:rsid wsp:val=&quot;00B80D1F&quot;/&gt;&lt;wsp:rsid wsp:val=&quot;00B81B44&quot;/&gt;&lt;wsp:rsid wsp:val=&quot;00B82225&quot;/&gt;&lt;wsp:rsid wsp:val=&quot;00B82898&quot;/&gt;&lt;wsp:rsid wsp:val=&quot;00B84E16&quot;/&gt;&lt;wsp:rsid wsp:val=&quot;00B8504B&quot;/&gt;&lt;wsp:rsid wsp:val=&quot;00B86092&quot;/&gt;&lt;wsp:rsid wsp:val=&quot;00B86FDC&quot;/&gt;&lt;wsp:rsid wsp:val=&quot;00B8773C&quot;/&gt;&lt;wsp:rsid wsp:val=&quot;00B9059B&quot;/&gt;&lt;wsp:rsid wsp:val=&quot;00B90CC9&quot;/&gt;&lt;wsp:rsid wsp:val=&quot;00B90D1B&quot;/&gt;&lt;wsp:rsid wsp:val=&quot;00B913C4&quot;/&gt;&lt;wsp:rsid wsp:val=&quot;00B914C3&quot;/&gt;&lt;wsp:rsid wsp:val=&quot;00B9163E&quot;/&gt;&lt;wsp:rsid wsp:val=&quot;00B91785&quot;/&gt;&lt;wsp:rsid wsp:val=&quot;00B9204B&quot;/&gt;&lt;wsp:rsid wsp:val=&quot;00B93E93&quot;/&gt;&lt;wsp:rsid wsp:val=&quot;00B940D0&quot;/&gt;&lt;wsp:rsid wsp:val=&quot;00B95453&quot;/&gt;&lt;wsp:rsid wsp:val=&quot;00B95A4C&quot;/&gt;&lt;wsp:rsid wsp:val=&quot;00B95DAC&quot;/&gt;&lt;wsp:rsid wsp:val=&quot;00B961DC&quot;/&gt;&lt;wsp:rsid wsp:val=&quot;00B962CD&quot;/&gt;&lt;wsp:rsid wsp:val=&quot;00B9668C&quot;/&gt;&lt;wsp:rsid wsp:val=&quot;00B9670A&quot;/&gt;&lt;wsp:rsid wsp:val=&quot;00B979A9&quot;/&gt;&lt;wsp:rsid wsp:val=&quot;00BA0046&quot;/&gt;&lt;wsp:rsid wsp:val=&quot;00BA0A81&quot;/&gt;&lt;wsp:rsid wsp:val=&quot;00BA215A&quot;/&gt;&lt;wsp:rsid wsp:val=&quot;00BA28FF&quot;/&gt;&lt;wsp:rsid wsp:val=&quot;00BA36A5&quot;/&gt;&lt;wsp:rsid wsp:val=&quot;00BA44E1&quot;/&gt;&lt;wsp:rsid wsp:val=&quot;00BA4541&quot;/&gt;&lt;wsp:rsid wsp:val=&quot;00BA49C8&quot;/&gt;&lt;wsp:rsid wsp:val=&quot;00BA4C32&quot;/&gt;&lt;wsp:rsid wsp:val=&quot;00BA5497&quot;/&gt;&lt;wsp:rsid wsp:val=&quot;00BA6148&quot;/&gt;&lt;wsp:rsid wsp:val=&quot;00BA6343&quot;/&gt;&lt;wsp:rsid wsp:val=&quot;00BA63A6&quot;/&gt;&lt;wsp:rsid wsp:val=&quot;00BA6482&quot;/&gt;&lt;wsp:rsid wsp:val=&quot;00BA74BC&quot;/&gt;&lt;wsp:rsid wsp:val=&quot;00BB010D&quot;/&gt;&lt;wsp:rsid wsp:val=&quot;00BB057D&quot;/&gt;&lt;wsp:rsid wsp:val=&quot;00BB0C59&quot;/&gt;&lt;wsp:rsid wsp:val=&quot;00BB2801&quot;/&gt;&lt;wsp:rsid wsp:val=&quot;00BB293D&quot;/&gt;&lt;wsp:rsid wsp:val=&quot;00BB34F1&quot;/&gt;&lt;wsp:rsid wsp:val=&quot;00BB35D1&quot;/&gt;&lt;wsp:rsid wsp:val=&quot;00BB4096&quot;/&gt;&lt;wsp:rsid wsp:val=&quot;00BB415E&quot;/&gt;&lt;wsp:rsid wsp:val=&quot;00BB449F&quot;/&gt;&lt;wsp:rsid wsp:val=&quot;00BB4716&quot;/&gt;&lt;wsp:rsid wsp:val=&quot;00BB472A&quot;/&gt;&lt;wsp:rsid wsp:val=&quot;00BB49F2&quot;/&gt;&lt;wsp:rsid wsp:val=&quot;00BB49F9&quot;/&gt;&lt;wsp:rsid wsp:val=&quot;00BB4CFC&quot;/&gt;&lt;wsp:rsid wsp:val=&quot;00BB6BCD&quot;/&gt;&lt;wsp:rsid wsp:val=&quot;00BB7E8B&quot;/&gt;&lt;wsp:rsid wsp:val=&quot;00BC0BD7&quot;/&gt;&lt;wsp:rsid wsp:val=&quot;00BC0BE7&quot;/&gt;&lt;wsp:rsid wsp:val=&quot;00BC1B0C&quot;/&gt;&lt;wsp:rsid wsp:val=&quot;00BC1FE7&quot;/&gt;&lt;wsp:rsid wsp:val=&quot;00BC3344&quot;/&gt;&lt;wsp:rsid wsp:val=&quot;00BC3BD6&quot;/&gt;&lt;wsp:rsid wsp:val=&quot;00BC4157&quot;/&gt;&lt;wsp:rsid wsp:val=&quot;00BC45CF&quot;/&gt;&lt;wsp:rsid wsp:val=&quot;00BC4627&quot;/&gt;&lt;wsp:rsid wsp:val=&quot;00BC4D85&quot;/&gt;&lt;wsp:rsid wsp:val=&quot;00BC4FBD&quot;/&gt;&lt;wsp:rsid wsp:val=&quot;00BC5649&quot;/&gt;&lt;wsp:rsid wsp:val=&quot;00BC5E60&quot;/&gt;&lt;wsp:rsid wsp:val=&quot;00BC602F&quot;/&gt;&lt;wsp:rsid wsp:val=&quot;00BC78C7&quot;/&gt;&lt;wsp:rsid wsp:val=&quot;00BD1398&quot;/&gt;&lt;wsp:rsid wsp:val=&quot;00BD1614&quot;/&gt;&lt;wsp:rsid wsp:val=&quot;00BD1909&quot;/&gt;&lt;wsp:rsid wsp:val=&quot;00BD2C4B&quot;/&gt;&lt;wsp:rsid wsp:val=&quot;00BD3205&quot;/&gt;&lt;wsp:rsid wsp:val=&quot;00BD384F&quot;/&gt;&lt;wsp:rsid wsp:val=&quot;00BD3F3D&quot;/&gt;&lt;wsp:rsid wsp:val=&quot;00BD42A4&quot;/&gt;&lt;wsp:rsid wsp:val=&quot;00BD4329&quot;/&gt;&lt;wsp:rsid wsp:val=&quot;00BD66FA&quot;/&gt;&lt;wsp:rsid wsp:val=&quot;00BD68AD&quot;/&gt;&lt;wsp:rsid wsp:val=&quot;00BD6E31&quot;/&gt;&lt;wsp:rsid wsp:val=&quot;00BD7276&quot;/&gt;&lt;wsp:rsid wsp:val=&quot;00BD72D9&quot;/&gt;&lt;wsp:rsid wsp:val=&quot;00BD7EA8&quot;/&gt;&lt;wsp:rsid wsp:val=&quot;00BE0230&quot;/&gt;&lt;wsp:rsid wsp:val=&quot;00BE0502&quot;/&gt;&lt;wsp:rsid wsp:val=&quot;00BE0555&quot;/&gt;&lt;wsp:rsid wsp:val=&quot;00BE098D&quot;/&gt;&lt;wsp:rsid wsp:val=&quot;00BE1523&quot;/&gt;&lt;wsp:rsid wsp:val=&quot;00BE299E&quot;/&gt;&lt;wsp:rsid wsp:val=&quot;00BE345E&quot;/&gt;&lt;wsp:rsid wsp:val=&quot;00BE3F04&quot;/&gt;&lt;wsp:rsid wsp:val=&quot;00BE3F7E&quot;/&gt;&lt;wsp:rsid wsp:val=&quot;00BE4A63&quot;/&gt;&lt;wsp:rsid wsp:val=&quot;00BE5453&quot;/&gt;&lt;wsp:rsid wsp:val=&quot;00BE558A&quot;/&gt;&lt;wsp:rsid wsp:val=&quot;00BE5866&quot;/&gt;&lt;wsp:rsid wsp:val=&quot;00BE59CE&quot;/&gt;&lt;wsp:rsid wsp:val=&quot;00BE5B0F&quot;/&gt;&lt;wsp:rsid wsp:val=&quot;00BE5ED0&quot;/&gt;&lt;wsp:rsid wsp:val=&quot;00BE754E&quot;/&gt;&lt;wsp:rsid wsp:val=&quot;00BE7731&quot;/&gt;&lt;wsp:rsid wsp:val=&quot;00BF01E6&quot;/&gt;&lt;wsp:rsid wsp:val=&quot;00BF02DD&quot;/&gt;&lt;wsp:rsid wsp:val=&quot;00BF0F97&quot;/&gt;&lt;wsp:rsid wsp:val=&quot;00BF1564&quot;/&gt;&lt;wsp:rsid wsp:val=&quot;00BF283B&quot;/&gt;&lt;wsp:rsid wsp:val=&quot;00BF2E6D&quot;/&gt;&lt;wsp:rsid wsp:val=&quot;00BF2E9C&quot;/&gt;&lt;wsp:rsid wsp:val=&quot;00BF3171&quot;/&gt;&lt;wsp:rsid wsp:val=&quot;00BF39E9&quot;/&gt;&lt;wsp:rsid wsp:val=&quot;00BF3C3E&quot;/&gt;&lt;wsp:rsid wsp:val=&quot;00BF3C41&quot;/&gt;&lt;wsp:rsid wsp:val=&quot;00BF5277&quot;/&gt;&lt;wsp:rsid wsp:val=&quot;00BF57F0&quot;/&gt;&lt;wsp:rsid wsp:val=&quot;00BF7E82&quot;/&gt;&lt;wsp:rsid wsp:val=&quot;00C00918&quot;/&gt;&lt;wsp:rsid wsp:val=&quot;00C00A93&quot;/&gt;&lt;wsp:rsid wsp:val=&quot;00C02E25&quot;/&gt;&lt;wsp:rsid wsp:val=&quot;00C031C6&quot;/&gt;&lt;wsp:rsid wsp:val=&quot;00C0329F&quot;/&gt;&lt;wsp:rsid wsp:val=&quot;00C04129&quot;/&gt;&lt;wsp:rsid wsp:val=&quot;00C0429F&quot;/&gt;&lt;wsp:rsid wsp:val=&quot;00C045BB&quot;/&gt;&lt;wsp:rsid wsp:val=&quot;00C05A9D&quot;/&gt;&lt;wsp:rsid wsp:val=&quot;00C05AC8&quot;/&gt;&lt;wsp:rsid wsp:val=&quot;00C05CAA&quot;/&gt;&lt;wsp:rsid wsp:val=&quot;00C06050&quot;/&gt;&lt;wsp:rsid wsp:val=&quot;00C06D95&quot;/&gt;&lt;wsp:rsid wsp:val=&quot;00C07AC5&quot;/&gt;&lt;wsp:rsid wsp:val=&quot;00C104E2&quot;/&gt;&lt;wsp:rsid wsp:val=&quot;00C110BD&quot;/&gt;&lt;wsp:rsid wsp:val=&quot;00C11805&quot;/&gt;&lt;wsp:rsid wsp:val=&quot;00C119DD&quot;/&gt;&lt;wsp:rsid wsp:val=&quot;00C124EB&quot;/&gt;&lt;wsp:rsid wsp:val=&quot;00C12BC9&quot;/&gt;&lt;wsp:rsid wsp:val=&quot;00C12FAA&quot;/&gt;&lt;wsp:rsid wsp:val=&quot;00C1379B&quot;/&gt;&lt;wsp:rsid wsp:val=&quot;00C14031&quot;/&gt;&lt;wsp:rsid wsp:val=&quot;00C144F4&quot;/&gt;&lt;wsp:rsid wsp:val=&quot;00C15E42&quot;/&gt;&lt;wsp:rsid wsp:val=&quot;00C174CD&quot;/&gt;&lt;wsp:rsid wsp:val=&quot;00C2015D&quot;/&gt;&lt;wsp:rsid wsp:val=&quot;00C20901&quot;/&gt;&lt;wsp:rsid wsp:val=&quot;00C20B2B&quot;/&gt;&lt;wsp:rsid wsp:val=&quot;00C20EC1&quot;/&gt;&lt;wsp:rsid wsp:val=&quot;00C21086&quot;/&gt;&lt;wsp:rsid wsp:val=&quot;00C21802&quot;/&gt;&lt;wsp:rsid wsp:val=&quot;00C21845&quot;/&gt;&lt;wsp:rsid wsp:val=&quot;00C21D72&quot;/&gt;&lt;wsp:rsid wsp:val=&quot;00C2250A&quot;/&gt;&lt;wsp:rsid wsp:val=&quot;00C23598&quot;/&gt;&lt;wsp:rsid wsp:val=&quot;00C23DEA&quot;/&gt;&lt;wsp:rsid wsp:val=&quot;00C24593&quot;/&gt;&lt;wsp:rsid wsp:val=&quot;00C245BE&quot;/&gt;&lt;wsp:rsid wsp:val=&quot;00C24DF8&quot;/&gt;&lt;wsp:rsid wsp:val=&quot;00C263C6&quot;/&gt;&lt;wsp:rsid wsp:val=&quot;00C275C8&quot;/&gt;&lt;wsp:rsid wsp:val=&quot;00C30055&quot;/&gt;&lt;wsp:rsid wsp:val=&quot;00C304A3&quot;/&gt;&lt;wsp:rsid wsp:val=&quot;00C307D4&quot;/&gt;&lt;wsp:rsid wsp:val=&quot;00C30AB2&quot;/&gt;&lt;wsp:rsid wsp:val=&quot;00C314D1&quot;/&gt;&lt;wsp:rsid wsp:val=&quot;00C32060&quot;/&gt;&lt;wsp:rsid wsp:val=&quot;00C32918&quot;/&gt;&lt;wsp:rsid wsp:val=&quot;00C33108&quot;/&gt;&lt;wsp:rsid wsp:val=&quot;00C34267&quot;/&gt;&lt;wsp:rsid wsp:val=&quot;00C343AE&quot;/&gt;&lt;wsp:rsid wsp:val=&quot;00C34D8A&quot;/&gt;&lt;wsp:rsid wsp:val=&quot;00C35499&quot;/&gt;&lt;wsp:rsid wsp:val=&quot;00C35834&quot;/&gt;&lt;wsp:rsid wsp:val=&quot;00C367CF&quot;/&gt;&lt;wsp:rsid wsp:val=&quot;00C40760&quot;/&gt;&lt;wsp:rsid wsp:val=&quot;00C41F94&quot;/&gt;&lt;wsp:rsid wsp:val=&quot;00C42D67&quot;/&gt;&lt;wsp:rsid wsp:val=&quot;00C434C3&quot;/&gt;&lt;wsp:rsid wsp:val=&quot;00C438BB&quot;/&gt;&lt;wsp:rsid wsp:val=&quot;00C439F1&quot;/&gt;&lt;wsp:rsid wsp:val=&quot;00C4435D&quot;/&gt;&lt;wsp:rsid wsp:val=&quot;00C444F7&quot;/&gt;&lt;wsp:rsid wsp:val=&quot;00C44BD0&quot;/&gt;&lt;wsp:rsid wsp:val=&quot;00C452C1&quot;/&gt;&lt;wsp:rsid wsp:val=&quot;00C45AF4&quot;/&gt;&lt;wsp:rsid wsp:val=&quot;00C4634A&quot;/&gt;&lt;wsp:rsid wsp:val=&quot;00C46379&quot;/&gt;&lt;wsp:rsid wsp:val=&quot;00C46A09&quot;/&gt;&lt;wsp:rsid wsp:val=&quot;00C471DD&quot;/&gt;&lt;wsp:rsid wsp:val=&quot;00C47BFF&quot;/&gt;&lt;wsp:rsid wsp:val=&quot;00C47DD0&quot;/&gt;&lt;wsp:rsid wsp:val=&quot;00C5056E&quot;/&gt;&lt;wsp:rsid wsp:val=&quot;00C521F9&quot;/&gt;&lt;wsp:rsid wsp:val=&quot;00C52845&quot;/&gt;&lt;wsp:rsid wsp:val=&quot;00C52C34&quot;/&gt;&lt;wsp:rsid wsp:val=&quot;00C54539&quot;/&gt;&lt;wsp:rsid wsp:val=&quot;00C547B1&quot;/&gt;&lt;wsp:rsid wsp:val=&quot;00C54AB4&quot;/&gt;&lt;wsp:rsid wsp:val=&quot;00C551A6&quot;/&gt;&lt;wsp:rsid wsp:val=&quot;00C558D4&quot;/&gt;&lt;wsp:rsid wsp:val=&quot;00C55FED&quot;/&gt;&lt;wsp:rsid wsp:val=&quot;00C56DA8&quot;/&gt;&lt;wsp:rsid wsp:val=&quot;00C5723B&quot;/&gt;&lt;wsp:rsid wsp:val=&quot;00C576BC&quot;/&gt;&lt;wsp:rsid wsp:val=&quot;00C5781B&quot;/&gt;&lt;wsp:rsid wsp:val=&quot;00C5796D&quot;/&gt;&lt;wsp:rsid wsp:val=&quot;00C57A04&quot;/&gt;&lt;wsp:rsid wsp:val=&quot;00C57AC6&quot;/&gt;&lt;wsp:rsid wsp:val=&quot;00C6027B&quot;/&gt;&lt;wsp:rsid wsp:val=&quot;00C60690&quot;/&gt;&lt;wsp:rsid wsp:val=&quot;00C60747&quot;/&gt;&lt;wsp:rsid wsp:val=&quot;00C6126B&quot;/&gt;&lt;wsp:rsid wsp:val=&quot;00C616D6&quot;/&gt;&lt;wsp:rsid wsp:val=&quot;00C618D7&quot;/&gt;&lt;wsp:rsid wsp:val=&quot;00C6229F&quot;/&gt;&lt;wsp:rsid wsp:val=&quot;00C62344&quot;/&gt;&lt;wsp:rsid wsp:val=&quot;00C62836&quot;/&gt;&lt;wsp:rsid wsp:val=&quot;00C62E77&quot;/&gt;&lt;wsp:rsid wsp:val=&quot;00C64C46&quot;/&gt;&lt;wsp:rsid wsp:val=&quot;00C65B76&quot;/&gt;&lt;wsp:rsid wsp:val=&quot;00C65CDE&quot;/&gt;&lt;wsp:rsid wsp:val=&quot;00C65DAB&quot;/&gt;&lt;wsp:rsid wsp:val=&quot;00C66238&quot;/&gt;&lt;wsp:rsid wsp:val=&quot;00C66800&quot;/&gt;&lt;wsp:rsid wsp:val=&quot;00C66CE0&quot;/&gt;&lt;wsp:rsid wsp:val=&quot;00C675FC&quot;/&gt;&lt;wsp:rsid wsp:val=&quot;00C67D3E&quot;/&gt;&lt;wsp:rsid wsp:val=&quot;00C70236&quot;/&gt;&lt;wsp:rsid wsp:val=&quot;00C70265&quot;/&gt;&lt;wsp:rsid wsp:val=&quot;00C702A3&quot;/&gt;&lt;wsp:rsid wsp:val=&quot;00C7063A&quot;/&gt;&lt;wsp:rsid wsp:val=&quot;00C70E62&quot;/&gt;&lt;wsp:rsid wsp:val=&quot;00C7189B&quot;/&gt;&lt;wsp:rsid wsp:val=&quot;00C720BD&quot;/&gt;&lt;wsp:rsid wsp:val=&quot;00C73C75&quot;/&gt;&lt;wsp:rsid wsp:val=&quot;00C73CF7&quot;/&gt;&lt;wsp:rsid wsp:val=&quot;00C74F8F&quot;/&gt;&lt;wsp:rsid wsp:val=&quot;00C75375&quot;/&gt;&lt;wsp:rsid wsp:val=&quot;00C75C98&quot;/&gt;&lt;wsp:rsid wsp:val=&quot;00C76CB2&quot;/&gt;&lt;wsp:rsid wsp:val=&quot;00C7705C&quot;/&gt;&lt;wsp:rsid wsp:val=&quot;00C80069&quot;/&gt;&lt;wsp:rsid wsp:val=&quot;00C80357&quot;/&gt;&lt;wsp:rsid wsp:val=&quot;00C810AE&quot;/&gt;&lt;wsp:rsid wsp:val=&quot;00C81A9A&quot;/&gt;&lt;wsp:rsid wsp:val=&quot;00C81CC0&quot;/&gt;&lt;wsp:rsid wsp:val=&quot;00C81D63&quot;/&gt;&lt;wsp:rsid wsp:val=&quot;00C82142&quot;/&gt;&lt;wsp:rsid wsp:val=&quot;00C828AC&quot;/&gt;&lt;wsp:rsid wsp:val=&quot;00C82EC7&quot;/&gt;&lt;wsp:rsid wsp:val=&quot;00C83463&quot;/&gt;&lt;wsp:rsid wsp:val=&quot;00C83483&quot;/&gt;&lt;wsp:rsid wsp:val=&quot;00C83825&quot;/&gt;&lt;wsp:rsid wsp:val=&quot;00C83AE8&quot;/&gt;&lt;wsp:rsid wsp:val=&quot;00C83FD4&quot;/&gt;&lt;wsp:rsid wsp:val=&quot;00C86043&quot;/&gt;&lt;wsp:rsid wsp:val=&quot;00C866E1&quot;/&gt;&lt;wsp:rsid wsp:val=&quot;00C870C7&quot;/&gt;&lt;wsp:rsid wsp:val=&quot;00C8763E&quot;/&gt;&lt;wsp:rsid wsp:val=&quot;00C87995&quot;/&gt;&lt;wsp:rsid wsp:val=&quot;00C905DC&quot;/&gt;&lt;wsp:rsid wsp:val=&quot;00C9076D&quot;/&gt;&lt;wsp:rsid wsp:val=&quot;00C90A0F&quot;/&gt;&lt;wsp:rsid wsp:val=&quot;00C914F1&quot;/&gt;&lt;wsp:rsid wsp:val=&quot;00C9278E&quot;/&gt;&lt;wsp:rsid wsp:val=&quot;00C929DE&quot;/&gt;&lt;wsp:rsid wsp:val=&quot;00C94191&quot;/&gt;&lt;wsp:rsid wsp:val=&quot;00C9458F&quot;/&gt;&lt;wsp:rsid wsp:val=&quot;00C9521F&quot;/&gt;&lt;wsp:rsid wsp:val=&quot;00C9544F&quot;/&gt;&lt;wsp:rsid wsp:val=&quot;00C957E0&quot;/&gt;&lt;wsp:rsid wsp:val=&quot;00C95EAA&quot;/&gt;&lt;wsp:rsid wsp:val=&quot;00C96655&quot;/&gt;&lt;wsp:rsid wsp:val=&quot;00C96B62&quot;/&gt;&lt;wsp:rsid wsp:val=&quot;00C97469&quot;/&gt;&lt;wsp:rsid wsp:val=&quot;00C976AA&quot;/&gt;&lt;wsp:rsid wsp:val=&quot;00CA04DB&quot;/&gt;&lt;wsp:rsid wsp:val=&quot;00CA0E91&quot;/&gt;&lt;wsp:rsid wsp:val=&quot;00CA0EF0&quot;/&gt;&lt;wsp:rsid wsp:val=&quot;00CA0F2C&quot;/&gt;&lt;wsp:rsid wsp:val=&quot;00CA15F9&quot;/&gt;&lt;wsp:rsid wsp:val=&quot;00CA17A7&quot;/&gt;&lt;wsp:rsid wsp:val=&quot;00CA2933&quot;/&gt;&lt;wsp:rsid wsp:val=&quot;00CA32B4&quot;/&gt;&lt;wsp:rsid wsp:val=&quot;00CA32E8&quot;/&gt;&lt;wsp:rsid wsp:val=&quot;00CA34BA&quot;/&gt;&lt;wsp:rsid wsp:val=&quot;00CA3BC7&quot;/&gt;&lt;wsp:rsid wsp:val=&quot;00CA42F8&quot;/&gt;&lt;wsp:rsid wsp:val=&quot;00CA4573&quot;/&gt;&lt;wsp:rsid wsp:val=&quot;00CA47A8&quot;/&gt;&lt;wsp:rsid wsp:val=&quot;00CA47E4&quot;/&gt;&lt;wsp:rsid wsp:val=&quot;00CA4850&quot;/&gt;&lt;wsp:rsid wsp:val=&quot;00CA4870&quot;/&gt;&lt;wsp:rsid wsp:val=&quot;00CA50BE&quot;/&gt;&lt;wsp:rsid wsp:val=&quot;00CA616E&quot;/&gt;&lt;wsp:rsid wsp:val=&quot;00CA61C6&quot;/&gt;&lt;wsp:rsid wsp:val=&quot;00CA646D&quot;/&gt;&lt;wsp:rsid wsp:val=&quot;00CA6BB8&quot;/&gt;&lt;wsp:rsid wsp:val=&quot;00CA745B&quot;/&gt;&lt;wsp:rsid wsp:val=&quot;00CA75CD&quot;/&gt;&lt;wsp:rsid wsp:val=&quot;00CA7ABA&quot;/&gt;&lt;wsp:rsid wsp:val=&quot;00CA7FCD&quot;/&gt;&lt;wsp:rsid wsp:val=&quot;00CB00EB&quot;/&gt;&lt;wsp:rsid wsp:val=&quot;00CB0213&quot;/&gt;&lt;wsp:rsid wsp:val=&quot;00CB0656&quot;/&gt;&lt;wsp:rsid wsp:val=&quot;00CB0F03&quot;/&gt;&lt;wsp:rsid wsp:val=&quot;00CB187A&quot;/&gt;&lt;wsp:rsid wsp:val=&quot;00CB224B&quot;/&gt;&lt;wsp:rsid wsp:val=&quot;00CB2DC8&quot;/&gt;&lt;wsp:rsid wsp:val=&quot;00CB3DF4&quot;/&gt;&lt;wsp:rsid wsp:val=&quot;00CB3E7F&quot;/&gt;&lt;wsp:rsid wsp:val=&quot;00CB42D0&quot;/&gt;&lt;wsp:rsid wsp:val=&quot;00CB440B&quot;/&gt;&lt;wsp:rsid wsp:val=&quot;00CB5B32&quot;/&gt;&lt;wsp:rsid wsp:val=&quot;00CC0D22&quot;/&gt;&lt;wsp:rsid wsp:val=&quot;00CC1161&quot;/&gt;&lt;wsp:rsid wsp:val=&quot;00CC2234&quot;/&gt;&lt;wsp:rsid wsp:val=&quot;00CC31D8&quot;/&gt;&lt;wsp:rsid wsp:val=&quot;00CC3698&quot;/&gt;&lt;wsp:rsid wsp:val=&quot;00CC389B&quot;/&gt;&lt;wsp:rsid wsp:val=&quot;00CC3DE4&quot;/&gt;&lt;wsp:rsid wsp:val=&quot;00CC4C30&quot;/&gt;&lt;wsp:rsid wsp:val=&quot;00CC51EC&quot;/&gt;&lt;wsp:rsid wsp:val=&quot;00CC520A&quot;/&gt;&lt;wsp:rsid wsp:val=&quot;00CC638D&quot;/&gt;&lt;wsp:rsid wsp:val=&quot;00CC7947&quot;/&gt;&lt;wsp:rsid wsp:val=&quot;00CD0392&quot;/&gt;&lt;wsp:rsid wsp:val=&quot;00CD0709&quot;/&gt;&lt;wsp:rsid wsp:val=&quot;00CD1565&quot;/&gt;&lt;wsp:rsid wsp:val=&quot;00CD26ED&quot;/&gt;&lt;wsp:rsid wsp:val=&quot;00CD2805&quot;/&gt;&lt;wsp:rsid wsp:val=&quot;00CD2A98&quot;/&gt;&lt;wsp:rsid wsp:val=&quot;00CD3289&quot;/&gt;&lt;wsp:rsid wsp:val=&quot;00CD32A5&quot;/&gt;&lt;wsp:rsid wsp:val=&quot;00CD461D&quot;/&gt;&lt;wsp:rsid wsp:val=&quot;00CD4A31&quot;/&gt;&lt;wsp:rsid wsp:val=&quot;00CD5C8F&quot;/&gt;&lt;wsp:rsid wsp:val=&quot;00CD62D1&quot;/&gt;&lt;wsp:rsid wsp:val=&quot;00CD6C8D&quot;/&gt;&lt;wsp:rsid wsp:val=&quot;00CD765E&quot;/&gt;&lt;wsp:rsid wsp:val=&quot;00CD7BEB&quot;/&gt;&lt;wsp:rsid wsp:val=&quot;00CD7EBA&quot;/&gt;&lt;wsp:rsid wsp:val=&quot;00CE0926&quot;/&gt;&lt;wsp:rsid wsp:val=&quot;00CE1565&quot;/&gt;&lt;wsp:rsid wsp:val=&quot;00CE29DE&quot;/&gt;&lt;wsp:rsid wsp:val=&quot;00CE2C15&quot;/&gt;&lt;wsp:rsid wsp:val=&quot;00CE44AF&quot;/&gt;&lt;wsp:rsid wsp:val=&quot;00CE4B70&quot;/&gt;&lt;wsp:rsid wsp:val=&quot;00CE4B93&quot;/&gt;&lt;wsp:rsid wsp:val=&quot;00CE595B&quot;/&gt;&lt;wsp:rsid wsp:val=&quot;00CE5D2A&quot;/&gt;&lt;wsp:rsid wsp:val=&quot;00CE6830&quot;/&gt;&lt;wsp:rsid wsp:val=&quot;00CE70A2&quot;/&gt;&lt;wsp:rsid wsp:val=&quot;00CF1766&quot;/&gt;&lt;wsp:rsid wsp:val=&quot;00CF23BC&quot;/&gt;&lt;wsp:rsid wsp:val=&quot;00CF2C37&quot;/&gt;&lt;wsp:rsid wsp:val=&quot;00CF305D&quot;/&gt;&lt;wsp:rsid wsp:val=&quot;00CF3201&quot;/&gt;&lt;wsp:rsid wsp:val=&quot;00CF3E69&quot;/&gt;&lt;wsp:rsid wsp:val=&quot;00CF3FA3&quot;/&gt;&lt;wsp:rsid wsp:val=&quot;00CF4A52&quot;/&gt;&lt;wsp:rsid wsp:val=&quot;00CF4C70&quot;/&gt;&lt;wsp:rsid wsp:val=&quot;00CF5DD8&quot;/&gt;&lt;wsp:rsid wsp:val=&quot;00CF624F&quot;/&gt;&lt;wsp:rsid wsp:val=&quot;00CF6A29&quot;/&gt;&lt;wsp:rsid wsp:val=&quot;00CF7986&quot;/&gt;&lt;wsp:rsid wsp:val=&quot;00CF7AFA&quot;/&gt;&lt;wsp:rsid wsp:val=&quot;00CF7FA5&quot;/&gt;&lt;wsp:rsid wsp:val=&quot;00D00B39&quot;/&gt;&lt;wsp:rsid wsp:val=&quot;00D00F81&quot;/&gt;&lt;wsp:rsid wsp:val=&quot;00D012A0&quot;/&gt;&lt;wsp:rsid wsp:val=&quot;00D03F82&quot;/&gt;&lt;wsp:rsid wsp:val=&quot;00D04429&quot;/&gt;&lt;wsp:rsid wsp:val=&quot;00D046D9&quot;/&gt;&lt;wsp:rsid wsp:val=&quot;00D071AD&quot;/&gt;&lt;wsp:rsid wsp:val=&quot;00D07365&quot;/&gt;&lt;wsp:rsid wsp:val=&quot;00D0787A&quot;/&gt;&lt;wsp:rsid wsp:val=&quot;00D10450&quot;/&gt;&lt;wsp:rsid wsp:val=&quot;00D105C5&quot;/&gt;&lt;wsp:rsid wsp:val=&quot;00D1104A&quot;/&gt;&lt;wsp:rsid wsp:val=&quot;00D11FF2&quot;/&gt;&lt;wsp:rsid wsp:val=&quot;00D1215B&quot;/&gt;&lt;wsp:rsid wsp:val=&quot;00D12545&quot;/&gt;&lt;wsp:rsid wsp:val=&quot;00D12DE9&quot;/&gt;&lt;wsp:rsid wsp:val=&quot;00D13C1A&quot;/&gt;&lt;wsp:rsid wsp:val=&quot;00D153CD&quot;/&gt;&lt;wsp:rsid wsp:val=&quot;00D15D19&quot;/&gt;&lt;wsp:rsid wsp:val=&quot;00D16B7E&quot;/&gt;&lt;wsp:rsid wsp:val=&quot;00D200A3&quot;/&gt;&lt;wsp:rsid wsp:val=&quot;00D22813&quot;/&gt;&lt;wsp:rsid wsp:val=&quot;00D24106&quot;/&gt;&lt;wsp:rsid wsp:val=&quot;00D25428&quot;/&gt;&lt;wsp:rsid wsp:val=&quot;00D25809&quot;/&gt;&lt;wsp:rsid wsp:val=&quot;00D2663B&quot;/&gt;&lt;wsp:rsid wsp:val=&quot;00D27A83&quot;/&gt;&lt;wsp:rsid wsp:val=&quot;00D27B85&quot;/&gt;&lt;wsp:rsid wsp:val=&quot;00D30A2E&quot;/&gt;&lt;wsp:rsid wsp:val=&quot;00D316E6&quot;/&gt;&lt;wsp:rsid wsp:val=&quot;00D31954&quot;/&gt;&lt;wsp:rsid wsp:val=&quot;00D33870&quot;/&gt;&lt;wsp:rsid wsp:val=&quot;00D33C4A&quot;/&gt;&lt;wsp:rsid wsp:val=&quot;00D34B9E&quot;/&gt;&lt;wsp:rsid wsp:val=&quot;00D34E6A&quot;/&gt;&lt;wsp:rsid wsp:val=&quot;00D34EC6&quot;/&gt;&lt;wsp:rsid wsp:val=&quot;00D35394&quot;/&gt;&lt;wsp:rsid wsp:val=&quot;00D35780&quot;/&gt;&lt;wsp:rsid wsp:val=&quot;00D35CE6&quot;/&gt;&lt;wsp:rsid wsp:val=&quot;00D37BE4&quot;/&gt;&lt;wsp:rsid wsp:val=&quot;00D400A0&quot;/&gt;&lt;wsp:rsid wsp:val=&quot;00D4111D&quot;/&gt;&lt;wsp:rsid wsp:val=&quot;00D423B1&quot;/&gt;&lt;wsp:rsid wsp:val=&quot;00D42BA9&quot;/&gt;&lt;wsp:rsid wsp:val=&quot;00D43336&quot;/&gt;&lt;wsp:rsid wsp:val=&quot;00D43BCD&quot;/&gt;&lt;wsp:rsid wsp:val=&quot;00D44214&quot;/&gt;&lt;wsp:rsid wsp:val=&quot;00D44FF3&quot;/&gt;&lt;wsp:rsid wsp:val=&quot;00D45309&quot;/&gt;&lt;wsp:rsid wsp:val=&quot;00D45DEE&quot;/&gt;&lt;wsp:rsid wsp:val=&quot;00D4616B&quot;/&gt;&lt;wsp:rsid wsp:val=&quot;00D47E90&quot;/&gt;&lt;wsp:rsid wsp:val=&quot;00D50721&quot;/&gt;&lt;wsp:rsid wsp:val=&quot;00D52252&quot;/&gt;&lt;wsp:rsid wsp:val=&quot;00D525A1&quot;/&gt;&lt;wsp:rsid wsp:val=&quot;00D54609&quot;/&gt;&lt;wsp:rsid wsp:val=&quot;00D552FF&quot;/&gt;&lt;wsp:rsid wsp:val=&quot;00D55AE7&quot;/&gt;&lt;wsp:rsid wsp:val=&quot;00D56678&quot;/&gt;&lt;wsp:rsid wsp:val=&quot;00D5724B&quot;/&gt;&lt;wsp:rsid wsp:val=&quot;00D57424&quot;/&gt;&lt;wsp:rsid wsp:val=&quot;00D61D70&quot;/&gt;&lt;wsp:rsid wsp:val=&quot;00D61F4F&quot;/&gt;&lt;wsp:rsid wsp:val=&quot;00D620AF&quot;/&gt;&lt;wsp:rsid wsp:val=&quot;00D638A3&quot;/&gt;&lt;wsp:rsid wsp:val=&quot;00D65362&quot;/&gt;&lt;wsp:rsid wsp:val=&quot;00D65A9E&quot;/&gt;&lt;wsp:rsid wsp:val=&quot;00D660A7&quot;/&gt;&lt;wsp:rsid wsp:val=&quot;00D660F2&quot;/&gt;&lt;wsp:rsid wsp:val=&quot;00D66396&quot;/&gt;&lt;wsp:rsid wsp:val=&quot;00D66B61&quot;/&gt;&lt;wsp:rsid wsp:val=&quot;00D66FBB&quot;/&gt;&lt;wsp:rsid wsp:val=&quot;00D67A42&quot;/&gt;&lt;wsp:rsid wsp:val=&quot;00D67D82&quot;/&gt;&lt;wsp:rsid wsp:val=&quot;00D67E65&quot;/&gt;&lt;wsp:rsid wsp:val=&quot;00D71268&quot;/&gt;&lt;wsp:rsid wsp:val=&quot;00D71D2A&quot;/&gt;&lt;wsp:rsid wsp:val=&quot;00D72520&quot;/&gt;&lt;wsp:rsid wsp:val=&quot;00D729D1&quot;/&gt;&lt;wsp:rsid wsp:val=&quot;00D7348B&quot;/&gt;&lt;wsp:rsid wsp:val=&quot;00D734F3&quot;/&gt;&lt;wsp:rsid wsp:val=&quot;00D73502&quot;/&gt;&lt;wsp:rsid wsp:val=&quot;00D73C98&quot;/&gt;&lt;wsp:rsid wsp:val=&quot;00D73D39&quot;/&gt;&lt;wsp:rsid wsp:val=&quot;00D73F8D&quot;/&gt;&lt;wsp:rsid wsp:val=&quot;00D740AF&quot;/&gt;&lt;wsp:rsid wsp:val=&quot;00D74FCD&quot;/&gt;&lt;wsp:rsid wsp:val=&quot;00D75B74&quot;/&gt;&lt;wsp:rsid wsp:val=&quot;00D765F6&quot;/&gt;&lt;wsp:rsid wsp:val=&quot;00D76EFE&quot;/&gt;&lt;wsp:rsid wsp:val=&quot;00D778DF&quot;/&gt;&lt;wsp:rsid wsp:val=&quot;00D77C57&quot;/&gt;&lt;wsp:rsid wsp:val=&quot;00D77ECB&quot;/&gt;&lt;wsp:rsid wsp:val=&quot;00D80092&quot;/&gt;&lt;wsp:rsid wsp:val=&quot;00D803C3&quot;/&gt;&lt;wsp:rsid wsp:val=&quot;00D80A81&quot;/&gt;&lt;wsp:rsid wsp:val=&quot;00D81C96&quot;/&gt;&lt;wsp:rsid wsp:val=&quot;00D8267D&quot;/&gt;&lt;wsp:rsid wsp:val=&quot;00D82CDD&quot;/&gt;&lt;wsp:rsid wsp:val=&quot;00D8488A&quot;/&gt;&lt;wsp:rsid wsp:val=&quot;00D84DD9&quot;/&gt;&lt;wsp:rsid wsp:val=&quot;00D8523F&quot;/&gt;&lt;wsp:rsid wsp:val=&quot;00D85B95&quot;/&gt;&lt;wsp:rsid wsp:val=&quot;00D85FE3&quot;/&gt;&lt;wsp:rsid wsp:val=&quot;00D86408&quot;/&gt;&lt;wsp:rsid wsp:val=&quot;00D865DB&quot;/&gt;&lt;wsp:rsid wsp:val=&quot;00D867D9&quot;/&gt;&lt;wsp:rsid wsp:val=&quot;00D86E77&quot;/&gt;&lt;wsp:rsid wsp:val=&quot;00D86F69&quot;/&gt;&lt;wsp:rsid wsp:val=&quot;00D87BA7&quot;/&gt;&lt;wsp:rsid wsp:val=&quot;00D900D0&quot;/&gt;&lt;wsp:rsid wsp:val=&quot;00D90BF7&quot;/&gt;&lt;wsp:rsid wsp:val=&quot;00D90FF7&quot;/&gt;&lt;wsp:rsid wsp:val=&quot;00D918AC&quot;/&gt;&lt;wsp:rsid wsp:val=&quot;00D92926&quot;/&gt;&lt;wsp:rsid wsp:val=&quot;00D92DD7&quot;/&gt;&lt;wsp:rsid wsp:val=&quot;00D9310F&quot;/&gt;&lt;wsp:rsid wsp:val=&quot;00D93D0A&quot;/&gt;&lt;wsp:rsid wsp:val=&quot;00D9445A&quot;/&gt;&lt;wsp:rsid wsp:val=&quot;00D94700&quot;/&gt;&lt;wsp:rsid wsp:val=&quot;00D964CB&quot;/&gt;&lt;wsp:rsid wsp:val=&quot;00D96671&quot;/&gt;&lt;wsp:rsid wsp:val=&quot;00D97730&quot;/&gt;&lt;wsp:rsid wsp:val=&quot;00D97FDE&quot;/&gt;&lt;wsp:rsid wsp:val=&quot;00DA014B&quot;/&gt;&lt;wsp:rsid wsp:val=&quot;00DA0C63&quot;/&gt;&lt;wsp:rsid wsp:val=&quot;00DA10E7&quot;/&gt;&lt;wsp:rsid wsp:val=&quot;00DA166F&quot;/&gt;&lt;wsp:rsid wsp:val=&quot;00DA1CF2&quot;/&gt;&lt;wsp:rsid wsp:val=&quot;00DA1D62&quot;/&gt;&lt;wsp:rsid wsp:val=&quot;00DA23D6&quot;/&gt;&lt;wsp:rsid wsp:val=&quot;00DA2402&quot;/&gt;&lt;wsp:rsid wsp:val=&quot;00DA24C4&quot;/&gt;&lt;wsp:rsid wsp:val=&quot;00DA338C&quot;/&gt;&lt;wsp:rsid wsp:val=&quot;00DA48C1&quot;/&gt;&lt;wsp:rsid wsp:val=&quot;00DA4E72&quot;/&gt;&lt;wsp:rsid wsp:val=&quot;00DA4F16&quot;/&gt;&lt;wsp:rsid wsp:val=&quot;00DA546D&quot;/&gt;&lt;wsp:rsid wsp:val=&quot;00DA5642&quot;/&gt;&lt;wsp:rsid wsp:val=&quot;00DA5B07&quot;/&gt;&lt;wsp:rsid wsp:val=&quot;00DB04A1&quot;/&gt;&lt;wsp:rsid wsp:val=&quot;00DB09D8&quot;/&gt;&lt;wsp:rsid wsp:val=&quot;00DB0F76&quot;/&gt;&lt;wsp:rsid wsp:val=&quot;00DB2136&quot;/&gt;&lt;wsp:rsid wsp:val=&quot;00DB2EE0&quot;/&gt;&lt;wsp:rsid wsp:val=&quot;00DB33B4&quot;/&gt;&lt;wsp:rsid wsp:val=&quot;00DB357B&quot;/&gt;&lt;wsp:rsid wsp:val=&quot;00DB39D3&quot;/&gt;&lt;wsp:rsid wsp:val=&quot;00DB45CE&quot;/&gt;&lt;wsp:rsid wsp:val=&quot;00DB471A&quot;/&gt;&lt;wsp:rsid wsp:val=&quot;00DB50C3&quot;/&gt;&lt;wsp:rsid wsp:val=&quot;00DB51DC&quot;/&gt;&lt;wsp:rsid wsp:val=&quot;00DB5C12&quot;/&gt;&lt;wsp:rsid wsp:val=&quot;00DB6EB2&quot;/&gt;&lt;wsp:rsid wsp:val=&quot;00DB700E&quot;/&gt;&lt;wsp:rsid wsp:val=&quot;00DB72A3&quot;/&gt;&lt;wsp:rsid wsp:val=&quot;00DB73EA&quot;/&gt;&lt;wsp:rsid wsp:val=&quot;00DB7571&quot;/&gt;&lt;wsp:rsid wsp:val=&quot;00DC0927&quot;/&gt;&lt;wsp:rsid wsp:val=&quot;00DC0950&quot;/&gt;&lt;wsp:rsid wsp:val=&quot;00DC0E2C&quot;/&gt;&lt;wsp:rsid wsp:val=&quot;00DC1AC8&quot;/&gt;&lt;wsp:rsid wsp:val=&quot;00DC1F39&quot;/&gt;&lt;wsp:rsid wsp:val=&quot;00DC257E&quot;/&gt;&lt;wsp:rsid wsp:val=&quot;00DC3BEB&quot;/&gt;&lt;wsp:rsid wsp:val=&quot;00DC45C3&quot;/&gt;&lt;wsp:rsid wsp:val=&quot;00DC45F9&quot;/&gt;&lt;wsp:rsid wsp:val=&quot;00DC5CB5&quot;/&gt;&lt;wsp:rsid wsp:val=&quot;00DC718B&quot;/&gt;&lt;wsp:rsid wsp:val=&quot;00DC772E&quot;/&gt;&lt;wsp:rsid wsp:val=&quot;00DD0ACF&quot;/&gt;&lt;wsp:rsid wsp:val=&quot;00DD12A0&quot;/&gt;&lt;wsp:rsid wsp:val=&quot;00DD17C9&quot;/&gt;&lt;wsp:rsid wsp:val=&quot;00DD298F&quot;/&gt;&lt;wsp:rsid wsp:val=&quot;00DD29AB&quot;/&gt;&lt;wsp:rsid wsp:val=&quot;00DD34AB&quot;/&gt;&lt;wsp:rsid wsp:val=&quot;00DD3963&quot;/&gt;&lt;wsp:rsid wsp:val=&quot;00DD3EA5&quot;/&gt;&lt;wsp:rsid wsp:val=&quot;00DD5906&quot;/&gt;&lt;wsp:rsid wsp:val=&quot;00DD668D&quot;/&gt;&lt;wsp:rsid wsp:val=&quot;00DD756A&quot;/&gt;&lt;wsp:rsid wsp:val=&quot;00DD75F5&quot;/&gt;&lt;wsp:rsid wsp:val=&quot;00DE03C0&quot;/&gt;&lt;wsp:rsid wsp:val=&quot;00DE0832&quot;/&gt;&lt;wsp:rsid wsp:val=&quot;00DE0E39&quot;/&gt;&lt;wsp:rsid wsp:val=&quot;00DE1AC2&quot;/&gt;&lt;wsp:rsid wsp:val=&quot;00DE1E2A&quot;/&gt;&lt;wsp:rsid wsp:val=&quot;00DE1F76&quot;/&gt;&lt;wsp:rsid wsp:val=&quot;00DE24FE&quot;/&gt;&lt;wsp:rsid wsp:val=&quot;00DE29C1&quot;/&gt;&lt;wsp:rsid wsp:val=&quot;00DE399F&quot;/&gt;&lt;wsp:rsid wsp:val=&quot;00DE4047&quot;/&gt;&lt;wsp:rsid wsp:val=&quot;00DE40E8&quot;/&gt;&lt;wsp:rsid wsp:val=&quot;00DE42EA&quot;/&gt;&lt;wsp:rsid wsp:val=&quot;00DE469A&quot;/&gt;&lt;wsp:rsid wsp:val=&quot;00DE4822&quot;/&gt;&lt;wsp:rsid wsp:val=&quot;00DE5538&quot;/&gt;&lt;wsp:rsid wsp:val=&quot;00DE57A3&quot;/&gt;&lt;wsp:rsid wsp:val=&quot;00DE62DA&quot;/&gt;&lt;wsp:rsid wsp:val=&quot;00DE6B61&quot;/&gt;&lt;wsp:rsid wsp:val=&quot;00DE6F06&quot;/&gt;&lt;wsp:rsid wsp:val=&quot;00DE6FBE&quot;/&gt;&lt;wsp:rsid wsp:val=&quot;00DE7945&quot;/&gt;&lt;wsp:rsid wsp:val=&quot;00DE7FDD&quot;/&gt;&lt;wsp:rsid wsp:val=&quot;00DF01CB&quot;/&gt;&lt;wsp:rsid wsp:val=&quot;00DF03DA&quot;/&gt;&lt;wsp:rsid wsp:val=&quot;00DF09C5&quot;/&gt;&lt;wsp:rsid wsp:val=&quot;00DF2835&quot;/&gt;&lt;wsp:rsid wsp:val=&quot;00DF291C&quot;/&gt;&lt;wsp:rsid wsp:val=&quot;00DF2EF4&quot;/&gt;&lt;wsp:rsid wsp:val=&quot;00DF3242&quot;/&gt;&lt;wsp:rsid wsp:val=&quot;00DF39E8&quot;/&gt;&lt;wsp:rsid wsp:val=&quot;00DF3C0D&quot;/&gt;&lt;wsp:rsid wsp:val=&quot;00DF404A&quot;/&gt;&lt;wsp:rsid wsp:val=&quot;00DF4229&quot;/&gt;&lt;wsp:rsid wsp:val=&quot;00DF451B&quot;/&gt;&lt;wsp:rsid wsp:val=&quot;00DF4952&quot;/&gt;&lt;wsp:rsid wsp:val=&quot;00DF4A7C&quot;/&gt;&lt;wsp:rsid wsp:val=&quot;00DF6229&quot;/&gt;&lt;wsp:rsid wsp:val=&quot;00DF719C&quot;/&gt;&lt;wsp:rsid wsp:val=&quot;00DF727B&quot;/&gt;&lt;wsp:rsid wsp:val=&quot;00DF7CC1&quot;/&gt;&lt;wsp:rsid wsp:val=&quot;00DF7D2D&quot;/&gt;&lt;wsp:rsid wsp:val=&quot;00E00668&quot;/&gt;&lt;wsp:rsid wsp:val=&quot;00E008AD&quot;/&gt;&lt;wsp:rsid wsp:val=&quot;00E00947&quot;/&gt;&lt;wsp:rsid wsp:val=&quot;00E00CED&quot;/&gt;&lt;wsp:rsid wsp:val=&quot;00E0275B&quot;/&gt;&lt;wsp:rsid wsp:val=&quot;00E02D60&quot;/&gt;&lt;wsp:rsid wsp:val=&quot;00E040A6&quot;/&gt;&lt;wsp:rsid wsp:val=&quot;00E056CA&quot;/&gt;&lt;wsp:rsid wsp:val=&quot;00E06A32&quot;/&gt;&lt;wsp:rsid wsp:val=&quot;00E071FC&quot;/&gt;&lt;wsp:rsid wsp:val=&quot;00E07E8D&quot;/&gt;&lt;wsp:rsid wsp:val=&quot;00E1062F&quot;/&gt;&lt;wsp:rsid wsp:val=&quot;00E1068A&quot;/&gt;&lt;wsp:rsid wsp:val=&quot;00E109A2&quot;/&gt;&lt;wsp:rsid wsp:val=&quot;00E11B20&quot;/&gt;&lt;wsp:rsid wsp:val=&quot;00E11FCF&quot;/&gt;&lt;wsp:rsid wsp:val=&quot;00E12D9C&quot;/&gt;&lt;wsp:rsid wsp:val=&quot;00E12FBC&quot;/&gt;&lt;wsp:rsid wsp:val=&quot;00E131E7&quot;/&gt;&lt;wsp:rsid wsp:val=&quot;00E142EE&quot;/&gt;&lt;wsp:rsid wsp:val=&quot;00E1603E&quot;/&gt;&lt;wsp:rsid wsp:val=&quot;00E16244&quot;/&gt;&lt;wsp:rsid wsp:val=&quot;00E168B8&quot;/&gt;&lt;wsp:rsid wsp:val=&quot;00E17373&quot;/&gt;&lt;wsp:rsid wsp:val=&quot;00E207B3&quot;/&gt;&lt;wsp:rsid wsp:val=&quot;00E20D0F&quot;/&gt;&lt;wsp:rsid wsp:val=&quot;00E20DC4&quot;/&gt;&lt;wsp:rsid wsp:val=&quot;00E224AB&quot;/&gt;&lt;wsp:rsid wsp:val=&quot;00E232F5&quot;/&gt;&lt;wsp:rsid wsp:val=&quot;00E23C21&quot;/&gt;&lt;wsp:rsid wsp:val=&quot;00E25412&quot;/&gt;&lt;wsp:rsid wsp:val=&quot;00E25DA4&quot;/&gt;&lt;wsp:rsid wsp:val=&quot;00E30049&quot;/&gt;&lt;wsp:rsid wsp:val=&quot;00E30473&quot;/&gt;&lt;wsp:rsid wsp:val=&quot;00E314A4&quot;/&gt;&lt;wsp:rsid wsp:val=&quot;00E31951&quot;/&gt;&lt;wsp:rsid wsp:val=&quot;00E321D4&quot;/&gt;&lt;wsp:rsid wsp:val=&quot;00E328D8&quot;/&gt;&lt;wsp:rsid wsp:val=&quot;00E32D18&quot;/&gt;&lt;wsp:rsid wsp:val=&quot;00E33880&quot;/&gt;&lt;wsp:rsid wsp:val=&quot;00E33E0F&quot;/&gt;&lt;wsp:rsid wsp:val=&quot;00E34124&quot;/&gt;&lt;wsp:rsid wsp:val=&quot;00E34A18&quot;/&gt;&lt;wsp:rsid wsp:val=&quot;00E34B95&quot;/&gt;&lt;wsp:rsid wsp:val=&quot;00E35893&quot;/&gt;&lt;wsp:rsid wsp:val=&quot;00E36362&quot;/&gt;&lt;wsp:rsid wsp:val=&quot;00E36596&quot;/&gt;&lt;wsp:rsid wsp:val=&quot;00E36780&quot;/&gt;&lt;wsp:rsid wsp:val=&quot;00E3798B&quot;/&gt;&lt;wsp:rsid wsp:val=&quot;00E40253&quot;/&gt;&lt;wsp:rsid wsp:val=&quot;00E40A55&quot;/&gt;&lt;wsp:rsid wsp:val=&quot;00E40AA4&quot;/&gt;&lt;wsp:rsid wsp:val=&quot;00E418BF&quot;/&gt;&lt;wsp:rsid wsp:val=&quot;00E41B16&quot;/&gt;&lt;wsp:rsid wsp:val=&quot;00E41E25&quot;/&gt;&lt;wsp:rsid wsp:val=&quot;00E42722&quot;/&gt;&lt;wsp:rsid wsp:val=&quot;00E43232&quot;/&gt;&lt;wsp:rsid wsp:val=&quot;00E4477C&quot;/&gt;&lt;wsp:rsid wsp:val=&quot;00E44A66&quot;/&gt;&lt;wsp:rsid wsp:val=&quot;00E45390&quot;/&gt;&lt;wsp:rsid wsp:val=&quot;00E46454&quot;/&gt;&lt;wsp:rsid wsp:val=&quot;00E46C16&quot;/&gt;&lt;wsp:rsid wsp:val=&quot;00E46F4D&quot;/&gt;&lt;wsp:rsid wsp:val=&quot;00E50D29&quot;/&gt;&lt;wsp:rsid wsp:val=&quot;00E51C3C&quot;/&gt;&lt;wsp:rsid wsp:val=&quot;00E51E9E&quot;/&gt;&lt;wsp:rsid wsp:val=&quot;00E526E3&quot;/&gt;&lt;wsp:rsid wsp:val=&quot;00E53C64&quot;/&gt;&lt;wsp:rsid wsp:val=&quot;00E53D1E&quot;/&gt;&lt;wsp:rsid wsp:val=&quot;00E53EDF&quot;/&gt;&lt;wsp:rsid wsp:val=&quot;00E54665&quot;/&gt;&lt;wsp:rsid wsp:val=&quot;00E5469E&quot;/&gt;&lt;wsp:rsid wsp:val=&quot;00E5560F&quot;/&gt;&lt;wsp:rsid wsp:val=&quot;00E60A39&quot;/&gt;&lt;wsp:rsid wsp:val=&quot;00E62A4B&quot;/&gt;&lt;wsp:rsid wsp:val=&quot;00E62B80&quot;/&gt;&lt;wsp:rsid wsp:val=&quot;00E633B3&quot;/&gt;&lt;wsp:rsid wsp:val=&quot;00E637A5&quot;/&gt;&lt;wsp:rsid wsp:val=&quot;00E65BD6&quot;/&gt;&lt;wsp:rsid wsp:val=&quot;00E66F8E&quot;/&gt;&lt;wsp:rsid wsp:val=&quot;00E673FC&quot;/&gt;&lt;wsp:rsid wsp:val=&quot;00E67635&quot;/&gt;&lt;wsp:rsid wsp:val=&quot;00E708D9&quot;/&gt;&lt;wsp:rsid wsp:val=&quot;00E7169B&quot;/&gt;&lt;wsp:rsid wsp:val=&quot;00E71AC1&quot;/&gt;&lt;wsp:rsid wsp:val=&quot;00E72296&quot;/&gt;&lt;wsp:rsid wsp:val=&quot;00E7262A&quot;/&gt;&lt;wsp:rsid wsp:val=&quot;00E72DE9&quot;/&gt;&lt;wsp:rsid wsp:val=&quot;00E73276&quot;/&gt;&lt;wsp:rsid wsp:val=&quot;00E73B43&quot;/&gt;&lt;wsp:rsid wsp:val=&quot;00E74960&quot;/&gt;&lt;wsp:rsid wsp:val=&quot;00E75720&quot;/&gt;&lt;wsp:rsid wsp:val=&quot;00E765A5&quot;/&gt;&lt;wsp:rsid wsp:val=&quot;00E772E0&quot;/&gt;&lt;wsp:rsid wsp:val=&quot;00E77437&quot;/&gt;&lt;wsp:rsid wsp:val=&quot;00E7755F&quot;/&gt;&lt;wsp:rsid wsp:val=&quot;00E77794&quot;/&gt;&lt;wsp:rsid wsp:val=&quot;00E77982&quot;/&gt;&lt;wsp:rsid wsp:val=&quot;00E77FF6&quot;/&gt;&lt;wsp:rsid wsp:val=&quot;00E8054F&quot;/&gt;&lt;wsp:rsid wsp:val=&quot;00E80697&quot;/&gt;&lt;wsp:rsid wsp:val=&quot;00E80CBF&quot;/&gt;&lt;wsp:rsid wsp:val=&quot;00E82270&quot;/&gt;&lt;wsp:rsid wsp:val=&quot;00E83159&quot;/&gt;&lt;wsp:rsid wsp:val=&quot;00E83330&quot;/&gt;&lt;wsp:rsid wsp:val=&quot;00E8439C&quot;/&gt;&lt;wsp:rsid wsp:val=&quot;00E844B9&quot;/&gt;&lt;wsp:rsid wsp:val=&quot;00E85E1C&quot;/&gt;&lt;wsp:rsid wsp:val=&quot;00E85FAA&quot;/&gt;&lt;wsp:rsid wsp:val=&quot;00E86879&quot;/&gt;&lt;wsp:rsid wsp:val=&quot;00E86966&quot;/&gt;&lt;wsp:rsid wsp:val=&quot;00E86C8E&quot;/&gt;&lt;wsp:rsid wsp:val=&quot;00E86EFE&quot;/&gt;&lt;wsp:rsid wsp:val=&quot;00E87474&quot;/&gt;&lt;wsp:rsid wsp:val=&quot;00E876E6&quot;/&gt;&lt;wsp:rsid wsp:val=&quot;00E87B30&quot;/&gt;&lt;wsp:rsid wsp:val=&quot;00E902A1&quot;/&gt;&lt;wsp:rsid wsp:val=&quot;00E90431&quot;/&gt;&lt;wsp:rsid wsp:val=&quot;00E906B8&quot;/&gt;&lt;wsp:rsid wsp:val=&quot;00E907F3&quot;/&gt;&lt;wsp:rsid wsp:val=&quot;00E91A71&quot;/&gt;&lt;wsp:rsid wsp:val=&quot;00E91AF8&quot;/&gt;&lt;wsp:rsid wsp:val=&quot;00E92F73&quot;/&gt;&lt;wsp:rsid wsp:val=&quot;00E9476E&quot;/&gt;&lt;wsp:rsid wsp:val=&quot;00E94A6B&quot;/&gt;&lt;wsp:rsid wsp:val=&quot;00E951B3&quot;/&gt;&lt;wsp:rsid wsp:val=&quot;00E95C56&quot;/&gt;&lt;wsp:rsid wsp:val=&quot;00E9675A&quot;/&gt;&lt;wsp:rsid wsp:val=&quot;00E97114&quot;/&gt;&lt;wsp:rsid wsp:val=&quot;00EA0072&quot;/&gt;&lt;wsp:rsid wsp:val=&quot;00EA00C7&quot;/&gt;&lt;wsp:rsid wsp:val=&quot;00EA0248&quot;/&gt;&lt;wsp:rsid wsp:val=&quot;00EA034A&quot;/&gt;&lt;wsp:rsid wsp:val=&quot;00EA0891&quot;/&gt;&lt;wsp:rsid wsp:val=&quot;00EA16A7&quot;/&gt;&lt;wsp:rsid wsp:val=&quot;00EA3462&quot;/&gt;&lt;wsp:rsid wsp:val=&quot;00EA34B9&quot;/&gt;&lt;wsp:rsid wsp:val=&quot;00EA3D0F&quot;/&gt;&lt;wsp:rsid wsp:val=&quot;00EA3E2E&quot;/&gt;&lt;wsp:rsid wsp:val=&quot;00EA46C4&quot;/&gt;&lt;wsp:rsid wsp:val=&quot;00EA4702&quot;/&gt;&lt;wsp:rsid wsp:val=&quot;00EA5114&quot;/&gt;&lt;wsp:rsid wsp:val=&quot;00EA5DD0&quot;/&gt;&lt;wsp:rsid wsp:val=&quot;00EA6D3E&quot;/&gt;&lt;wsp:rsid wsp:val=&quot;00EA72FC&quot;/&gt;&lt;wsp:rsid wsp:val=&quot;00EB064B&quot;/&gt;&lt;wsp:rsid wsp:val=&quot;00EB0E64&quot;/&gt;&lt;wsp:rsid wsp:val=&quot;00EB1802&quot;/&gt;&lt;wsp:rsid wsp:val=&quot;00EB337F&quot;/&gt;&lt;wsp:rsid wsp:val=&quot;00EB3B5E&quot;/&gt;&lt;wsp:rsid wsp:val=&quot;00EB40FD&quot;/&gt;&lt;wsp:rsid wsp:val=&quot;00EB42C8&quot;/&gt;&lt;wsp:rsid wsp:val=&quot;00EB4A9C&quot;/&gt;&lt;wsp:rsid wsp:val=&quot;00EB550B&quot;/&gt;&lt;wsp:rsid wsp:val=&quot;00EB5A42&quot;/&gt;&lt;wsp:rsid wsp:val=&quot;00EB65BE&quot;/&gt;&lt;wsp:rsid wsp:val=&quot;00EB7836&quot;/&gt;&lt;wsp:rsid wsp:val=&quot;00EC0C52&quot;/&gt;&lt;wsp:rsid wsp:val=&quot;00EC0FDF&quot;/&gt;&lt;wsp:rsid wsp:val=&quot;00EC12BA&quot;/&gt;&lt;wsp:rsid wsp:val=&quot;00EC1792&quot;/&gt;&lt;wsp:rsid wsp:val=&quot;00EC1E07&quot;/&gt;&lt;wsp:rsid wsp:val=&quot;00EC23BC&quot;/&gt;&lt;wsp:rsid wsp:val=&quot;00EC3D3C&quot;/&gt;&lt;wsp:rsid wsp:val=&quot;00EC5C1C&quot;/&gt;&lt;wsp:rsid wsp:val=&quot;00EC7320&quot;/&gt;&lt;wsp:rsid wsp:val=&quot;00EC7950&quot;/&gt;&lt;wsp:rsid wsp:val=&quot;00ED0770&quot;/&gt;&lt;wsp:rsid wsp:val=&quot;00ED1D23&quot;/&gt;&lt;wsp:rsid wsp:val=&quot;00ED20B0&quot;/&gt;&lt;wsp:rsid wsp:val=&quot;00ED23F2&quot;/&gt;&lt;wsp:rsid wsp:val=&quot;00ED25C7&quot;/&gt;&lt;wsp:rsid wsp:val=&quot;00ED2675&quot;/&gt;&lt;wsp:rsid wsp:val=&quot;00ED29B7&quot;/&gt;&lt;wsp:rsid wsp:val=&quot;00ED2D21&quot;/&gt;&lt;wsp:rsid wsp:val=&quot;00ED3D05&quot;/&gt;&lt;wsp:rsid wsp:val=&quot;00ED5DBB&quot;/&gt;&lt;wsp:rsid wsp:val=&quot;00ED5EE5&quot;/&gt;&lt;wsp:rsid wsp:val=&quot;00ED6D43&quot;/&gt;&lt;wsp:rsid wsp:val=&quot;00ED6F8A&quot;/&gt;&lt;wsp:rsid wsp:val=&quot;00EE09A7&quot;/&gt;&lt;wsp:rsid wsp:val=&quot;00EE0F18&quot;/&gt;&lt;wsp:rsid wsp:val=&quot;00EE11D6&quot;/&gt;&lt;wsp:rsid wsp:val=&quot;00EE17D0&quot;/&gt;&lt;wsp:rsid wsp:val=&quot;00EE24DF&quot;/&gt;&lt;wsp:rsid wsp:val=&quot;00EE25DB&quot;/&gt;&lt;wsp:rsid wsp:val=&quot;00EE28CA&quot;/&gt;&lt;wsp:rsid wsp:val=&quot;00EE2A6E&quot;/&gt;&lt;wsp:rsid wsp:val=&quot;00EE2C80&quot;/&gt;&lt;wsp:rsid wsp:val=&quot;00EE364B&quot;/&gt;&lt;wsp:rsid wsp:val=&quot;00EE4E83&quot;/&gt;&lt;wsp:rsid wsp:val=&quot;00EE5419&quot;/&gt;&lt;wsp:rsid wsp:val=&quot;00EE57EA&quot;/&gt;&lt;wsp:rsid wsp:val=&quot;00EE5FC4&quot;/&gt;&lt;wsp:rsid wsp:val=&quot;00EE68C8&quot;/&gt;&lt;wsp:rsid wsp:val=&quot;00EE7589&quot;/&gt;&lt;wsp:rsid wsp:val=&quot;00EE7937&quot;/&gt;&lt;wsp:rsid wsp:val=&quot;00EE7CE4&quot;/&gt;&lt;wsp:rsid wsp:val=&quot;00EF1A59&quot;/&gt;&lt;wsp:rsid wsp:val=&quot;00EF1C7B&quot;/&gt;&lt;wsp:rsid wsp:val=&quot;00EF2574&quot;/&gt;&lt;wsp:rsid wsp:val=&quot;00EF2D00&quot;/&gt;&lt;wsp:rsid wsp:val=&quot;00EF33BD&quot;/&gt;&lt;wsp:rsid wsp:val=&quot;00EF3987&quot;/&gt;&lt;wsp:rsid wsp:val=&quot;00EF3D29&quot;/&gt;&lt;wsp:rsid wsp:val=&quot;00EF46ED&quot;/&gt;&lt;wsp:rsid wsp:val=&quot;00EF4859&quot;/&gt;&lt;wsp:rsid wsp:val=&quot;00EF495D&quot;/&gt;&lt;wsp:rsid wsp:val=&quot;00EF4ECE&quot;/&gt;&lt;wsp:rsid wsp:val=&quot;00EF50C1&quot;/&gt;&lt;wsp:rsid wsp:val=&quot;00EF5D95&quot;/&gt;&lt;wsp:rsid wsp:val=&quot;00EF5E03&quot;/&gt;&lt;wsp:rsid wsp:val=&quot;00F0011F&quot;/&gt;&lt;wsp:rsid wsp:val=&quot;00F00679&quot;/&gt;&lt;wsp:rsid wsp:val=&quot;00F01902&quot;/&gt;&lt;wsp:rsid wsp:val=&quot;00F0194D&quot;/&gt;&lt;wsp:rsid wsp:val=&quot;00F01A26&quot;/&gt;&lt;wsp:rsid wsp:val=&quot;00F025C2&quot;/&gt;&lt;wsp:rsid wsp:val=&quot;00F02EDE&quot;/&gt;&lt;wsp:rsid wsp:val=&quot;00F030AF&quot;/&gt;&lt;wsp:rsid wsp:val=&quot;00F04F26&quot;/&gt;&lt;wsp:rsid wsp:val=&quot;00F05FA2&quot;/&gt;&lt;wsp:rsid wsp:val=&quot;00F06072&quot;/&gt;&lt;wsp:rsid wsp:val=&quot;00F065C0&quot;/&gt;&lt;wsp:rsid wsp:val=&quot;00F06719&quot;/&gt;&lt;wsp:rsid wsp:val=&quot;00F07AD2&quot;/&gt;&lt;wsp:rsid wsp:val=&quot;00F102E4&quot;/&gt;&lt;wsp:rsid wsp:val=&quot;00F102FF&quot;/&gt;&lt;wsp:rsid wsp:val=&quot;00F103DA&quot;/&gt;&lt;wsp:rsid wsp:val=&quot;00F10686&quot;/&gt;&lt;wsp:rsid wsp:val=&quot;00F10770&quot;/&gt;&lt;wsp:rsid wsp:val=&quot;00F1093D&quot;/&gt;&lt;wsp:rsid wsp:val=&quot;00F10B88&quot;/&gt;&lt;wsp:rsid wsp:val=&quot;00F1184B&quot;/&gt;&lt;wsp:rsid wsp:val=&quot;00F1191F&quot;/&gt;&lt;wsp:rsid wsp:val=&quot;00F12C05&quot;/&gt;&lt;wsp:rsid wsp:val=&quot;00F1334F&quot;/&gt;&lt;wsp:rsid wsp:val=&quot;00F13B01&quot;/&gt;&lt;wsp:rsid wsp:val=&quot;00F142D4&quot;/&gt;&lt;wsp:rsid wsp:val=&quot;00F145B7&quot;/&gt;&lt;wsp:rsid wsp:val=&quot;00F14806&quot;/&gt;&lt;wsp:rsid wsp:val=&quot;00F14B08&quot;/&gt;&lt;wsp:rsid wsp:val=&quot;00F14C16&quot;/&gt;&lt;wsp:rsid wsp:val=&quot;00F14FF3&quot;/&gt;&lt;wsp:rsid wsp:val=&quot;00F150ED&quot;/&gt;&lt;wsp:rsid wsp:val=&quot;00F166B4&quot;/&gt;&lt;wsp:rsid wsp:val=&quot;00F17474&quot;/&gt;&lt;wsp:rsid wsp:val=&quot;00F1795A&quot;/&gt;&lt;wsp:rsid wsp:val=&quot;00F203D7&quot;/&gt;&lt;wsp:rsid wsp:val=&quot;00F20BEF&quot;/&gt;&lt;wsp:rsid wsp:val=&quot;00F20E3C&quot;/&gt;&lt;wsp:rsid wsp:val=&quot;00F213AE&quot;/&gt;&lt;wsp:rsid wsp:val=&quot;00F21AE9&quot;/&gt;&lt;wsp:rsid wsp:val=&quot;00F22079&quot;/&gt;&lt;wsp:rsid wsp:val=&quot;00F23C73&quot;/&gt;&lt;wsp:rsid wsp:val=&quot;00F23F44&quot;/&gt;&lt;wsp:rsid wsp:val=&quot;00F24770&quot;/&gt;&lt;wsp:rsid wsp:val=&quot;00F24B2B&quot;/&gt;&lt;wsp:rsid wsp:val=&quot;00F24D3A&quot;/&gt;&lt;wsp:rsid wsp:val=&quot;00F2567D&quot;/&gt;&lt;wsp:rsid wsp:val=&quot;00F25DE3&quot;/&gt;&lt;wsp:rsid wsp:val=&quot;00F26A56&quot;/&gt;&lt;wsp:rsid wsp:val=&quot;00F26E1B&quot;/&gt;&lt;wsp:rsid wsp:val=&quot;00F27875&quot;/&gt;&lt;wsp:rsid wsp:val=&quot;00F27BFB&quot;/&gt;&lt;wsp:rsid wsp:val=&quot;00F30009&quot;/&gt;&lt;wsp:rsid wsp:val=&quot;00F30E56&quot;/&gt;&lt;wsp:rsid wsp:val=&quot;00F31754&quot;/&gt;&lt;wsp:rsid wsp:val=&quot;00F31DB1&quot;/&gt;&lt;wsp:rsid wsp:val=&quot;00F31F4B&quot;/&gt;&lt;wsp:rsid wsp:val=&quot;00F32DAF&quot;/&gt;&lt;wsp:rsid wsp:val=&quot;00F33C84&quot;/&gt;&lt;wsp:rsid wsp:val=&quot;00F34990&quot;/&gt;&lt;wsp:rsid wsp:val=&quot;00F34B53&quot;/&gt;&lt;wsp:rsid wsp:val=&quot;00F34FA1&quot;/&gt;&lt;wsp:rsid wsp:val=&quot;00F372F1&quot;/&gt;&lt;wsp:rsid wsp:val=&quot;00F3753B&quot;/&gt;&lt;wsp:rsid wsp:val=&quot;00F37586&quot;/&gt;&lt;wsp:rsid wsp:val=&quot;00F37AA7&quot;/&gt;&lt;wsp:rsid wsp:val=&quot;00F37D99&quot;/&gt;&lt;wsp:rsid wsp:val=&quot;00F40002&quot;/&gt;&lt;wsp:rsid wsp:val=&quot;00F400F3&quot;/&gt;&lt;wsp:rsid wsp:val=&quot;00F40EB6&quot;/&gt;&lt;wsp:rsid wsp:val=&quot;00F40F58&quot;/&gt;&lt;wsp:rsid wsp:val=&quot;00F4174E&quot;/&gt;&lt;wsp:rsid wsp:val=&quot;00F42483&quot;/&gt;&lt;wsp:rsid wsp:val=&quot;00F42764&quot;/&gt;&lt;wsp:rsid wsp:val=&quot;00F429E7&quot;/&gt;&lt;wsp:rsid wsp:val=&quot;00F441CE&quot;/&gt;&lt;wsp:rsid wsp:val=&quot;00F448EB&quot;/&gt;&lt;wsp:rsid wsp:val=&quot;00F45B7A&quot;/&gt;&lt;wsp:rsid wsp:val=&quot;00F4664C&quot;/&gt;&lt;wsp:rsid wsp:val=&quot;00F476DF&quot;/&gt;&lt;wsp:rsid wsp:val=&quot;00F50152&quot;/&gt;&lt;wsp:rsid wsp:val=&quot;00F50459&quot;/&gt;&lt;wsp:rsid wsp:val=&quot;00F509DF&quot;/&gt;&lt;wsp:rsid wsp:val=&quot;00F5109D&quot;/&gt;&lt;wsp:rsid wsp:val=&quot;00F5189E&quot;/&gt;&lt;wsp:rsid wsp:val=&quot;00F52051&quot;/&gt;&lt;wsp:rsid wsp:val=&quot;00F5274A&quot;/&gt;&lt;wsp:rsid wsp:val=&quot;00F55870&quot;/&gt;&lt;wsp:rsid wsp:val=&quot;00F5610F&quot;/&gt;&lt;wsp:rsid wsp:val=&quot;00F561DB&quot;/&gt;&lt;wsp:rsid wsp:val=&quot;00F564AF&quot;/&gt;&lt;wsp:rsid wsp:val=&quot;00F56979&quot;/&gt;&lt;wsp:rsid wsp:val=&quot;00F5697F&quot;/&gt;&lt;wsp:rsid wsp:val=&quot;00F572F2&quot;/&gt;&lt;wsp:rsid wsp:val=&quot;00F574E4&quot;/&gt;&lt;wsp:rsid wsp:val=&quot;00F57796&quot;/&gt;&lt;wsp:rsid wsp:val=&quot;00F57977&quot;/&gt;&lt;wsp:rsid wsp:val=&quot;00F57C6D&quot;/&gt;&lt;wsp:rsid wsp:val=&quot;00F60B0C&quot;/&gt;&lt;wsp:rsid wsp:val=&quot;00F622AD&quot;/&gt;&lt;wsp:rsid wsp:val=&quot;00F63878&quot;/&gt;&lt;wsp:rsid wsp:val=&quot;00F6540B&quot;/&gt;&lt;wsp:rsid wsp:val=&quot;00F65810&quot;/&gt;&lt;wsp:rsid wsp:val=&quot;00F67332&quot;/&gt;&lt;wsp:rsid wsp:val=&quot;00F673AD&quot;/&gt;&lt;wsp:rsid wsp:val=&quot;00F674B3&quot;/&gt;&lt;wsp:rsid wsp:val=&quot;00F67692&quot;/&gt;&lt;wsp:rsid wsp:val=&quot;00F70135&quot;/&gt;&lt;wsp:rsid wsp:val=&quot;00F70385&quot;/&gt;&lt;wsp:rsid wsp:val=&quot;00F70B89&quot;/&gt;&lt;wsp:rsid wsp:val=&quot;00F72125&quot;/&gt;&lt;wsp:rsid wsp:val=&quot;00F7213D&quot;/&gt;&lt;wsp:rsid wsp:val=&quot;00F7231A&quot;/&gt;&lt;wsp:rsid wsp:val=&quot;00F72ECA&quot;/&gt;&lt;wsp:rsid wsp:val=&quot;00F735EC&quot;/&gt;&lt;wsp:rsid wsp:val=&quot;00F73DE4&quot;/&gt;&lt;wsp:rsid wsp:val=&quot;00F7419C&quot;/&gt;&lt;wsp:rsid wsp:val=&quot;00F74A6C&quot;/&gt;&lt;wsp:rsid wsp:val=&quot;00F750EE&quot;/&gt;&lt;wsp:rsid wsp:val=&quot;00F75A43&quot;/&gt;&lt;wsp:rsid wsp:val=&quot;00F75EED&quot;/&gt;&lt;wsp:rsid wsp:val=&quot;00F76AC5&quot;/&gt;&lt;wsp:rsid wsp:val=&quot;00F7775D&quot;/&gt;&lt;wsp:rsid wsp:val=&quot;00F777DE&quot;/&gt;&lt;wsp:rsid wsp:val=&quot;00F8003A&quot;/&gt;&lt;wsp:rsid wsp:val=&quot;00F80613&quot;/&gt;&lt;wsp:rsid wsp:val=&quot;00F815BA&quot;/&gt;&lt;wsp:rsid wsp:val=&quot;00F817BE&quot;/&gt;&lt;wsp:rsid wsp:val=&quot;00F81E96&quot;/&gt;&lt;wsp:rsid wsp:val=&quot;00F8277F&quot;/&gt;&lt;wsp:rsid wsp:val=&quot;00F827EA&quot;/&gt;&lt;wsp:rsid wsp:val=&quot;00F828D4&quot;/&gt;&lt;wsp:rsid wsp:val=&quot;00F82BC7&quot;/&gt;&lt;wsp:rsid wsp:val=&quot;00F83131&quot;/&gt;&lt;wsp:rsid wsp:val=&quot;00F838B5&quot;/&gt;&lt;wsp:rsid wsp:val=&quot;00F83FDF&quot;/&gt;&lt;wsp:rsid wsp:val=&quot;00F843C7&quot;/&gt;&lt;wsp:rsid wsp:val=&quot;00F84530&quot;/&gt;&lt;wsp:rsid wsp:val=&quot;00F846E3&quot;/&gt;&lt;wsp:rsid wsp:val=&quot;00F84917&quot;/&gt;&lt;wsp:rsid wsp:val=&quot;00F84D6F&quot;/&gt;&lt;wsp:rsid wsp:val=&quot;00F861AD&quot;/&gt;&lt;wsp:rsid wsp:val=&quot;00F86A52&quot;/&gt;&lt;wsp:rsid wsp:val=&quot;00F870F1&quot;/&gt;&lt;wsp:rsid wsp:val=&quot;00F87283&quot;/&gt;&lt;wsp:rsid wsp:val=&quot;00F901E1&quot;/&gt;&lt;wsp:rsid wsp:val=&quot;00F90EE8&quot;/&gt;&lt;wsp:rsid wsp:val=&quot;00F91314&quot;/&gt;&lt;wsp:rsid wsp:val=&quot;00F91BEB&quot;/&gt;&lt;wsp:rsid wsp:val=&quot;00F921B0&quot;/&gt;&lt;wsp:rsid wsp:val=&quot;00F92B7F&quot;/&gt;&lt;wsp:rsid wsp:val=&quot;00F93421&quot;/&gt;&lt;wsp:rsid wsp:val=&quot;00F938E3&quot;/&gt;&lt;wsp:rsid wsp:val=&quot;00F9596C&quot;/&gt;&lt;wsp:rsid wsp:val=&quot;00F95F82&quot;/&gt;&lt;wsp:rsid wsp:val=&quot;00F97415&quot;/&gt;&lt;wsp:rsid wsp:val=&quot;00F978CE&quot;/&gt;&lt;wsp:rsid wsp:val=&quot;00FA02A4&quot;/&gt;&lt;wsp:rsid wsp:val=&quot;00FA1177&quot;/&gt;&lt;wsp:rsid wsp:val=&quot;00FA17EE&quot;/&gt;&lt;wsp:rsid wsp:val=&quot;00FA2308&quot;/&gt;&lt;wsp:rsid wsp:val=&quot;00FA25CE&quot;/&gt;&lt;wsp:rsid wsp:val=&quot;00FA2686&quot;/&gt;&lt;wsp:rsid wsp:val=&quot;00FA2D3F&quot;/&gt;&lt;wsp:rsid wsp:val=&quot;00FA4908&quot;/&gt;&lt;wsp:rsid wsp:val=&quot;00FA5719&quot;/&gt;&lt;wsp:rsid wsp:val=&quot;00FA5B25&quot;/&gt;&lt;wsp:rsid wsp:val=&quot;00FA6B2D&quot;/&gt;&lt;wsp:rsid wsp:val=&quot;00FA7463&quot;/&gt;&lt;wsp:rsid wsp:val=&quot;00FA790F&quot;/&gt;&lt;wsp:rsid wsp:val=&quot;00FA7AD1&quot;/&gt;&lt;wsp:rsid wsp:val=&quot;00FB0CD7&quot;/&gt;&lt;wsp:rsid wsp:val=&quot;00FB162B&quot;/&gt;&lt;wsp:rsid wsp:val=&quot;00FB1888&quot;/&gt;&lt;wsp:rsid wsp:val=&quot;00FB1D0F&quot;/&gt;&lt;wsp:rsid wsp:val=&quot;00FB2CF1&quot;/&gt;&lt;wsp:rsid wsp:val=&quot;00FB488C&quot;/&gt;&lt;wsp:rsid wsp:val=&quot;00FB5D36&quot;/&gt;&lt;wsp:rsid wsp:val=&quot;00FB67D3&quot;/&gt;&lt;wsp:rsid wsp:val=&quot;00FB6FF5&quot;/&gt;&lt;wsp:rsid wsp:val=&quot;00FC0CDE&quot;/&gt;&lt;wsp:rsid wsp:val=&quot;00FC0E8A&quot;/&gt;&lt;wsp:rsid wsp:val=&quot;00FC1CBD&quot;/&gt;&lt;wsp:rsid wsp:val=&quot;00FC2AA4&quot;/&gt;&lt;wsp:rsid wsp:val=&quot;00FC320D&quot;/&gt;&lt;wsp:rsid wsp:val=&quot;00FC464B&quot;/&gt;&lt;wsp:rsid wsp:val=&quot;00FC57BA&quot;/&gt;&lt;wsp:rsid wsp:val=&quot;00FC5D38&quot;/&gt;&lt;wsp:rsid wsp:val=&quot;00FC675B&quot;/&gt;&lt;wsp:rsid wsp:val=&quot;00FC6908&quot;/&gt;&lt;wsp:rsid wsp:val=&quot;00FC6DC0&quot;/&gt;&lt;wsp:rsid wsp:val=&quot;00FC78CC&quot;/&gt;&lt;wsp:rsid wsp:val=&quot;00FD09E4&quot;/&gt;&lt;wsp:rsid wsp:val=&quot;00FD0B68&quot;/&gt;&lt;wsp:rsid wsp:val=&quot;00FD0D22&quot;/&gt;&lt;wsp:rsid wsp:val=&quot;00FD0D38&quot;/&gt;&lt;wsp:rsid wsp:val=&quot;00FD1FF5&quot;/&gt;&lt;wsp:rsid wsp:val=&quot;00FD2274&quot;/&gt;&lt;wsp:rsid wsp:val=&quot;00FD40D3&quot;/&gt;&lt;wsp:rsid wsp:val=&quot;00FD4180&quot;/&gt;&lt;wsp:rsid wsp:val=&quot;00FD41DB&quot;/&gt;&lt;wsp:rsid wsp:val=&quot;00FD64E7&quot;/&gt;&lt;wsp:rsid wsp:val=&quot;00FD784B&quot;/&gt;&lt;wsp:rsid wsp:val=&quot;00FD7C68&quot;/&gt;&lt;wsp:rsid wsp:val=&quot;00FE051D&quot;/&gt;&lt;wsp:rsid wsp:val=&quot;00FE2B58&quot;/&gt;&lt;wsp:rsid wsp:val=&quot;00FE2E0D&quot;/&gt;&lt;wsp:rsid wsp:val=&quot;00FE3339&quot;/&gt;&lt;wsp:rsid wsp:val=&quot;00FE355F&quot;/&gt;&lt;wsp:rsid wsp:val=&quot;00FE3C26&quot;/&gt;&lt;wsp:rsid wsp:val=&quot;00FE3C54&quot;/&gt;&lt;wsp:rsid wsp:val=&quot;00FE3D50&quot;/&gt;&lt;wsp:rsid wsp:val=&quot;00FE598C&quot;/&gt;&lt;wsp:rsid wsp:val=&quot;00FE5DD6&quot;/&gt;&lt;wsp:rsid wsp:val=&quot;00FE760C&quot;/&gt;&lt;wsp:rsid wsp:val=&quot;00FE76AF&quot;/&gt;&lt;wsp:rsid wsp:val=&quot;00FE77C1&quot;/&gt;&lt;wsp:rsid wsp:val=&quot;00FE7D1B&quot;/&gt;&lt;wsp:rsid wsp:val=&quot;00FF069E&quot;/&gt;&lt;wsp:rsid wsp:val=&quot;00FF1F02&quot;/&gt;&lt;wsp:rsid wsp:val=&quot;00FF2E22&quot;/&gt;&lt;wsp:rsid wsp:val=&quot;00FF3F2F&quot;/&gt;&lt;wsp:rsid wsp:val=&quot;00FF4174&quot;/&gt;&lt;wsp:rsid wsp:val=&quot;00FF4A09&quot;/&gt;&lt;wsp:rsid wsp:val=&quot;00FF4CE1&quot;/&gt;&lt;wsp:rsid wsp:val=&quot;00FF4EAA&quot;/&gt;&lt;wsp:rsid wsp:val=&quot;00FF58D0&quot;/&gt;&lt;wsp:rsid wsp:val=&quot;00FF5BBF&quot;/&gt;&lt;wsp:rsid wsp:val=&quot;00FF62C2&quot;/&gt;&lt;wsp:rsid wsp:val=&quot;00FF6D49&quot;/&gt;&lt;wsp:rsid wsp:val=&quot;00FF6FE7&quot;/&gt;&lt;wsp:rsid wsp:val=&quot;0235485F&quot;/&gt;&lt;wsp:rsid wsp:val=&quot;03697BFD&quot;/&gt;&lt;wsp:rsid wsp:val=&quot;03FD66AC&quot;/&gt;&lt;wsp:rsid wsp:val=&quot;045B70AB&quot;/&gt;&lt;wsp:rsid wsp:val=&quot;04846E71&quot;/&gt;&lt;wsp:rsid wsp:val=&quot;059960DD&quot;/&gt;&lt;wsp:rsid wsp:val=&quot;05B71C8D&quot;/&gt;&lt;wsp:rsid wsp:val=&quot;06E0184A&quot;/&gt;&lt;wsp:rsid wsp:val=&quot;071714BF&quot;/&gt;&lt;wsp:rsid wsp:val=&quot;071A60B0&quot;/&gt;&lt;wsp:rsid wsp:val=&quot;07282C7E&quot;/&gt;&lt;wsp:rsid wsp:val=&quot;07673CB7&quot;/&gt;&lt;wsp:rsid wsp:val=&quot;081262DD&quot;/&gt;&lt;wsp:rsid wsp:val=&quot;08DB257C&quot;/&gt;&lt;wsp:rsid wsp:val=&quot;097D00A7&quot;/&gt;&lt;wsp:rsid wsp:val=&quot;098225F0&quot;/&gt;&lt;wsp:rsid wsp:val=&quot;0A3E4216&quot;/&gt;&lt;wsp:rsid wsp:val=&quot;0A9D247F&quot;/&gt;&lt;wsp:rsid wsp:val=&quot;0C0E7282&quot;/&gt;&lt;wsp:rsid wsp:val=&quot;0C260CA9&quot;/&gt;&lt;wsp:rsid wsp:val=&quot;0DFC7303&quot;/&gt;&lt;wsp:rsid wsp:val=&quot;0ED43E7F&quot;/&gt;&lt;wsp:rsid wsp:val=&quot;0F870D5D&quot;/&gt;&lt;wsp:rsid wsp:val=&quot;0FC93A62&quot;/&gt;&lt;wsp:rsid wsp:val=&quot;11A00946&quot;/&gt;&lt;wsp:rsid wsp:val=&quot;13180B09&quot;/&gt;&lt;wsp:rsid wsp:val=&quot;17BB1DF6&quot;/&gt;&lt;wsp:rsid wsp:val=&quot;18E11EC0&quot;/&gt;&lt;wsp:rsid wsp:val=&quot;191E183D&quot;/&gt;&lt;wsp:rsid wsp:val=&quot;1BFA6D66&quot;/&gt;&lt;wsp:rsid wsp:val=&quot;1BFD6601&quot;/&gt;&lt;wsp:rsid wsp:val=&quot;1C4B24C6&quot;/&gt;&lt;wsp:rsid wsp:val=&quot;1E276F5B&quot;/&gt;&lt;wsp:rsid wsp:val=&quot;20915166&quot;/&gt;&lt;wsp:rsid wsp:val=&quot;212C2F22&quot;/&gt;&lt;wsp:rsid wsp:val=&quot;25554388&quot;/&gt;&lt;wsp:rsid wsp:val=&quot;25570AC3&quot;/&gt;&lt;wsp:rsid wsp:val=&quot;25716796&quot;/&gt;&lt;wsp:rsid wsp:val=&quot;25D51B9B&quot;/&gt;&lt;wsp:rsid wsp:val=&quot;27F01C38&quot;/&gt;&lt;wsp:rsid wsp:val=&quot;29D62BAC&quot;/&gt;&lt;wsp:rsid wsp:val=&quot;2A573728&quot;/&gt;&lt;wsp:rsid wsp:val=&quot;2B423B01&quot;/&gt;&lt;wsp:rsid wsp:val=&quot;2BFD5A59&quot;/&gt;&lt;wsp:rsid wsp:val=&quot;2C085C29&quot;/&gt;&lt;wsp:rsid wsp:val=&quot;2CC71B66&quot;/&gt;&lt;wsp:rsid wsp:val=&quot;2CEA709A&quot;/&gt;&lt;wsp:rsid wsp:val=&quot;2E984EEC&quot;/&gt;&lt;wsp:rsid wsp:val=&quot;2F864D09&quot;/&gt;&lt;wsp:rsid wsp:val=&quot;30054DF8&quot;/&gt;&lt;wsp:rsid wsp:val=&quot;311173B8&quot;/&gt;&lt;wsp:rsid wsp:val=&quot;3164321B&quot;/&gt;&lt;wsp:rsid wsp:val=&quot;320816E9&quot;/&gt;&lt;wsp:rsid wsp:val=&quot;34F25E44&quot;/&gt;&lt;wsp:rsid wsp:val=&quot;35040631&quot;/&gt;&lt;wsp:rsid wsp:val=&quot;356F3BC3&quot;/&gt;&lt;wsp:rsid wsp:val=&quot;389879C3&quot;/&gt;&lt;wsp:rsid wsp:val=&quot;3978161E&quot;/&gt;&lt;wsp:rsid wsp:val=&quot;3C597CF8&quot;/&gt;&lt;wsp:rsid wsp:val=&quot;3CEA2FD5&quot;/&gt;&lt;wsp:rsid wsp:val=&quot;3D4F3D00&quot;/&gt;&lt;wsp:rsid wsp:val=&quot;3D8E534A&quot;/&gt;&lt;wsp:rsid wsp:val=&quot;3DD2229E&quot;/&gt;&lt;wsp:rsid wsp:val=&quot;44415E48&quot;/&gt;&lt;wsp:rsid wsp:val=&quot;447375B4&quot;/&gt;&lt;wsp:rsid wsp:val=&quot;44A343C8&quot;/&gt;&lt;wsp:rsid wsp:val=&quot;44C8231B&quot;/&gt;&lt;wsp:rsid wsp:val=&quot;45916230&quot;/&gt;&lt;wsp:rsid wsp:val=&quot;463E0C35&quot;/&gt;&lt;wsp:rsid wsp:val=&quot;46687557&quot;/&gt;&lt;wsp:rsid wsp:val=&quot;483A4554&quot;/&gt;&lt;wsp:rsid wsp:val=&quot;483F1305&quot;/&gt;&lt;wsp:rsid wsp:val=&quot;48B605EF&quot;/&gt;&lt;wsp:rsid wsp:val=&quot;49C113FF&quot;/&gt;&lt;wsp:rsid wsp:val=&quot;4AD71FB5&quot;/&gt;&lt;wsp:rsid wsp:val=&quot;4B6F3695&quot;/&gt;&lt;wsp:rsid wsp:val=&quot;4B983876&quot;/&gt;&lt;wsp:rsid wsp:val=&quot;4D1A7E8A&quot;/&gt;&lt;wsp:rsid wsp:val=&quot;4DA418BA&quot;/&gt;&lt;wsp:rsid wsp:val=&quot;4E876A8B&quot;/&gt;&lt;wsp:rsid wsp:val=&quot;4F0D6B55&quot;/&gt;&lt;wsp:rsid wsp:val=&quot;4F992EE3&quot;/&gt;&lt;wsp:rsid wsp:val=&quot;4FF92864&quot;/&gt;&lt;wsp:rsid wsp:val=&quot;50795C52&quot;/&gt;&lt;wsp:rsid wsp:val=&quot;51581C64&quot;/&gt;&lt;wsp:rsid wsp:val=&quot;52977EB7&quot;/&gt;&lt;wsp:rsid wsp:val=&quot;53721CD6&quot;/&gt;&lt;wsp:rsid wsp:val=&quot;53C7394A&quot;/&gt;&lt;wsp:rsid wsp:val=&quot;5522413C&quot;/&gt;&lt;wsp:rsid wsp:val=&quot;55720B8E&quot;/&gt;&lt;wsp:rsid wsp:val=&quot;55FB6408&quot;/&gt;&lt;wsp:rsid wsp:val=&quot;566B1E32&quot;/&gt;&lt;wsp:rsid wsp:val=&quot;57387B6B&quot;/&gt;&lt;wsp:rsid wsp:val=&quot;5773022F&quot;/&gt;&lt;wsp:rsid wsp:val=&quot;58E9297A&quot;/&gt;&lt;wsp:rsid wsp:val=&quot;58E94320&quot;/&gt;&lt;wsp:rsid wsp:val=&quot;5CFE21B3&quot;/&gt;&lt;wsp:rsid wsp:val=&quot;5D0C5E2E&quot;/&gt;&lt;wsp:rsid wsp:val=&quot;5DFC0162&quot;/&gt;&lt;wsp:rsid wsp:val=&quot;5E543CA3&quot;/&gt;&lt;wsp:rsid wsp:val=&quot;5EB23941&quot;/&gt;&lt;wsp:rsid wsp:val=&quot;5FC4581F&quot;/&gt;&lt;wsp:rsid wsp:val=&quot;5FDB5F8D&quot;/&gt;&lt;wsp:rsid wsp:val=&quot;613315A8&quot;/&gt;&lt;wsp:rsid wsp:val=&quot;62462BD1&quot;/&gt;&lt;wsp:rsid wsp:val=&quot;627A4288&quot;/&gt;&lt;wsp:rsid wsp:val=&quot;6328246D&quot;/&gt;&lt;wsp:rsid wsp:val=&quot;63A74C03&quot;/&gt;&lt;wsp:rsid wsp:val=&quot;642C1952&quot;/&gt;&lt;wsp:rsid wsp:val=&quot;64970F01&quot;/&gt;&lt;wsp:rsid wsp:val=&quot;64A22A05&quot;/&gt;&lt;wsp:rsid wsp:val=&quot;65E34872&quot;/&gt;&lt;wsp:rsid wsp:val=&quot;679631B0&quot;/&gt;&lt;wsp:rsid wsp:val=&quot;68EF546C&quot;/&gt;&lt;wsp:rsid wsp:val=&quot;69170032&quot;/&gt;&lt;wsp:rsid wsp:val=&quot;694B4271&quot;/&gt;&lt;wsp:rsid wsp:val=&quot;6B6524EF&quot;/&gt;&lt;wsp:rsid wsp:val=&quot;6BF1213E&quot;/&gt;&lt;wsp:rsid wsp:val=&quot;6D7A376E&quot;/&gt;&lt;wsp:rsid wsp:val=&quot;6EDD143D&quot;/&gt;&lt;wsp:rsid wsp:val=&quot;7013271D&quot;/&gt;&lt;wsp:rsid wsp:val=&quot;7127542B&quot;/&gt;&lt;wsp:rsid wsp:val=&quot;719E2CF2&quot;/&gt;&lt;wsp:rsid wsp:val=&quot;72AC27FE&quot;/&gt;&lt;wsp:rsid wsp:val=&quot;73524F49&quot;/&gt;&lt;wsp:rsid wsp:val=&quot;73AD1719&quot;/&gt;&lt;wsp:rsid wsp:val=&quot;74D33D47&quot;/&gt;&lt;wsp:rsid wsp:val=&quot;759C1D5F&quot;/&gt;&lt;wsp:rsid wsp:val=&quot;76A47E0A&quot;/&gt;&lt;wsp:rsid wsp:val=&quot;76C8622B&quot;/&gt;&lt;wsp:rsid wsp:val=&quot;776747E6&quot;/&gt;&lt;wsp:rsid wsp:val=&quot;78086CC4&quot;/&gt;&lt;wsp:rsid wsp:val=&quot;7C4918F5&quot;/&gt;&lt;wsp:rsid wsp:val=&quot;7D365B35&quot;/&gt;&lt;wsp:rsid wsp:val=&quot;7F3F6262&quot;/&gt;&lt;/wsp:rsids&gt;&lt;/w:docPr&gt;&lt;w:body&gt;&lt;wx:sect&gt;&lt;w:p wsp:rsidR=&quot;000E115C&quot; wsp:rsidRDefault=&quot;000E115C&quot; wsp:rsidP=&quot;000E115C&quot;&gt;&lt;m:oMathPara&gt;&lt;m:oMath&gt;&lt;m:r&gt;&lt;m:rPr&gt;&lt;m:sty m:val=&quot;p&quot;/&gt;&lt;/m:rPr&gt;&lt;w:rPr&gt;&lt;w:rFonts w:ascii=&quot;Cambria Math&quot; w:h-ansi=&quot;Cambria Math&quot;/&gt;&lt;wx:font wx:val=&quot;Cambria Math&quot;/&gt;&lt;w:sz w:val=&quot;28&quot;/&gt;&lt;w:sz-cs w:val=&quot;28&quot;/&gt;&lt;w:lang w:val=&quot;ZH-CN&quot;/&gt;&lt;/w:rPr&gt;&lt;m:t&gt;10S&lt;/m:t&gt;&lt;/m:r&gt;&lt;m:rad&gt;&lt;m:radPr&gt;&lt;m:degHide m:val=&quot;1&quot;/&gt;&lt;m:ctrlPr&gt;&lt;w:rPr&gt;&lt;w:rFonts w:ascii=&quot;Cambria Math&quot; w:h-ansi=&quot;Cambria Math&quot;/&gt;&lt;wx:font wx:val=&quot;Cambria Math&quot;/&gt;&lt;w:sz w:val=&quot;28&quot;/&gt;&lt;w:sz-cs w:val=&quot;28&quot;/&gt;&lt;w:lang w:val=&quot;ZH-CN&quot;/&gt;&lt;/w:rPr&gt;&lt;/m:ctrlPr&gt;&lt;/m:radPr&gt;&lt;m:deg/&gt;&lt;m:e&gt;&lt;m:r&gt;&lt;m:rPr&gt;&lt;m:sty m:val=&quot;p&quot;/&gt;&lt;/m:rPr&gt;&lt;w:rPr&gt;&lt;w:rFonts w:ascii=&quot;Cambria Math&quot; w:h-ansi=&quot;Cambria Math&quot;/&gt;&lt;wx:font wx:val=&quot;Cambria Math&quot;/&gt;&lt;w:sz w:val=&quot;28&quot;/&gt;&lt;w:sz-cs w:val=&quot;28&quot;/&gt;&lt;w:lang w:val=&quot;ZH-CN&quot;/&gt;&lt;/w:rPr&gt;&lt;m:t&gt;K&lt;/m:t&gt;&lt;/m:r&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6" chromakey="#FFFFFF" o:title=""/>
            <o:lock v:ext="edit" aspectratio="t"/>
            <w10:wrap type="none"/>
            <w10:anchorlock/>
          </v:shape>
        </w:pict>
      </w:r>
      <w:r>
        <w:rPr>
          <w:highlight w:val="black"/>
          <w:lang w:val="zh-CN"/>
        </w:rPr>
        <w:instrText xml:space="preserve"> </w:instrText>
      </w:r>
      <w:r>
        <w:rPr>
          <w:highlight w:val="black"/>
          <w:lang w:val="zh-CN"/>
        </w:rPr>
        <w:fldChar w:fldCharType="separate"/>
      </w:r>
      <w:r>
        <w:rPr>
          <w:highlight w:val="black"/>
        </w:rPr>
        <w:pict>
          <v:shape id="_x0000_i1028" o:spt="75" type="#_x0000_t75" style="height:22.35pt;width:27.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420&quot;/&gt;&lt;w:drawingGridHorizontalSpacing w:val=&quot;105&quot;/&gt;&lt;w:drawingGridVerticalSpacing w:val=&quot;156&quot;/&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NmZhZDg3NDg0MzU2YTY2MDU0NjRiMWFhZmU2YjE4MjQifQ==&quot;/&gt;&lt;/w:docVars&gt;&lt;wsp:rsids&gt;&lt;wsp:rsidRoot wsp:val=&quot;0090784C&quot;/&gt;&lt;wsp:rsid wsp:val=&quot;000002DD&quot;/&gt;&lt;wsp:rsid wsp:val=&quot;000003BE&quot;/&gt;&lt;wsp:rsid wsp:val=&quot;00000423&quot;/&gt;&lt;wsp:rsid wsp:val=&quot;0000088E&quot;/&gt;&lt;wsp:rsid wsp:val=&quot;000008D0&quot;/&gt;&lt;wsp:rsid wsp:val=&quot;00000AB7&quot;/&gt;&lt;wsp:rsid wsp:val=&quot;00001E6C&quot;/&gt;&lt;wsp:rsid wsp:val=&quot;00001EF5&quot;/&gt;&lt;wsp:rsid wsp:val=&quot;0000239F&quot;/&gt;&lt;wsp:rsid wsp:val=&quot;000026A6&quot;/&gt;&lt;wsp:rsid wsp:val=&quot;00002CDF&quot;/&gt;&lt;wsp:rsid wsp:val=&quot;0000370D&quot;/&gt;&lt;wsp:rsid wsp:val=&quot;000042A3&quot;/&gt;&lt;wsp:rsid wsp:val=&quot;000045DD&quot;/&gt;&lt;wsp:rsid wsp:val=&quot;000046E1&quot;/&gt;&lt;wsp:rsid wsp:val=&quot;00005DC1&quot;/&gt;&lt;wsp:rsid wsp:val=&quot;00006887&quot;/&gt;&lt;wsp:rsid wsp:val=&quot;00006A8E&quot;/&gt;&lt;wsp:rsid wsp:val=&quot;00006BE8&quot;/&gt;&lt;wsp:rsid wsp:val=&quot;00007523&quot;/&gt;&lt;wsp:rsid wsp:val=&quot;00007696&quot;/&gt;&lt;wsp:rsid wsp:val=&quot;00007EE9&quot;/&gt;&lt;wsp:rsid wsp:val=&quot;000103DE&quot;/&gt;&lt;wsp:rsid wsp:val=&quot;00010485&quot;/&gt;&lt;wsp:rsid wsp:val=&quot;00010BFC&quot;/&gt;&lt;wsp:rsid wsp:val=&quot;00011BCB&quot;/&gt;&lt;wsp:rsid wsp:val=&quot;00012748&quot;/&gt;&lt;wsp:rsid wsp:val=&quot;00012872&quot;/&gt;&lt;wsp:rsid wsp:val=&quot;000129D8&quot;/&gt;&lt;wsp:rsid wsp:val=&quot;00012EDF&quot;/&gt;&lt;wsp:rsid wsp:val=&quot;000133DA&quot;/&gt;&lt;wsp:rsid wsp:val=&quot;00013D0A&quot;/&gt;&lt;wsp:rsid wsp:val=&quot;00014477&quot;/&gt;&lt;wsp:rsid wsp:val=&quot;000149D9&quot;/&gt;&lt;wsp:rsid wsp:val=&quot;00014A05&quot;/&gt;&lt;wsp:rsid wsp:val=&quot;00015A8C&quot;/&gt;&lt;wsp:rsid wsp:val=&quot;0001652F&quot;/&gt;&lt;wsp:rsid wsp:val=&quot;000170DF&quot;/&gt;&lt;wsp:rsid wsp:val=&quot;00017183&quot;/&gt;&lt;wsp:rsid wsp:val=&quot;000203FC&quot;/&gt;&lt;wsp:rsid wsp:val=&quot;0002048C&quot;/&gt;&lt;wsp:rsid wsp:val=&quot;00021171&quot;/&gt;&lt;wsp:rsid wsp:val=&quot;000211E6&quot;/&gt;&lt;wsp:rsid wsp:val=&quot;0002211A&quot;/&gt;&lt;wsp:rsid wsp:val=&quot;000225E7&quot;/&gt;&lt;wsp:rsid wsp:val=&quot;0002277B&quot;/&gt;&lt;wsp:rsid wsp:val=&quot;00023239&quot;/&gt;&lt;wsp:rsid wsp:val=&quot;000241C1&quot;/&gt;&lt;wsp:rsid wsp:val=&quot;00024483&quot;/&gt;&lt;wsp:rsid wsp:val=&quot;00025ABC&quot;/&gt;&lt;wsp:rsid wsp:val=&quot;0002750E&quot;/&gt;&lt;wsp:rsid wsp:val=&quot;000305B3&quot;/&gt;&lt;wsp:rsid wsp:val=&quot;00031BDC&quot;/&gt;&lt;wsp:rsid wsp:val=&quot;00031F7C&quot;/&gt;&lt;wsp:rsid wsp:val=&quot;000320E0&quot;/&gt;&lt;wsp:rsid wsp:val=&quot;00033381&quot;/&gt;&lt;wsp:rsid wsp:val=&quot;00033FBC&quot;/&gt;&lt;wsp:rsid wsp:val=&quot;00035525&quot;/&gt;&lt;wsp:rsid wsp:val=&quot;0003568D&quot;/&gt;&lt;wsp:rsid wsp:val=&quot;00035B20&quot;/&gt;&lt;wsp:rsid wsp:val=&quot;00035F99&quot;/&gt;&lt;wsp:rsid wsp:val=&quot;00036CC1&quot;/&gt;&lt;wsp:rsid wsp:val=&quot;00037260&quot;/&gt;&lt;wsp:rsid wsp:val=&quot;000377F0&quot;/&gt;&lt;wsp:rsid wsp:val=&quot;00037CC3&quot;/&gt;&lt;wsp:rsid wsp:val=&quot;00037FFA&quot;/&gt;&lt;wsp:rsid wsp:val=&quot;00040146&quot;/&gt;&lt;wsp:rsid wsp:val=&quot;000403A8&quot;/&gt;&lt;wsp:rsid wsp:val=&quot;00041C4C&quot;/&gt;&lt;wsp:rsid wsp:val=&quot;00042106&quot;/&gt;&lt;wsp:rsid wsp:val=&quot;00043581&quot;/&gt;&lt;wsp:rsid wsp:val=&quot;00043DEC&quot;/&gt;&lt;wsp:rsid wsp:val=&quot;00043E23&quot;/&gt;&lt;wsp:rsid wsp:val=&quot;00044659&quot;/&gt;&lt;wsp:rsid wsp:val=&quot;00045090&quot;/&gt;&lt;wsp:rsid wsp:val=&quot;000450EB&quot;/&gt;&lt;wsp:rsid wsp:val=&quot;00045102&quot;/&gt;&lt;wsp:rsid wsp:val=&quot;000460D6&quot;/&gt;&lt;wsp:rsid wsp:val=&quot;00046677&quot;/&gt;&lt;wsp:rsid wsp:val=&quot;0004733D&quot;/&gt;&lt;wsp:rsid wsp:val=&quot;00047E49&quot;/&gt;&lt;wsp:rsid wsp:val=&quot;00050093&quot;/&gt;&lt;wsp:rsid wsp:val=&quot;000500C2&quot;/&gt;&lt;wsp:rsid wsp:val=&quot;00051FD6&quot;/&gt;&lt;wsp:rsid wsp:val=&quot;000525D7&quot;/&gt;&lt;wsp:rsid wsp:val=&quot;00052ED8&quot;/&gt;&lt;wsp:rsid wsp:val=&quot;00052FC3&quot;/&gt;&lt;wsp:rsid wsp:val=&quot;00052FF7&quot;/&gt;&lt;wsp:rsid wsp:val=&quot;00054220&quot;/&gt;&lt;wsp:rsid wsp:val=&quot;0005559B&quot;/&gt;&lt;wsp:rsid wsp:val=&quot;0005560C&quot;/&gt;&lt;wsp:rsid wsp:val=&quot;00055B02&quot;/&gt;&lt;wsp:rsid wsp:val=&quot;000562AA&quot;/&gt;&lt;wsp:rsid wsp:val=&quot;0005638B&quot;/&gt;&lt;wsp:rsid wsp:val=&quot;000573B8&quot;/&gt;&lt;wsp:rsid wsp:val=&quot;000600AC&quot;/&gt;&lt;wsp:rsid wsp:val=&quot;000606A4&quot;/&gt;&lt;wsp:rsid wsp:val=&quot;000615B7&quot;/&gt;&lt;wsp:rsid wsp:val=&quot;00062085&quot;/&gt;&lt;wsp:rsid wsp:val=&quot;0006237E&quot;/&gt;&lt;wsp:rsid wsp:val=&quot;00062FDE&quot;/&gt;&lt;wsp:rsid wsp:val=&quot;000636C9&quot;/&gt;&lt;wsp:rsid wsp:val=&quot;00063F7D&quot;/&gt;&lt;wsp:rsid wsp:val=&quot;00064644&quot;/&gt;&lt;wsp:rsid wsp:val=&quot;000652C1&quot;/&gt;&lt;wsp:rsid wsp:val=&quot;0006625B&quot;/&gt;&lt;wsp:rsid wsp:val=&quot;000663C2&quot;/&gt;&lt;wsp:rsid wsp:val=&quot;000663CF&quot;/&gt;&lt;wsp:rsid wsp:val=&quot;000665FB&quot;/&gt;&lt;wsp:rsid wsp:val=&quot;0006663F&quot;/&gt;&lt;wsp:rsid wsp:val=&quot;000677D0&quot;/&gt;&lt;wsp:rsid wsp:val=&quot;000719FB&quot;/&gt;&lt;wsp:rsid wsp:val=&quot;0007210D&quot;/&gt;&lt;wsp:rsid wsp:val=&quot;0007214D&quot;/&gt;&lt;wsp:rsid wsp:val=&quot;00072818&quot;/&gt;&lt;wsp:rsid wsp:val=&quot;000734BB&quot;/&gt;&lt;wsp:rsid wsp:val=&quot;00073A03&quot;/&gt;&lt;wsp:rsid wsp:val=&quot;0007545C&quot;/&gt;&lt;wsp:rsid wsp:val=&quot;000755E5&quot;/&gt;&lt;wsp:rsid wsp:val=&quot;00077723&quot;/&gt;&lt;wsp:rsid wsp:val=&quot;00077D97&quot;/&gt;&lt;wsp:rsid wsp:val=&quot;000806DE&quot;/&gt;&lt;wsp:rsid wsp:val=&quot;00084588&quot;/&gt;&lt;wsp:rsid wsp:val=&quot;0008467B&quot;/&gt;&lt;wsp:rsid wsp:val=&quot;00085DC8&quot;/&gt;&lt;wsp:rsid wsp:val=&quot;0008604E&quot;/&gt;&lt;wsp:rsid wsp:val=&quot;000862D3&quot;/&gt;&lt;wsp:rsid wsp:val=&quot;00086850&quot;/&gt;&lt;wsp:rsid wsp:val=&quot;00086EF2&quot;/&gt;&lt;wsp:rsid wsp:val=&quot;00087C2C&quot;/&gt;&lt;wsp:rsid wsp:val=&quot;00090F2B&quot;/&gt;&lt;wsp:rsid wsp:val=&quot;00091BEA&quot;/&gt;&lt;wsp:rsid wsp:val=&quot;000922C8&quot;/&gt;&lt;wsp:rsid wsp:val=&quot;00092580&quot;/&gt;&lt;wsp:rsid wsp:val=&quot;00092DAE&quot;/&gt;&lt;wsp:rsid wsp:val=&quot;00093722&quot;/&gt;&lt;wsp:rsid wsp:val=&quot;00093B95&quot;/&gt;&lt;wsp:rsid wsp:val=&quot;0009492D&quot;/&gt;&lt;wsp:rsid wsp:val=&quot;0009602E&quot;/&gt;&lt;wsp:rsid wsp:val=&quot;00096824&quot;/&gt;&lt;wsp:rsid wsp:val=&quot;00096915&quot;/&gt;&lt;wsp:rsid wsp:val=&quot;000971A7&quot;/&gt;&lt;wsp:rsid wsp:val=&quot;00097C9E&quot;/&gt;&lt;wsp:rsid wsp:val=&quot;000A0507&quot;/&gt;&lt;wsp:rsid wsp:val=&quot;000A0827&quot;/&gt;&lt;wsp:rsid wsp:val=&quot;000A1D0F&quot;/&gt;&lt;wsp:rsid wsp:val=&quot;000A39DB&quot;/&gt;&lt;wsp:rsid wsp:val=&quot;000A3E69&quot;/&gt;&lt;wsp:rsid wsp:val=&quot;000A4F24&quot;/&gt;&lt;wsp:rsid wsp:val=&quot;000A4F27&quot;/&gt;&lt;wsp:rsid wsp:val=&quot;000A5392&quot;/&gt;&lt;wsp:rsid wsp:val=&quot;000A5601&quot;/&gt;&lt;wsp:rsid wsp:val=&quot;000A617C&quot;/&gt;&lt;wsp:rsid wsp:val=&quot;000A718F&quot;/&gt;&lt;wsp:rsid wsp:val=&quot;000A7868&quot;/&gt;&lt;wsp:rsid wsp:val=&quot;000A7D3F&quot;/&gt;&lt;wsp:rsid wsp:val=&quot;000B09F3&quot;/&gt;&lt;wsp:rsid wsp:val=&quot;000B0F6D&quot;/&gt;&lt;wsp:rsid wsp:val=&quot;000B2381&quot;/&gt;&lt;wsp:rsid wsp:val=&quot;000B2E36&quot;/&gt;&lt;wsp:rsid wsp:val=&quot;000B32BD&quot;/&gt;&lt;wsp:rsid wsp:val=&quot;000B3781&quot;/&gt;&lt;wsp:rsid wsp:val=&quot;000B3AF0&quot;/&gt;&lt;wsp:rsid wsp:val=&quot;000B533D&quot;/&gt;&lt;wsp:rsid wsp:val=&quot;000B5427&quot;/&gt;&lt;wsp:rsid wsp:val=&quot;000B5601&quot;/&gt;&lt;wsp:rsid wsp:val=&quot;000B5EC1&quot;/&gt;&lt;wsp:rsid wsp:val=&quot;000B6169&quot;/&gt;&lt;wsp:rsid wsp:val=&quot;000B61A0&quot;/&gt;&lt;wsp:rsid wsp:val=&quot;000B63AD&quot;/&gt;&lt;wsp:rsid wsp:val=&quot;000B716A&quot;/&gt;&lt;wsp:rsid wsp:val=&quot;000C180C&quot;/&gt;&lt;wsp:rsid wsp:val=&quot;000C2DBC&quot;/&gt;&lt;wsp:rsid wsp:val=&quot;000C2E4D&quot;/&gt;&lt;wsp:rsid wsp:val=&quot;000C3B44&quot;/&gt;&lt;wsp:rsid wsp:val=&quot;000C3BF4&quot;/&gt;&lt;wsp:rsid wsp:val=&quot;000C4045&quot;/&gt;&lt;wsp:rsid wsp:val=&quot;000C451C&quot;/&gt;&lt;wsp:rsid wsp:val=&quot;000C4C64&quot;/&gt;&lt;wsp:rsid wsp:val=&quot;000C68B1&quot;/&gt;&lt;wsp:rsid wsp:val=&quot;000C75F3&quot;/&gt;&lt;wsp:rsid wsp:val=&quot;000C7B13&quot;/&gt;&lt;wsp:rsid wsp:val=&quot;000D1200&quot;/&gt;&lt;wsp:rsid wsp:val=&quot;000D13C0&quot;/&gt;&lt;wsp:rsid wsp:val=&quot;000D1969&quot;/&gt;&lt;wsp:rsid wsp:val=&quot;000D1AC8&quot;/&gt;&lt;wsp:rsid wsp:val=&quot;000D1B5E&quot;/&gt;&lt;wsp:rsid wsp:val=&quot;000D294E&quot;/&gt;&lt;wsp:rsid wsp:val=&quot;000D3DC9&quot;/&gt;&lt;wsp:rsid wsp:val=&quot;000D5181&quot;/&gt;&lt;wsp:rsid wsp:val=&quot;000D551B&quot;/&gt;&lt;wsp:rsid wsp:val=&quot;000D5609&quot;/&gt;&lt;wsp:rsid wsp:val=&quot;000D5BBF&quot;/&gt;&lt;wsp:rsid wsp:val=&quot;000D78FB&quot;/&gt;&lt;wsp:rsid wsp:val=&quot;000E0061&quot;/&gt;&lt;wsp:rsid wsp:val=&quot;000E034A&quot;/&gt;&lt;wsp:rsid wsp:val=&quot;000E08D6&quot;/&gt;&lt;wsp:rsid wsp:val=&quot;000E100B&quot;/&gt;&lt;wsp:rsid wsp:val=&quot;000E115C&quot;/&gt;&lt;wsp:rsid wsp:val=&quot;000E304D&quot;/&gt;&lt;wsp:rsid wsp:val=&quot;000E35E4&quot;/&gt;&lt;wsp:rsid wsp:val=&quot;000E3DA1&quot;/&gt;&lt;wsp:rsid wsp:val=&quot;000E4759&quot;/&gt;&lt;wsp:rsid wsp:val=&quot;000E5007&quot;/&gt;&lt;wsp:rsid wsp:val=&quot;000E546F&quot;/&gt;&lt;wsp:rsid wsp:val=&quot;000E5F4B&quot;/&gt;&lt;wsp:rsid wsp:val=&quot;000E67B7&quot;/&gt;&lt;wsp:rsid wsp:val=&quot;000E6D8F&quot;/&gt;&lt;wsp:rsid wsp:val=&quot;000F12E8&quot;/&gt;&lt;wsp:rsid wsp:val=&quot;000F12EA&quot;/&gt;&lt;wsp:rsid wsp:val=&quot;000F2222&quot;/&gt;&lt;wsp:rsid wsp:val=&quot;000F2532&quot;/&gt;&lt;wsp:rsid wsp:val=&quot;000F2D1A&quot;/&gt;&lt;wsp:rsid wsp:val=&quot;000F344F&quot;/&gt;&lt;wsp:rsid wsp:val=&quot;000F41E4&quot;/&gt;&lt;wsp:rsid wsp:val=&quot;000F4F88&quot;/&gt;&lt;wsp:rsid wsp:val=&quot;000F5466&quot;/&gt;&lt;wsp:rsid wsp:val=&quot;000F60F9&quot;/&gt;&lt;wsp:rsid wsp:val=&quot;000F64FA&quot;/&gt;&lt;wsp:rsid wsp:val=&quot;000F7005&quot;/&gt;&lt;wsp:rsid wsp:val=&quot;000F7B79&quot;/&gt;&lt;wsp:rsid wsp:val=&quot;000F7DF5&quot;/&gt;&lt;wsp:rsid wsp:val=&quot;0010143C&quot;/&gt;&lt;wsp:rsid wsp:val=&quot;0010152A&quot;/&gt;&lt;wsp:rsid wsp:val=&quot;00101989&quot;/&gt;&lt;wsp:rsid wsp:val=&quot;001025F8&quot;/&gt;&lt;wsp:rsid wsp:val=&quot;00102DF5&quot;/&gt;&lt;wsp:rsid wsp:val=&quot;0010314E&quot;/&gt;&lt;wsp:rsid wsp:val=&quot;0010394B&quot;/&gt;&lt;wsp:rsid wsp:val=&quot;00103BA1&quot;/&gt;&lt;wsp:rsid wsp:val=&quot;00103F80&quot;/&gt;&lt;wsp:rsid wsp:val=&quot;00104196&quot;/&gt;&lt;wsp:rsid wsp:val=&quot;001046F3&quot;/&gt;&lt;wsp:rsid wsp:val=&quot;0010691E&quot;/&gt;&lt;wsp:rsid wsp:val=&quot;00107E34&quot;/&gt;&lt;wsp:rsid wsp:val=&quot;001100B9&quot;/&gt;&lt;wsp:rsid wsp:val=&quot;001110F5&quot;/&gt;&lt;wsp:rsid wsp:val=&quot;00111295&quot;/&gt;&lt;wsp:rsid wsp:val=&quot;00112416&quot;/&gt;&lt;wsp:rsid wsp:val=&quot;001131B8&quot;/&gt;&lt;wsp:rsid wsp:val=&quot;00114519&quot;/&gt;&lt;wsp:rsid wsp:val=&quot;00114870&quot;/&gt;&lt;wsp:rsid wsp:val=&quot;0011590B&quot;/&gt;&lt;wsp:rsid wsp:val=&quot;00115A8E&quot;/&gt;&lt;wsp:rsid wsp:val=&quot;001168A8&quot;/&gt;&lt;wsp:rsid wsp:val=&quot;0011690A&quot;/&gt;&lt;wsp:rsid wsp:val=&quot;001172F1&quot;/&gt;&lt;wsp:rsid wsp:val=&quot;00117A20&quot;/&gt;&lt;wsp:rsid wsp:val=&quot;00120110&quot;/&gt;&lt;wsp:rsid wsp:val=&quot;00122229&quot;/&gt;&lt;wsp:rsid wsp:val=&quot;00122CCF&quot;/&gt;&lt;wsp:rsid wsp:val=&quot;00123841&quot;/&gt;&lt;wsp:rsid wsp:val=&quot;00124A46&quot;/&gt;&lt;wsp:rsid wsp:val=&quot;00124B5A&quot;/&gt;&lt;wsp:rsid wsp:val=&quot;001252B5&quot;/&gt;&lt;wsp:rsid wsp:val=&quot;0012555B&quot;/&gt;&lt;wsp:rsid wsp:val=&quot;00125774&quot;/&gt;&lt;wsp:rsid wsp:val=&quot;00125AD2&quot;/&gt;&lt;wsp:rsid wsp:val=&quot;00131032&quot;/&gt;&lt;wsp:rsid wsp:val=&quot;001352D5&quot;/&gt;&lt;wsp:rsid wsp:val=&quot;0013575D&quot;/&gt;&lt;wsp:rsid wsp:val=&quot;00135F21&quot;/&gt;&lt;wsp:rsid wsp:val=&quot;00136328&quot;/&gt;&lt;wsp:rsid wsp:val=&quot;00136723&quot;/&gt;&lt;wsp:rsid wsp:val=&quot;00137575&quot;/&gt;&lt;wsp:rsid wsp:val=&quot;00137C38&quot;/&gt;&lt;wsp:rsid wsp:val=&quot;00140494&quot;/&gt;&lt;wsp:rsid wsp:val=&quot;0014141B&quot;/&gt;&lt;wsp:rsid wsp:val=&quot;00141E22&quot;/&gt;&lt;wsp:rsid wsp:val=&quot;00141E90&quot;/&gt;&lt;wsp:rsid wsp:val=&quot;001423E8&quot;/&gt;&lt;wsp:rsid wsp:val=&quot;001429DF&quot;/&gt;&lt;wsp:rsid wsp:val=&quot;00142AE2&quot;/&gt;&lt;wsp:rsid wsp:val=&quot;00143BDD&quot;/&gt;&lt;wsp:rsid wsp:val=&quot;00144609&quot;/&gt;&lt;wsp:rsid wsp:val=&quot;00145E92&quot;/&gt;&lt;wsp:rsid wsp:val=&quot;001472F1&quot;/&gt;&lt;wsp:rsid wsp:val=&quot;001505F2&quot;/&gt;&lt;wsp:rsid wsp:val=&quot;001513BC&quot;/&gt;&lt;wsp:rsid wsp:val=&quot;0015194A&quot;/&gt;&lt;wsp:rsid wsp:val=&quot;001526A3&quot;/&gt;&lt;wsp:rsid wsp:val=&quot;00153417&quot;/&gt;&lt;wsp:rsid wsp:val=&quot;001534E8&quot;/&gt;&lt;wsp:rsid wsp:val=&quot;00153538&quot;/&gt;&lt;wsp:rsid wsp:val=&quot;00153A3C&quot;/&gt;&lt;wsp:rsid wsp:val=&quot;001541A2&quot;/&gt;&lt;wsp:rsid wsp:val=&quot;001554F9&quot;/&gt;&lt;wsp:rsid wsp:val=&quot;00155556&quot;/&gt;&lt;wsp:rsid wsp:val=&quot;00155806&quot;/&gt;&lt;wsp:rsid wsp:val=&quot;0015580E&quot;/&gt;&lt;wsp:rsid wsp:val=&quot;001571D9&quot;/&gt;&lt;wsp:rsid wsp:val=&quot;00157B67&quot;/&gt;&lt;wsp:rsid wsp:val=&quot;00157F61&quot;/&gt;&lt;wsp:rsid wsp:val=&quot;00160318&quot;/&gt;&lt;wsp:rsid wsp:val=&quot;0016139E&quot;/&gt;&lt;wsp:rsid wsp:val=&quot;00161B80&quot;/&gt;&lt;wsp:rsid wsp:val=&quot;00161BA8&quot;/&gt;&lt;wsp:rsid wsp:val=&quot;00162866&quot;/&gt;&lt;wsp:rsid wsp:val=&quot;001628A5&quot;/&gt;&lt;wsp:rsid wsp:val=&quot;00162A0D&quot;/&gt;&lt;wsp:rsid wsp:val=&quot;00162CB2&quot;/&gt;&lt;wsp:rsid wsp:val=&quot;001630CF&quot;/&gt;&lt;wsp:rsid wsp:val=&quot;00163FF1&quot;/&gt;&lt;wsp:rsid wsp:val=&quot;00164F35&quot;/&gt;&lt;wsp:rsid wsp:val=&quot;00165041&quot;/&gt;&lt;wsp:rsid wsp:val=&quot;0017083D&quot;/&gt;&lt;wsp:rsid wsp:val=&quot;001715B8&quot;/&gt;&lt;wsp:rsid wsp:val=&quot;0017269E&quot;/&gt;&lt;wsp:rsid wsp:val=&quot;00172817&quot;/&gt;&lt;wsp:rsid wsp:val=&quot;00172E1F&quot;/&gt;&lt;wsp:rsid wsp:val=&quot;00173178&quot;/&gt;&lt;wsp:rsid wsp:val=&quot;001732F7&quot;/&gt;&lt;wsp:rsid wsp:val=&quot;00173547&quot;/&gt;&lt;wsp:rsid wsp:val=&quot;00173C65&quot;/&gt;&lt;wsp:rsid wsp:val=&quot;00173E21&quot;/&gt;&lt;wsp:rsid wsp:val=&quot;00174162&quot;/&gt;&lt;wsp:rsid wsp:val=&quot;0017493B&quot;/&gt;&lt;wsp:rsid wsp:val=&quot;00175D7F&quot;/&gt;&lt;wsp:rsid wsp:val=&quot;001770B3&quot;/&gt;&lt;wsp:rsid wsp:val=&quot;00177799&quot;/&gt;&lt;wsp:rsid wsp:val=&quot;001777E8&quot;/&gt;&lt;wsp:rsid wsp:val=&quot;00177EC3&quot;/&gt;&lt;wsp:rsid wsp:val=&quot;001826C0&quot;/&gt;&lt;wsp:rsid wsp:val=&quot;00183667&quot;/&gt;&lt;wsp:rsid wsp:val=&quot;001862D2&quot;/&gt;&lt;wsp:rsid wsp:val=&quot;00186760&quot;/&gt;&lt;wsp:rsid wsp:val=&quot;001867E2&quot;/&gt;&lt;wsp:rsid wsp:val=&quot;001867FA&quot;/&gt;&lt;wsp:rsid wsp:val=&quot;00187FD9&quot;/&gt;&lt;wsp:rsid wsp:val=&quot;0019004D&quot;/&gt;&lt;wsp:rsid wsp:val=&quot;00190460&quot;/&gt;&lt;wsp:rsid wsp:val=&quot;00190523&quot;/&gt;&lt;wsp:rsid wsp:val=&quot;00190685&quot;/&gt;&lt;wsp:rsid wsp:val=&quot;0019103A&quot;/&gt;&lt;wsp:rsid wsp:val=&quot;00191382&quot;/&gt;&lt;wsp:rsid wsp:val=&quot;00191418&quot;/&gt;&lt;wsp:rsid wsp:val=&quot;001916FC&quot;/&gt;&lt;wsp:rsid wsp:val=&quot;001927E2&quot;/&gt;&lt;wsp:rsid wsp:val=&quot;00192B97&quot;/&gt;&lt;wsp:rsid wsp:val=&quot;00192C17&quot;/&gt;&lt;wsp:rsid wsp:val=&quot;00193675&quot;/&gt;&lt;wsp:rsid wsp:val=&quot;00194024&quot;/&gt;&lt;wsp:rsid wsp:val=&quot;0019512B&quot;/&gt;&lt;wsp:rsid wsp:val=&quot;001954C9&quot;/&gt;&lt;wsp:rsid wsp:val=&quot;00195CAD&quot;/&gt;&lt;wsp:rsid wsp:val=&quot;001964FD&quot;/&gt;&lt;wsp:rsid wsp:val=&quot;0019686C&quot;/&gt;&lt;wsp:rsid wsp:val=&quot;001A0C70&quot;/&gt;&lt;wsp:rsid wsp:val=&quot;001A0EFD&quot;/&gt;&lt;wsp:rsid wsp:val=&quot;001A1722&quot;/&gt;&lt;wsp:rsid wsp:val=&quot;001A1D45&quot;/&gt;&lt;wsp:rsid wsp:val=&quot;001A299B&quot;/&gt;&lt;wsp:rsid wsp:val=&quot;001A4777&quot;/&gt;&lt;wsp:rsid wsp:val=&quot;001A4911&quot;/&gt;&lt;wsp:rsid wsp:val=&quot;001A5404&quot;/&gt;&lt;wsp:rsid wsp:val=&quot;001A61C2&quot;/&gt;&lt;wsp:rsid wsp:val=&quot;001A6805&quot;/&gt;&lt;wsp:rsid wsp:val=&quot;001A72DA&quot;/&gt;&lt;wsp:rsid wsp:val=&quot;001A7351&quot;/&gt;&lt;wsp:rsid wsp:val=&quot;001B0AC4&quot;/&gt;&lt;wsp:rsid wsp:val=&quot;001B1AD8&quot;/&gt;&lt;wsp:rsid wsp:val=&quot;001B23F6&quot;/&gt;&lt;wsp:rsid wsp:val=&quot;001B24DF&quot;/&gt;&lt;wsp:rsid wsp:val=&quot;001B24ED&quot;/&gt;&lt;wsp:rsid wsp:val=&quot;001B26C4&quot;/&gt;&lt;wsp:rsid wsp:val=&quot;001B2B90&quot;/&gt;&lt;wsp:rsid wsp:val=&quot;001B3AC1&quot;/&gt;&lt;wsp:rsid wsp:val=&quot;001B4FF6&quot;/&gt;&lt;wsp:rsid wsp:val=&quot;001B502A&quot;/&gt;&lt;wsp:rsid wsp:val=&quot;001B5121&quot;/&gt;&lt;wsp:rsid wsp:val=&quot;001B60FC&quot;/&gt;&lt;wsp:rsid wsp:val=&quot;001B647D&quot;/&gt;&lt;wsp:rsid wsp:val=&quot;001B6627&quot;/&gt;&lt;wsp:rsid wsp:val=&quot;001B7557&quot;/&gt;&lt;wsp:rsid wsp:val=&quot;001C09BC&quot;/&gt;&lt;wsp:rsid wsp:val=&quot;001C1C89&quot;/&gt;&lt;wsp:rsid wsp:val=&quot;001C2F35&quot;/&gt;&lt;wsp:rsid wsp:val=&quot;001C370B&quot;/&gt;&lt;wsp:rsid wsp:val=&quot;001C38A7&quot;/&gt;&lt;wsp:rsid wsp:val=&quot;001C38C4&quot;/&gt;&lt;wsp:rsid wsp:val=&quot;001C402C&quot;/&gt;&lt;wsp:rsid wsp:val=&quot;001C4619&quot;/&gt;&lt;wsp:rsid wsp:val=&quot;001C48CC&quot;/&gt;&lt;wsp:rsid wsp:val=&quot;001C533C&quot;/&gt;&lt;wsp:rsid wsp:val=&quot;001C5F7F&quot;/&gt;&lt;wsp:rsid wsp:val=&quot;001C6C30&quot;/&gt;&lt;wsp:rsid wsp:val=&quot;001C6E2C&quot;/&gt;&lt;wsp:rsid wsp:val=&quot;001C7CAB&quot;/&gt;&lt;wsp:rsid wsp:val=&quot;001C7D45&quot;/&gt;&lt;wsp:rsid wsp:val=&quot;001D158C&quot;/&gt;&lt;wsp:rsid wsp:val=&quot;001D203A&quot;/&gt;&lt;wsp:rsid wsp:val=&quot;001D2686&quot;/&gt;&lt;wsp:rsid wsp:val=&quot;001D2F17&quot;/&gt;&lt;wsp:rsid wsp:val=&quot;001D2FAE&quot;/&gt;&lt;wsp:rsid wsp:val=&quot;001D3581&quot;/&gt;&lt;wsp:rsid wsp:val=&quot;001D39C7&quot;/&gt;&lt;wsp:rsid wsp:val=&quot;001D45E6&quot;/&gt;&lt;wsp:rsid wsp:val=&quot;001D4C13&quot;/&gt;&lt;wsp:rsid wsp:val=&quot;001D54DA&quot;/&gt;&lt;wsp:rsid wsp:val=&quot;001D595A&quot;/&gt;&lt;wsp:rsid wsp:val=&quot;001D5A3B&quot;/&gt;&lt;wsp:rsid wsp:val=&quot;001D5CAB&quot;/&gt;&lt;wsp:rsid wsp:val=&quot;001D5EAB&quot;/&gt;&lt;wsp:rsid wsp:val=&quot;001D6FED&quot;/&gt;&lt;wsp:rsid wsp:val=&quot;001E1CFA&quot;/&gt;&lt;wsp:rsid wsp:val=&quot;001E2B24&quot;/&gt;&lt;wsp:rsid wsp:val=&quot;001E2EA4&quot;/&gt;&lt;wsp:rsid wsp:val=&quot;001E3117&quot;/&gt;&lt;wsp:rsid wsp:val=&quot;001E35F9&quot;/&gt;&lt;wsp:rsid wsp:val=&quot;001E3B1C&quot;/&gt;&lt;wsp:rsid wsp:val=&quot;001E3FA7&quot;/&gt;&lt;wsp:rsid wsp:val=&quot;001E4057&quot;/&gt;&lt;wsp:rsid wsp:val=&quot;001E4C54&quot;/&gt;&lt;wsp:rsid wsp:val=&quot;001E5549&quot;/&gt;&lt;wsp:rsid wsp:val=&quot;001E59A9&quot;/&gt;&lt;wsp:rsid wsp:val=&quot;001F02C4&quot;/&gt;&lt;wsp:rsid wsp:val=&quot;001F0B6A&quot;/&gt;&lt;wsp:rsid wsp:val=&quot;001F1D7E&quot;/&gt;&lt;wsp:rsid wsp:val=&quot;001F20BC&quot;/&gt;&lt;wsp:rsid wsp:val=&quot;001F24AB&quot;/&gt;&lt;wsp:rsid wsp:val=&quot;001F6705&quot;/&gt;&lt;wsp:rsid wsp:val=&quot;001F72DA&quot;/&gt;&lt;wsp:rsid wsp:val=&quot;001F7365&quot;/&gt;&lt;wsp:rsid wsp:val=&quot;001F73A5&quot;/&gt;&lt;wsp:rsid wsp:val=&quot;001F7732&quot;/&gt;&lt;wsp:rsid wsp:val=&quot;001F7D00&quot;/&gt;&lt;wsp:rsid wsp:val=&quot;002000FD&quot;/&gt;&lt;wsp:rsid wsp:val=&quot;00200DE6&quot;/&gt;&lt;wsp:rsid wsp:val=&quot;00201DC3&quot;/&gt;&lt;wsp:rsid wsp:val=&quot;0020289F&quot;/&gt;&lt;wsp:rsid wsp:val=&quot;002028E9&quot;/&gt;&lt;wsp:rsid wsp:val=&quot;0020393F&quot;/&gt;&lt;wsp:rsid wsp:val=&quot;00203A7D&quot;/&gt;&lt;wsp:rsid wsp:val=&quot;00204703&quot;/&gt;&lt;wsp:rsid wsp:val=&quot;002049D8&quot;/&gt;&lt;wsp:rsid wsp:val=&quot;00204CBA&quot;/&gt;&lt;wsp:rsid wsp:val=&quot;00205001&quot;/&gt;&lt;wsp:rsid wsp:val=&quot;0020549B&quot;/&gt;&lt;wsp:rsid wsp:val=&quot;00206E65&quot;/&gt;&lt;wsp:rsid wsp:val=&quot;002102E5&quot;/&gt;&lt;wsp:rsid wsp:val=&quot;00210D66&quot;/&gt;&lt;wsp:rsid wsp:val=&quot;00210E83&quot;/&gt;&lt;wsp:rsid wsp:val=&quot;00210EFE&quot;/&gt;&lt;wsp:rsid wsp:val=&quot;00211492&quot;/&gt;&lt;wsp:rsid wsp:val=&quot;002115B9&quot;/&gt;&lt;wsp:rsid wsp:val=&quot;00214471&quot;/&gt;&lt;wsp:rsid wsp:val=&quot;00214C72&quot;/&gt;&lt;wsp:rsid wsp:val=&quot;0021503C&quot;/&gt;&lt;wsp:rsid wsp:val=&quot;00215288&quot;/&gt;&lt;wsp:rsid wsp:val=&quot;00215AFB&quot;/&gt;&lt;wsp:rsid wsp:val=&quot;00215FB1&quot;/&gt;&lt;wsp:rsid wsp:val=&quot;002166F8&quot;/&gt;&lt;wsp:rsid wsp:val=&quot;00216A03&quot;/&gt;&lt;wsp:rsid wsp:val=&quot;00216F08&quot;/&gt;&lt;wsp:rsid wsp:val=&quot;00216F89&quot;/&gt;&lt;wsp:rsid wsp:val=&quot;00216FC4&quot;/&gt;&lt;wsp:rsid wsp:val=&quot;002174DA&quot;/&gt;&lt;wsp:rsid wsp:val=&quot;0021757D&quot;/&gt;&lt;wsp:rsid wsp:val=&quot;002178E1&quot;/&gt;&lt;wsp:rsid wsp:val=&quot;002200EE&quot;/&gt;&lt;wsp:rsid wsp:val=&quot;00220361&quot;/&gt;&lt;wsp:rsid wsp:val=&quot;0022054B&quot;/&gt;&lt;wsp:rsid wsp:val=&quot;00220D08&quot;/&gt;&lt;wsp:rsid wsp:val=&quot;00221047&quot;/&gt;&lt;wsp:rsid wsp:val=&quot;002210D9&quot;/&gt;&lt;wsp:rsid wsp:val=&quot;00221295&quot;/&gt;&lt;wsp:rsid wsp:val=&quot;002213B3&quot;/&gt;&lt;wsp:rsid wsp:val=&quot;00221708&quot;/&gt;&lt;wsp:rsid wsp:val=&quot;00221E3F&quot;/&gt;&lt;wsp:rsid wsp:val=&quot;002235D8&quot;/&gt;&lt;wsp:rsid wsp:val=&quot;00223676&quot;/&gt;&lt;wsp:rsid wsp:val=&quot;002261D0&quot;/&gt;&lt;wsp:rsid wsp:val=&quot;0022639A&quot;/&gt;&lt;wsp:rsid wsp:val=&quot;00226DD0&quot;/&gt;&lt;wsp:rsid wsp:val=&quot;00227C01&quot;/&gt;&lt;wsp:rsid wsp:val=&quot;00227D93&quot;/&gt;&lt;wsp:rsid wsp:val=&quot;00227DFB&quot;/&gt;&lt;wsp:rsid wsp:val=&quot;0023045B&quot;/&gt;&lt;wsp:rsid wsp:val=&quot;00231054&quot;/&gt;&lt;wsp:rsid wsp:val=&quot;002319AA&quot;/&gt;&lt;wsp:rsid wsp:val=&quot;00231B2F&quot;/&gt;&lt;wsp:rsid wsp:val=&quot;00231C44&quot;/&gt;&lt;wsp:rsid wsp:val=&quot;00232471&quot;/&gt;&lt;wsp:rsid wsp:val=&quot;00232AA5&quot;/&gt;&lt;wsp:rsid wsp:val=&quot;00232CB0&quot;/&gt;&lt;wsp:rsid wsp:val=&quot;002338FE&quot;/&gt;&lt;wsp:rsid wsp:val=&quot;00233A6B&quot;/&gt;&lt;wsp:rsid wsp:val=&quot;00233AA6&quot;/&gt;&lt;wsp:rsid wsp:val=&quot;00233BD4&quot;/&gt;&lt;wsp:rsid wsp:val=&quot;00235687&quot;/&gt;&lt;wsp:rsid wsp:val=&quot;00236514&quot;/&gt;&lt;wsp:rsid wsp:val=&quot;0023739D&quot;/&gt;&lt;wsp:rsid wsp:val=&quot;00240A7C&quot;/&gt;&lt;wsp:rsid wsp:val=&quot;00240DD4&quot;/&gt;&lt;wsp:rsid wsp:val=&quot;0024122D&quot;/&gt;&lt;wsp:rsid wsp:val=&quot;0024245A&quot;/&gt;&lt;wsp:rsid wsp:val=&quot;00243291&quot;/&gt;&lt;wsp:rsid wsp:val=&quot;00243A01&quot;/&gt;&lt;wsp:rsid wsp:val=&quot;00244FAD&quot;/&gt;&lt;wsp:rsid wsp:val=&quot;002451B5&quot;/&gt;&lt;wsp:rsid wsp:val=&quot;0024526B&quot;/&gt;&lt;wsp:rsid wsp:val=&quot;00245750&quot;/&gt;&lt;wsp:rsid wsp:val=&quot;0024643C&quot;/&gt;&lt;wsp:rsid wsp:val=&quot;002471BA&quot;/&gt;&lt;wsp:rsid wsp:val=&quot;00250234&quot;/&gt;&lt;wsp:rsid wsp:val=&quot;00251198&quot;/&gt;&lt;wsp:rsid wsp:val=&quot;00251987&quot;/&gt;&lt;wsp:rsid wsp:val=&quot;00251C5F&quot;/&gt;&lt;wsp:rsid wsp:val=&quot;00251EB2&quot;/&gt;&lt;wsp:rsid wsp:val=&quot;00252B01&quot;/&gt;&lt;wsp:rsid wsp:val=&quot;00252D5A&quot;/&gt;&lt;wsp:rsid wsp:val=&quot;002535BD&quot;/&gt;&lt;wsp:rsid wsp:val=&quot;00253B0F&quot;/&gt;&lt;wsp:rsid wsp:val=&quot;00254F21&quot;/&gt;&lt;wsp:rsid wsp:val=&quot;002553E0&quot;/&gt;&lt;wsp:rsid wsp:val=&quot;00255F6E&quot;/&gt;&lt;wsp:rsid wsp:val=&quot;0025611F&quot;/&gt;&lt;wsp:rsid wsp:val=&quot;00256A63&quot;/&gt;&lt;wsp:rsid wsp:val=&quot;00256F1F&quot;/&gt;&lt;wsp:rsid wsp:val=&quot;00257E1A&quot;/&gt;&lt;wsp:rsid wsp:val=&quot;0026079B&quot;/&gt;&lt;wsp:rsid wsp:val=&quot;00260E99&quot;/&gt;&lt;wsp:rsid wsp:val=&quot;00261D0B&quot;/&gt;&lt;wsp:rsid wsp:val=&quot;00261FAB&quot;/&gt;&lt;wsp:rsid wsp:val=&quot;0026210C&quot;/&gt;&lt;wsp:rsid wsp:val=&quot;002624DA&quot;/&gt;&lt;wsp:rsid wsp:val=&quot;002653AE&quot;/&gt;&lt;wsp:rsid wsp:val=&quot;00265728&quot;/&gt;&lt;wsp:rsid wsp:val=&quot;00265C8B&quot;/&gt;&lt;wsp:rsid wsp:val=&quot;00266309&quot;/&gt;&lt;wsp:rsid wsp:val=&quot;0026665A&quot;/&gt;&lt;wsp:rsid wsp:val=&quot;002672A4&quot;/&gt;&lt;wsp:rsid wsp:val=&quot;0026783F&quot;/&gt;&lt;wsp:rsid wsp:val=&quot;00267A5F&quot;/&gt;&lt;wsp:rsid wsp:val=&quot;00267B21&quot;/&gt;&lt;wsp:rsid wsp:val=&quot;00270661&quot;/&gt;&lt;wsp:rsid wsp:val=&quot;00270DEC&quot;/&gt;&lt;wsp:rsid wsp:val=&quot;00271311&quot;/&gt;&lt;wsp:rsid wsp:val=&quot;00271929&quot;/&gt;&lt;wsp:rsid wsp:val=&quot;00271F9B&quot;/&gt;&lt;wsp:rsid wsp:val=&quot;00273CA1&quot;/&gt;&lt;wsp:rsid wsp:val=&quot;00274096&quot;/&gt;&lt;wsp:rsid wsp:val=&quot;002740E8&quot;/&gt;&lt;wsp:rsid wsp:val=&quot;002743B5&quot;/&gt;&lt;wsp:rsid wsp:val=&quot;002748D1&quot;/&gt;&lt;wsp:rsid wsp:val=&quot;00275CF6&quot;/&gt;&lt;wsp:rsid wsp:val=&quot;00276276&quot;/&gt;&lt;wsp:rsid wsp:val=&quot;002763B2&quot;/&gt;&lt;wsp:rsid wsp:val=&quot;00277F4C&quot;/&gt;&lt;wsp:rsid wsp:val=&quot;00280A14&quot;/&gt;&lt;wsp:rsid wsp:val=&quot;00280B48&quot;/&gt;&lt;wsp:rsid wsp:val=&quot;0028137B&quot;/&gt;&lt;wsp:rsid wsp:val=&quot;0028187B&quot;/&gt;&lt;wsp:rsid wsp:val=&quot;00281C7A&quot;/&gt;&lt;wsp:rsid wsp:val=&quot;002825C5&quot;/&gt;&lt;wsp:rsid wsp:val=&quot;002831B1&quot;/&gt;&lt;wsp:rsid wsp:val=&quot;00284DF1&quot;/&gt;&lt;wsp:rsid wsp:val=&quot;0028533D&quot;/&gt;&lt;wsp:rsid wsp:val=&quot;00285B37&quot;/&gt;&lt;wsp:rsid wsp:val=&quot;00285E47&quot;/&gt;&lt;wsp:rsid wsp:val=&quot;002860E6&quot;/&gt;&lt;wsp:rsid wsp:val=&quot;002863A0&quot;/&gt;&lt;wsp:rsid wsp:val=&quot;00286827&quot;/&gt;&lt;wsp:rsid wsp:val=&quot;0028796B&quot;/&gt;&lt;wsp:rsid wsp:val=&quot;00287F54&quot;/&gt;&lt;wsp:rsid wsp:val=&quot;002909B3&quot;/&gt;&lt;wsp:rsid wsp:val=&quot;00293E98&quot;/&gt;&lt;wsp:rsid wsp:val=&quot;002941FF&quot;/&gt;&lt;wsp:rsid wsp:val=&quot;00294AD0&quot;/&gt;&lt;wsp:rsid wsp:val=&quot;00294BAF&quot;/&gt;&lt;wsp:rsid wsp:val=&quot;0029564D&quot;/&gt;&lt;wsp:rsid wsp:val=&quot;00296134&quot;/&gt;&lt;wsp:rsid wsp:val=&quot;0029618A&quot;/&gt;&lt;wsp:rsid wsp:val=&quot;0029749C&quot;/&gt;&lt;wsp:rsid wsp:val=&quot;00297532&quot;/&gt;&lt;wsp:rsid wsp:val=&quot;00297538&quot;/&gt;&lt;wsp:rsid wsp:val=&quot;00297B52&quot;/&gt;&lt;wsp:rsid wsp:val=&quot;00297C06&quot;/&gt;&lt;wsp:rsid wsp:val=&quot;00297F5E&quot;/&gt;&lt;wsp:rsid wsp:val=&quot;002A0749&quot;/&gt;&lt;wsp:rsid wsp:val=&quot;002A07E9&quot;/&gt;&lt;wsp:rsid wsp:val=&quot;002A132C&quot;/&gt;&lt;wsp:rsid wsp:val=&quot;002A19F6&quot;/&gt;&lt;wsp:rsid wsp:val=&quot;002A38BB&quot;/&gt;&lt;wsp:rsid wsp:val=&quot;002A4F77&quot;/&gt;&lt;wsp:rsid wsp:val=&quot;002A5101&quot;/&gt;&lt;wsp:rsid wsp:val=&quot;002A7B13&quot;/&gt;&lt;wsp:rsid wsp:val=&quot;002B069C&quot;/&gt;&lt;wsp:rsid wsp:val=&quot;002B1929&quot;/&gt;&lt;wsp:rsid wsp:val=&quot;002B1E8B&quot;/&gt;&lt;wsp:rsid wsp:val=&quot;002B3989&quot;/&gt;&lt;wsp:rsid wsp:val=&quot;002B5100&quot;/&gt;&lt;wsp:rsid wsp:val=&quot;002B5B56&quot;/&gt;&lt;wsp:rsid wsp:val=&quot;002B60F8&quot;/&gt;&lt;wsp:rsid wsp:val=&quot;002B63F1&quot;/&gt;&lt;wsp:rsid wsp:val=&quot;002B6B2A&quot;/&gt;&lt;wsp:rsid wsp:val=&quot;002B71A4&quot;/&gt;&lt;wsp:rsid wsp:val=&quot;002B7ADE&quot;/&gt;&lt;wsp:rsid wsp:val=&quot;002B7E65&quot;/&gt;&lt;wsp:rsid wsp:val=&quot;002C00A0&quot;/&gt;&lt;wsp:rsid wsp:val=&quot;002C0710&quot;/&gt;&lt;wsp:rsid wsp:val=&quot;002C0C64&quot;/&gt;&lt;wsp:rsid wsp:val=&quot;002C0DB0&quot;/&gt;&lt;wsp:rsid wsp:val=&quot;002C147C&quot;/&gt;&lt;wsp:rsid wsp:val=&quot;002C14E6&quot;/&gt;&lt;wsp:rsid wsp:val=&quot;002C215C&quot;/&gt;&lt;wsp:rsid wsp:val=&quot;002C2C22&quot;/&gt;&lt;wsp:rsid wsp:val=&quot;002C3080&quot;/&gt;&lt;wsp:rsid wsp:val=&quot;002C3A94&quot;/&gt;&lt;wsp:rsid wsp:val=&quot;002C5390&quot;/&gt;&lt;wsp:rsid wsp:val=&quot;002C5A2B&quot;/&gt;&lt;wsp:rsid wsp:val=&quot;002C626B&quot;/&gt;&lt;wsp:rsid wsp:val=&quot;002C6D0F&quot;/&gt;&lt;wsp:rsid wsp:val=&quot;002C70CC&quot;/&gt;&lt;wsp:rsid wsp:val=&quot;002C74B3&quot;/&gt;&lt;wsp:rsid wsp:val=&quot;002C75BD&quot;/&gt;&lt;wsp:rsid wsp:val=&quot;002C7AB5&quot;/&gt;&lt;wsp:rsid wsp:val=&quot;002C7B4E&quot;/&gt;&lt;wsp:rsid wsp:val=&quot;002C7BBE&quot;/&gt;&lt;wsp:rsid wsp:val=&quot;002D044E&quot;/&gt;&lt;wsp:rsid wsp:val=&quot;002D04F4&quot;/&gt;&lt;wsp:rsid wsp:val=&quot;002D06C2&quot;/&gt;&lt;wsp:rsid wsp:val=&quot;002D06E1&quot;/&gt;&lt;wsp:rsid wsp:val=&quot;002D0B88&quot;/&gt;&lt;wsp:rsid wsp:val=&quot;002D14F0&quot;/&gt;&lt;wsp:rsid wsp:val=&quot;002D2118&quot;/&gt;&lt;wsp:rsid wsp:val=&quot;002D2146&quot;/&gt;&lt;wsp:rsid wsp:val=&quot;002D2541&quot;/&gt;&lt;wsp:rsid wsp:val=&quot;002D2A40&quot;/&gt;&lt;wsp:rsid wsp:val=&quot;002D2DA0&quot;/&gt;&lt;wsp:rsid wsp:val=&quot;002D3128&quot;/&gt;&lt;wsp:rsid wsp:val=&quot;002D33E9&quot;/&gt;&lt;wsp:rsid wsp:val=&quot;002D3D20&quot;/&gt;&lt;wsp:rsid wsp:val=&quot;002D3E1A&quot;/&gt;&lt;wsp:rsid wsp:val=&quot;002D4534&quot;/&gt;&lt;wsp:rsid wsp:val=&quot;002D476C&quot;/&gt;&lt;wsp:rsid wsp:val=&quot;002D4EFE&quot;/&gt;&lt;wsp:rsid wsp:val=&quot;002D52CC&quot;/&gt;&lt;wsp:rsid wsp:val=&quot;002D5E82&quot;/&gt;&lt;wsp:rsid wsp:val=&quot;002D783A&quot;/&gt;&lt;wsp:rsid wsp:val=&quot;002D7D8A&quot;/&gt;&lt;wsp:rsid wsp:val=&quot;002E0B29&quot;/&gt;&lt;wsp:rsid wsp:val=&quot;002E11D4&quot;/&gt;&lt;wsp:rsid wsp:val=&quot;002E13F5&quot;/&gt;&lt;wsp:rsid wsp:val=&quot;002E149A&quot;/&gt;&lt;wsp:rsid wsp:val=&quot;002E23F1&quot;/&gt;&lt;wsp:rsid wsp:val=&quot;002E3CBC&quot;/&gt;&lt;wsp:rsid wsp:val=&quot;002E408E&quot;/&gt;&lt;wsp:rsid wsp:val=&quot;002E410B&quot;/&gt;&lt;wsp:rsid wsp:val=&quot;002E485C&quot;/&gt;&lt;wsp:rsid wsp:val=&quot;002E53D5&quot;/&gt;&lt;wsp:rsid wsp:val=&quot;002E68E3&quot;/&gt;&lt;wsp:rsid wsp:val=&quot;002E69FD&quot;/&gt;&lt;wsp:rsid wsp:val=&quot;002E77D6&quot;/&gt;&lt;wsp:rsid wsp:val=&quot;002F098C&quot;/&gt;&lt;wsp:rsid wsp:val=&quot;002F12A8&quot;/&gt;&lt;wsp:rsid wsp:val=&quot;002F2F8B&quot;/&gt;&lt;wsp:rsid wsp:val=&quot;002F371E&quot;/&gt;&lt;wsp:rsid wsp:val=&quot;002F3FD4&quot;/&gt;&lt;wsp:rsid wsp:val=&quot;002F4CA1&quot;/&gt;&lt;wsp:rsid wsp:val=&quot;002F6797&quot;/&gt;&lt;wsp:rsid wsp:val=&quot;002F6844&quot;/&gt;&lt;wsp:rsid wsp:val=&quot;002F6C6A&quot;/&gt;&lt;wsp:rsid wsp:val=&quot;002F7690&quot;/&gt;&lt;wsp:rsid wsp:val=&quot;002F7838&quot;/&gt;&lt;wsp:rsid wsp:val=&quot;00300672&quot;/&gt;&lt;wsp:rsid wsp:val=&quot;003013BF&quot;/&gt;&lt;wsp:rsid wsp:val=&quot;003019FC&quot;/&gt;&lt;wsp:rsid wsp:val=&quot;00302700&quot;/&gt;&lt;wsp:rsid wsp:val=&quot;00302EB0&quot;/&gt;&lt;wsp:rsid wsp:val=&quot;00302F4C&quot;/&gt;&lt;wsp:rsid wsp:val=&quot;00303A86&quot;/&gt;&lt;wsp:rsid wsp:val=&quot;00303F8E&quot;/&gt;&lt;wsp:rsid wsp:val=&quot;003042C3&quot;/&gt;&lt;wsp:rsid wsp:val=&quot;003060F8&quot;/&gt;&lt;wsp:rsid wsp:val=&quot;00306140&quot;/&gt;&lt;wsp:rsid wsp:val=&quot;003065E2&quot;/&gt;&lt;wsp:rsid wsp:val=&quot;00306A94&quot;/&gt;&lt;wsp:rsid wsp:val=&quot;00306DC2&quot;/&gt;&lt;wsp:rsid wsp:val=&quot;00307983&quot;/&gt;&lt;wsp:rsid wsp:val=&quot;00307A96&quot;/&gt;&lt;wsp:rsid wsp:val=&quot;00310B72&quot;/&gt;&lt;wsp:rsid wsp:val=&quot;00310DC2&quot;/&gt;&lt;wsp:rsid wsp:val=&quot;00311531&quot;/&gt;&lt;wsp:rsid wsp:val=&quot;0031264C&quot;/&gt;&lt;wsp:rsid wsp:val=&quot;00312939&quot;/&gt;&lt;wsp:rsid wsp:val=&quot;00312F19&quot;/&gt;&lt;wsp:rsid wsp:val=&quot;00313660&quot;/&gt;&lt;wsp:rsid wsp:val=&quot;00313C6C&quot;/&gt;&lt;wsp:rsid wsp:val=&quot;003141FD&quot;/&gt;&lt;wsp:rsid wsp:val=&quot;003147CF&quot;/&gt;&lt;wsp:rsid wsp:val=&quot;00314F08&quot;/&gt;&lt;wsp:rsid wsp:val=&quot;00316080&quot;/&gt;&lt;wsp:rsid wsp:val=&quot;00316B5F&quot;/&gt;&lt;wsp:rsid wsp:val=&quot;00317891&quot;/&gt;&lt;wsp:rsid wsp:val=&quot;0032004C&quot;/&gt;&lt;wsp:rsid wsp:val=&quot;003200A6&quot;/&gt;&lt;wsp:rsid wsp:val=&quot;00320CC6&quot;/&gt;&lt;wsp:rsid wsp:val=&quot;00321004&quot;/&gt;&lt;wsp:rsid wsp:val=&quot;00322467&quot;/&gt;&lt;wsp:rsid wsp:val=&quot;00322A53&quot;/&gt;&lt;wsp:rsid wsp:val=&quot;0032329F&quot;/&gt;&lt;wsp:rsid wsp:val=&quot;0032386C&quot;/&gt;&lt;wsp:rsid wsp:val=&quot;00323A99&quot;/&gt;&lt;wsp:rsid wsp:val=&quot;00324137&quot;/&gt;&lt;wsp:rsid wsp:val=&quot;00324593&quot;/&gt;&lt;wsp:rsid wsp:val=&quot;003246E3&quot;/&gt;&lt;wsp:rsid wsp:val=&quot;003256BD&quot;/&gt;&lt;wsp:rsid wsp:val=&quot;0032662D&quot;/&gt;&lt;wsp:rsid wsp:val=&quot;00326ED5&quot;/&gt;&lt;wsp:rsid wsp:val=&quot;00326FC0&quot;/&gt;&lt;wsp:rsid wsp:val=&quot;003277FE&quot;/&gt;&lt;wsp:rsid wsp:val=&quot;00327FB1&quot;/&gt;&lt;wsp:rsid wsp:val=&quot;00330C4D&quot;/&gt;&lt;wsp:rsid wsp:val=&quot;0033140C&quot;/&gt;&lt;wsp:rsid wsp:val=&quot;00331C09&quot;/&gt;&lt;wsp:rsid wsp:val=&quot;00331E8F&quot;/&gt;&lt;wsp:rsid wsp:val=&quot;003320DC&quot;/&gt;&lt;wsp:rsid wsp:val=&quot;003331BA&quot;/&gt;&lt;wsp:rsid wsp:val=&quot;00334331&quot;/&gt;&lt;wsp:rsid wsp:val=&quot;003346B3&quot;/&gt;&lt;wsp:rsid wsp:val=&quot;0033499D&quot;/&gt;&lt;wsp:rsid wsp:val=&quot;00334F79&quot;/&gt;&lt;wsp:rsid wsp:val=&quot;00335C44&quot;/&gt;&lt;wsp:rsid wsp:val=&quot;00336295&quot;/&gt;&lt;wsp:rsid wsp:val=&quot;00336BC6&quot;/&gt;&lt;wsp:rsid wsp:val=&quot;00336D9F&quot;/&gt;&lt;wsp:rsid wsp:val=&quot;00337376&quot;/&gt;&lt;wsp:rsid wsp:val=&quot;003374E3&quot;/&gt;&lt;wsp:rsid wsp:val=&quot;0034038F&quot;/&gt;&lt;wsp:rsid wsp:val=&quot;00340BE6&quot;/&gt;&lt;wsp:rsid wsp:val=&quot;00341A1A&quot;/&gt;&lt;wsp:rsid wsp:val=&quot;0034204A&quot;/&gt;&lt;wsp:rsid wsp:val=&quot;00342EAF&quot;/&gt;&lt;wsp:rsid wsp:val=&quot;00343A95&quot;/&gt;&lt;wsp:rsid wsp:val=&quot;003441F1&quot;/&gt;&lt;wsp:rsid wsp:val=&quot;00344286&quot;/&gt;&lt;wsp:rsid wsp:val=&quot;003446F6&quot;/&gt;&lt;wsp:rsid wsp:val=&quot;003461F4&quot;/&gt;&lt;wsp:rsid wsp:val=&quot;003467CC&quot;/&gt;&lt;wsp:rsid wsp:val=&quot;00346BFC&quot;/&gt;&lt;wsp:rsid wsp:val=&quot;00346DFC&quot;/&gt;&lt;wsp:rsid wsp:val=&quot;003513D6&quot;/&gt;&lt;wsp:rsid wsp:val=&quot;003523D5&quot;/&gt;&lt;wsp:rsid wsp:val=&quot;00352B18&quot;/&gt;&lt;wsp:rsid wsp:val=&quot;00352BFA&quot;/&gt;&lt;wsp:rsid wsp:val=&quot;003532F1&quot;/&gt;&lt;wsp:rsid wsp:val=&quot;0035351D&quot;/&gt;&lt;wsp:rsid wsp:val=&quot;003537F6&quot;/&gt;&lt;wsp:rsid wsp:val=&quot;00354041&quot;/&gt;&lt;wsp:rsid wsp:val=&quot;003540ED&quot;/&gt;&lt;wsp:rsid wsp:val=&quot;00354758&quot;/&gt;&lt;wsp:rsid wsp:val=&quot;0035524F&quot;/&gt;&lt;wsp:rsid wsp:val=&quot;003552AB&quot;/&gt;&lt;wsp:rsid wsp:val=&quot;0035564D&quot;/&gt;&lt;wsp:rsid wsp:val=&quot;00355F19&quot;/&gt;&lt;wsp:rsid wsp:val=&quot;00356930&quot;/&gt;&lt;wsp:rsid wsp:val=&quot;00356964&quot;/&gt;&lt;wsp:rsid wsp:val=&quot;00357932&quot;/&gt;&lt;wsp:rsid wsp:val=&quot;00360B37&quot;/&gt;&lt;wsp:rsid wsp:val=&quot;00360D6C&quot;/&gt;&lt;wsp:rsid wsp:val=&quot;00361CCB&quot;/&gt;&lt;wsp:rsid wsp:val=&quot;0036258D&quot;/&gt;&lt;wsp:rsid wsp:val=&quot;0036293F&quot;/&gt;&lt;wsp:rsid wsp:val=&quot;00364031&quot;/&gt;&lt;wsp:rsid wsp:val=&quot;0036404E&quot;/&gt;&lt;wsp:rsid wsp:val=&quot;003642DA&quot;/&gt;&lt;wsp:rsid wsp:val=&quot;0036465E&quot;/&gt;&lt;wsp:rsid wsp:val=&quot;0036490F&quot;/&gt;&lt;wsp:rsid wsp:val=&quot;003649E5&quot;/&gt;&lt;wsp:rsid wsp:val=&quot;003653CA&quot;/&gt;&lt;wsp:rsid wsp:val=&quot;00365BA8&quot;/&gt;&lt;wsp:rsid wsp:val=&quot;00366A2D&quot;/&gt;&lt;wsp:rsid wsp:val=&quot;00366A66&quot;/&gt;&lt;wsp:rsid wsp:val=&quot;00366D47&quot;/&gt;&lt;wsp:rsid wsp:val=&quot;00370365&quot;/&gt;&lt;wsp:rsid wsp:val=&quot;00370529&quot;/&gt;&lt;wsp:rsid wsp:val=&quot;003706B9&quot;/&gt;&lt;wsp:rsid wsp:val=&quot;003714D1&quot;/&gt;&lt;wsp:rsid wsp:val=&quot;00373620&quot;/&gt;&lt;wsp:rsid wsp:val=&quot;00373743&quot;/&gt;&lt;wsp:rsid wsp:val=&quot;00374826&quot;/&gt;&lt;wsp:rsid wsp:val=&quot;00375A71&quot;/&gt;&lt;wsp:rsid wsp:val=&quot;00376983&quot;/&gt;&lt;wsp:rsid wsp:val=&quot;00376D55&quot;/&gt;&lt;wsp:rsid wsp:val=&quot;00376E70&quot;/&gt;&lt;wsp:rsid wsp:val=&quot;0038075E&quot;/&gt;&lt;wsp:rsid wsp:val=&quot;0038085E&quot;/&gt;&lt;wsp:rsid wsp:val=&quot;00380F07&quot;/&gt;&lt;wsp:rsid wsp:val=&quot;0038116B&quot;/&gt;&lt;wsp:rsid wsp:val=&quot;00381393&quot;/&gt;&lt;wsp:rsid wsp:val=&quot;0038318A&quot;/&gt;&lt;wsp:rsid wsp:val=&quot;0038395D&quot;/&gt;&lt;wsp:rsid wsp:val=&quot;00384782&quot;/&gt;&lt;wsp:rsid wsp:val=&quot;003858E8&quot;/&gt;&lt;wsp:rsid wsp:val=&quot;00385A75&quot;/&gt;&lt;wsp:rsid wsp:val=&quot;00385CC0&quot;/&gt;&lt;wsp:rsid wsp:val=&quot;00387162&quot;/&gt;&lt;wsp:rsid wsp:val=&quot;0038784F&quot;/&gt;&lt;wsp:rsid wsp:val=&quot;0038788E&quot;/&gt;&lt;wsp:rsid wsp:val=&quot;00387B1D&quot;/&gt;&lt;wsp:rsid wsp:val=&quot;00387E19&quot;/&gt;&lt;wsp:rsid wsp:val=&quot;0039001F&quot;/&gt;&lt;wsp:rsid wsp:val=&quot;00390E75&quot;/&gt;&lt;wsp:rsid wsp:val=&quot;003920BB&quot;/&gt;&lt;wsp:rsid wsp:val=&quot;00393911&quot;/&gt;&lt;wsp:rsid wsp:val=&quot;00394A0E&quot;/&gt;&lt;wsp:rsid wsp:val=&quot;00394DDC&quot;/&gt;&lt;wsp:rsid wsp:val=&quot;00395383&quot;/&gt;&lt;wsp:rsid wsp:val=&quot;0039597C&quot;/&gt;&lt;wsp:rsid wsp:val=&quot;00397067&quot;/&gt;&lt;wsp:rsid wsp:val=&quot;003A0517&quot;/&gt;&lt;wsp:rsid wsp:val=&quot;003A06CC&quot;/&gt;&lt;wsp:rsid wsp:val=&quot;003A14ED&quot;/&gt;&lt;wsp:rsid wsp:val=&quot;003A208D&quot;/&gt;&lt;wsp:rsid wsp:val=&quot;003A21DE&quot;/&gt;&lt;wsp:rsid wsp:val=&quot;003A34AD&quot;/&gt;&lt;wsp:rsid wsp:val=&quot;003A3C69&quot;/&gt;&lt;wsp:rsid wsp:val=&quot;003A433C&quot;/&gt;&lt;wsp:rsid wsp:val=&quot;003A519F&quot;/&gt;&lt;wsp:rsid wsp:val=&quot;003A5F24&quot;/&gt;&lt;wsp:rsid wsp:val=&quot;003A612C&quot;/&gt;&lt;wsp:rsid wsp:val=&quot;003A6391&quot;/&gt;&lt;wsp:rsid wsp:val=&quot;003A77AD&quot;/&gt;&lt;wsp:rsid wsp:val=&quot;003A7B1C&quot;/&gt;&lt;wsp:rsid wsp:val=&quot;003B1D74&quot;/&gt;&lt;wsp:rsid wsp:val=&quot;003B5BD2&quot;/&gt;&lt;wsp:rsid wsp:val=&quot;003B5DAE&quot;/&gt;&lt;wsp:rsid wsp:val=&quot;003B5FBB&quot;/&gt;&lt;wsp:rsid wsp:val=&quot;003B6317&quot;/&gt;&lt;wsp:rsid wsp:val=&quot;003B68CC&quot;/&gt;&lt;wsp:rsid wsp:val=&quot;003B72BD&quot;/&gt;&lt;wsp:rsid wsp:val=&quot;003B72D6&quot;/&gt;&lt;wsp:rsid wsp:val=&quot;003B796C&quot;/&gt;&lt;wsp:rsid wsp:val=&quot;003B7C44&quot;/&gt;&lt;wsp:rsid wsp:val=&quot;003B7C6B&quot;/&gt;&lt;wsp:rsid wsp:val=&quot;003B7F9E&quot;/&gt;&lt;wsp:rsid wsp:val=&quot;003C18E6&quot;/&gt;&lt;wsp:rsid wsp:val=&quot;003C1BF1&quot;/&gt;&lt;wsp:rsid wsp:val=&quot;003C2339&quot;/&gt;&lt;wsp:rsid wsp:val=&quot;003C24DF&quot;/&gt;&lt;wsp:rsid wsp:val=&quot;003C28A7&quot;/&gt;&lt;wsp:rsid wsp:val=&quot;003C3C9C&quot;/&gt;&lt;wsp:rsid wsp:val=&quot;003C409D&quot;/&gt;&lt;wsp:rsid wsp:val=&quot;003C4376&quot;/&gt;&lt;wsp:rsid wsp:val=&quot;003C5856&quot;/&gt;&lt;wsp:rsid wsp:val=&quot;003C5D81&quot;/&gt;&lt;wsp:rsid wsp:val=&quot;003C620B&quot;/&gt;&lt;wsp:rsid wsp:val=&quot;003C63CC&quot;/&gt;&lt;wsp:rsid wsp:val=&quot;003C6B4F&quot;/&gt;&lt;wsp:rsid wsp:val=&quot;003C6BC3&quot;/&gt;&lt;wsp:rsid wsp:val=&quot;003C7470&quot;/&gt;&lt;wsp:rsid wsp:val=&quot;003C7FD6&quot;/&gt;&lt;wsp:rsid wsp:val=&quot;003D0099&quot;/&gt;&lt;wsp:rsid wsp:val=&quot;003D033D&quot;/&gt;&lt;wsp:rsid wsp:val=&quot;003D12C6&quot;/&gt;&lt;wsp:rsid wsp:val=&quot;003D26DC&quot;/&gt;&lt;wsp:rsid wsp:val=&quot;003D288A&quot;/&gt;&lt;wsp:rsid wsp:val=&quot;003D3C8C&quot;/&gt;&lt;wsp:rsid wsp:val=&quot;003D426C&quot;/&gt;&lt;wsp:rsid wsp:val=&quot;003D481D&quot;/&gt;&lt;wsp:rsid wsp:val=&quot;003D505B&quot;/&gt;&lt;wsp:rsid wsp:val=&quot;003D53FE&quot;/&gt;&lt;wsp:rsid wsp:val=&quot;003D581E&quot;/&gt;&lt;wsp:rsid wsp:val=&quot;003E098B&quot;/&gt;&lt;wsp:rsid wsp:val=&quot;003E1CA5&quot;/&gt;&lt;wsp:rsid wsp:val=&quot;003E2639&quot;/&gt;&lt;wsp:rsid wsp:val=&quot;003E28AE&quot;/&gt;&lt;wsp:rsid wsp:val=&quot;003E2A5E&quot;/&gt;&lt;wsp:rsid wsp:val=&quot;003E3091&quot;/&gt;&lt;wsp:rsid wsp:val=&quot;003E4580&quot;/&gt;&lt;wsp:rsid wsp:val=&quot;003E4FA8&quot;/&gt;&lt;wsp:rsid wsp:val=&quot;003E5107&quot;/&gt;&lt;wsp:rsid wsp:val=&quot;003E600B&quot;/&gt;&lt;wsp:rsid wsp:val=&quot;003E614C&quot;/&gt;&lt;wsp:rsid wsp:val=&quot;003E6604&quot;/&gt;&lt;wsp:rsid wsp:val=&quot;003E67DE&quot;/&gt;&lt;wsp:rsid wsp:val=&quot;003E6843&quot;/&gt;&lt;wsp:rsid wsp:val=&quot;003E6B7E&quot;/&gt;&lt;wsp:rsid wsp:val=&quot;003E701B&quot;/&gt;&lt;wsp:rsid wsp:val=&quot;003E7AF8&quot;/&gt;&lt;wsp:rsid wsp:val=&quot;003F0283&quot;/&gt;&lt;wsp:rsid wsp:val=&quot;003F0362&quot;/&gt;&lt;wsp:rsid wsp:val=&quot;003F11F9&quot;/&gt;&lt;wsp:rsid wsp:val=&quot;003F3D1F&quot;/&gt;&lt;wsp:rsid wsp:val=&quot;003F3FA2&quot;/&gt;&lt;wsp:rsid wsp:val=&quot;003F4077&quot;/&gt;&lt;wsp:rsid wsp:val=&quot;003F4906&quot;/&gt;&lt;wsp:rsid wsp:val=&quot;003F503D&quot;/&gt;&lt;wsp:rsid wsp:val=&quot;003F5339&quot;/&gt;&lt;wsp:rsid wsp:val=&quot;003F5B6A&quot;/&gt;&lt;wsp:rsid wsp:val=&quot;003F62B2&quot;/&gt;&lt;wsp:rsid wsp:val=&quot;003F630A&quot;/&gt;&lt;wsp:rsid wsp:val=&quot;003F6F53&quot;/&gt;&lt;wsp:rsid wsp:val=&quot;00400048&quot;/&gt;&lt;wsp:rsid wsp:val=&quot;00400346&quot;/&gt;&lt;wsp:rsid wsp:val=&quot;00400CFA&quot;/&gt;&lt;wsp:rsid wsp:val=&quot;00400F19&quot;/&gt;&lt;wsp:rsid wsp:val=&quot;0040172E&quot;/&gt;&lt;wsp:rsid wsp:val=&quot;00401F11&quot;/&gt;&lt;wsp:rsid wsp:val=&quot;004022FC&quot;/&gt;&lt;wsp:rsid wsp:val=&quot;0040236E&quot;/&gt;&lt;wsp:rsid wsp:val=&quot;00403E18&quot;/&gt;&lt;wsp:rsid wsp:val=&quot;00404A14&quot;/&gt;&lt;wsp:rsid wsp:val=&quot;004057F5&quot;/&gt;&lt;wsp:rsid wsp:val=&quot;004063A5&quot;/&gt;&lt;wsp:rsid wsp:val=&quot;004066A9&quot;/&gt;&lt;wsp:rsid wsp:val=&quot;00406BDA&quot;/&gt;&lt;wsp:rsid wsp:val=&quot;00406F60&quot;/&gt;&lt;wsp:rsid wsp:val=&quot;004107D5&quot;/&gt;&lt;wsp:rsid wsp:val=&quot;00410BBD&quot;/&gt;&lt;wsp:rsid wsp:val=&quot;0041167A&quot;/&gt;&lt;wsp:rsid wsp:val=&quot;00411714&quot;/&gt;&lt;wsp:rsid wsp:val=&quot;00411C50&quot;/&gt;&lt;wsp:rsid wsp:val=&quot;004123F9&quot;/&gt;&lt;wsp:rsid wsp:val=&quot;00413009&quot;/&gt;&lt;wsp:rsid wsp:val=&quot;00413403&quot;/&gt;&lt;wsp:rsid wsp:val=&quot;00414BB5&quot;/&gt;&lt;wsp:rsid wsp:val=&quot;00414E38&quot;/&gt;&lt;wsp:rsid wsp:val=&quot;00415986&quot;/&gt;&lt;wsp:rsid wsp:val=&quot;00416387&quot;/&gt;&lt;wsp:rsid wsp:val=&quot;004163C1&quot;/&gt;&lt;wsp:rsid wsp:val=&quot;0041666B&quot;/&gt;&lt;wsp:rsid wsp:val=&quot;004169D7&quot;/&gt;&lt;wsp:rsid wsp:val=&quot;00416B76&quot;/&gt;&lt;wsp:rsid wsp:val=&quot;00417267&quot;/&gt;&lt;wsp:rsid wsp:val=&quot;0041790C&quot;/&gt;&lt;wsp:rsid wsp:val=&quot;00420171&quot;/&gt;&lt;wsp:rsid wsp:val=&quot;0042045A&quot;/&gt;&lt;wsp:rsid wsp:val=&quot;0042078F&quot;/&gt;&lt;wsp:rsid wsp:val=&quot;004207AC&quot;/&gt;&lt;wsp:rsid wsp:val=&quot;00420A61&quot;/&gt;&lt;wsp:rsid wsp:val=&quot;00420AFE&quot;/&gt;&lt;wsp:rsid wsp:val=&quot;0042107A&quot;/&gt;&lt;wsp:rsid wsp:val=&quot;00421471&quot;/&gt;&lt;wsp:rsid wsp:val=&quot;00422280&quot;/&gt;&lt;wsp:rsid wsp:val=&quot;00422680&quot;/&gt;&lt;wsp:rsid wsp:val=&quot;00423C92&quot;/&gt;&lt;wsp:rsid wsp:val=&quot;00423F7E&quot;/&gt;&lt;wsp:rsid wsp:val=&quot;00424B45&quot;/&gt;&lt;wsp:rsid wsp:val=&quot;0042545F&quot;/&gt;&lt;wsp:rsid wsp:val=&quot;00426360&quot;/&gt;&lt;wsp:rsid wsp:val=&quot;00426A51&quot;/&gt;&lt;wsp:rsid wsp:val=&quot;00427A06&quot;/&gt;&lt;wsp:rsid wsp:val=&quot;00430010&quot;/&gt;&lt;wsp:rsid wsp:val=&quot;00430574&quot;/&gt;&lt;wsp:rsid wsp:val=&quot;00430DD9&quot;/&gt;&lt;wsp:rsid wsp:val=&quot;004316E4&quot;/&gt;&lt;wsp:rsid wsp:val=&quot;004337BF&quot;/&gt;&lt;wsp:rsid wsp:val=&quot;00434652&quot;/&gt;&lt;wsp:rsid wsp:val=&quot;00434EAA&quot;/&gt;&lt;wsp:rsid wsp:val=&quot;00436479&quot;/&gt;&lt;wsp:rsid wsp:val=&quot;0043752F&quot;/&gt;&lt;wsp:rsid wsp:val=&quot;00437B96&quot;/&gt;&lt;wsp:rsid wsp:val=&quot;00437DA6&quot;/&gt;&lt;wsp:rsid wsp:val=&quot;00437DF4&quot;/&gt;&lt;wsp:rsid wsp:val=&quot;00440C41&quot;/&gt;&lt;wsp:rsid wsp:val=&quot;00441B85&quot;/&gt;&lt;wsp:rsid wsp:val=&quot;00441FA2&quot;/&gt;&lt;wsp:rsid wsp:val=&quot;00442D24&quot;/&gt;&lt;wsp:rsid wsp:val=&quot;00442E38&quot;/&gt;&lt;wsp:rsid wsp:val=&quot;00443246&quot;/&gt;&lt;wsp:rsid wsp:val=&quot;00445934&quot;/&gt;&lt;wsp:rsid wsp:val=&quot;0044699E&quot;/&gt;&lt;wsp:rsid wsp:val=&quot;00447F07&quot;/&gt;&lt;wsp:rsid wsp:val=&quot;004501B6&quot;/&gt;&lt;wsp:rsid wsp:val=&quot;0045035D&quot;/&gt;&lt;wsp:rsid wsp:val=&quot;004505BE&quot;/&gt;&lt;wsp:rsid wsp:val=&quot;00450C3C&quot;/&gt;&lt;wsp:rsid wsp:val=&quot;00451034&quot;/&gt;&lt;wsp:rsid wsp:val=&quot;0045161B&quot;/&gt;&lt;wsp:rsid wsp:val=&quot;00451854&quot;/&gt;&lt;wsp:rsid wsp:val=&quot;00451A2F&quot;/&gt;&lt;wsp:rsid wsp:val=&quot;004523E6&quot;/&gt;&lt;wsp:rsid wsp:val=&quot;00453166&quot;/&gt;&lt;wsp:rsid wsp:val=&quot;0045321E&quot;/&gt;&lt;wsp:rsid wsp:val=&quot;0045386D&quot;/&gt;&lt;wsp:rsid wsp:val=&quot;00453E8E&quot;/&gt;&lt;wsp:rsid wsp:val=&quot;004546B1&quot;/&gt;&lt;wsp:rsid wsp:val=&quot;0045484B&quot;/&gt;&lt;wsp:rsid wsp:val=&quot;004601E0&quot;/&gt;&lt;wsp:rsid wsp:val=&quot;00460BE8&quot;/&gt;&lt;wsp:rsid wsp:val=&quot;00460C74&quot;/&gt;&lt;wsp:rsid wsp:val=&quot;004618AC&quot;/&gt;&lt;wsp:rsid wsp:val=&quot;004618E8&quot;/&gt;&lt;wsp:rsid wsp:val=&quot;00461C0C&quot;/&gt;&lt;wsp:rsid wsp:val=&quot;00461D15&quot;/&gt;&lt;wsp:rsid wsp:val=&quot;00461D89&quot;/&gt;&lt;wsp:rsid wsp:val=&quot;00461F1F&quot;/&gt;&lt;wsp:rsid wsp:val=&quot;004623F7&quot;/&gt;&lt;wsp:rsid wsp:val=&quot;0046253C&quot;/&gt;&lt;wsp:rsid wsp:val=&quot;00462788&quot;/&gt;&lt;wsp:rsid wsp:val=&quot;004630C4&quot;/&gt;&lt;wsp:rsid wsp:val=&quot;0046313C&quot;/&gt;&lt;wsp:rsid wsp:val=&quot;00465405&quot;/&gt;&lt;wsp:rsid wsp:val=&quot;00465782&quot;/&gt;&lt;wsp:rsid wsp:val=&quot;00465843&quot;/&gt;&lt;wsp:rsid wsp:val=&quot;00466204&quot;/&gt;&lt;wsp:rsid wsp:val=&quot;00466725&quot;/&gt;&lt;wsp:rsid wsp:val=&quot;004670F6&quot;/&gt;&lt;wsp:rsid wsp:val=&quot;004705DB&quot;/&gt;&lt;wsp:rsid wsp:val=&quot;004708EC&quot;/&gt;&lt;wsp:rsid wsp:val=&quot;00471F6C&quot;/&gt;&lt;wsp:rsid wsp:val=&quot;00471F81&quot;/&gt;&lt;wsp:rsid wsp:val=&quot;004728B7&quot;/&gt;&lt;wsp:rsid wsp:val=&quot;00474AA5&quot;/&gt;&lt;wsp:rsid wsp:val=&quot;00474D20&quot;/&gt;&lt;wsp:rsid wsp:val=&quot;0047630D&quot;/&gt;&lt;wsp:rsid wsp:val=&quot;00476378&quot;/&gt;&lt;wsp:rsid wsp:val=&quot;00476AA2&quot;/&gt;&lt;wsp:rsid wsp:val=&quot;00477196&quot;/&gt;&lt;wsp:rsid wsp:val=&quot;00477B4B&quot;/&gt;&lt;wsp:rsid wsp:val=&quot;004806DE&quot;/&gt;&lt;wsp:rsid wsp:val=&quot;00480BFE&quot;/&gt;&lt;wsp:rsid wsp:val=&quot;00481E26&quot;/&gt;&lt;wsp:rsid wsp:val=&quot;0048460A&quot;/&gt;&lt;wsp:rsid wsp:val=&quot;0048465C&quot;/&gt;&lt;wsp:rsid wsp:val=&quot;00484B9C&quot;/&gt;&lt;wsp:rsid wsp:val=&quot;0048525C&quot;/&gt;&lt;wsp:rsid wsp:val=&quot;00485419&quot;/&gt;&lt;wsp:rsid wsp:val=&quot;00485573&quot;/&gt;&lt;wsp:rsid wsp:val=&quot;00485786&quot;/&gt;&lt;wsp:rsid wsp:val=&quot;00485F18&quot;/&gt;&lt;wsp:rsid wsp:val=&quot;00486204&quot;/&gt;&lt;wsp:rsid wsp:val=&quot;00486ACA&quot;/&gt;&lt;wsp:rsid wsp:val=&quot;00487401&quot;/&gt;&lt;wsp:rsid wsp:val=&quot;004878D8&quot;/&gt;&lt;wsp:rsid wsp:val=&quot;00487F68&quot;/&gt;&lt;wsp:rsid wsp:val=&quot;0049100F&quot;/&gt;&lt;wsp:rsid wsp:val=&quot;004921A3&quot;/&gt;&lt;wsp:rsid wsp:val=&quot;004921D1&quot;/&gt;&lt;wsp:rsid wsp:val=&quot;00493101&quot;/&gt;&lt;wsp:rsid wsp:val=&quot;00493802&quot;/&gt;&lt;wsp:rsid wsp:val=&quot;00493AEA&quot;/&gt;&lt;wsp:rsid wsp:val=&quot;00493FE9&quot;/&gt;&lt;wsp:rsid wsp:val=&quot;004955C0&quot;/&gt;&lt;wsp:rsid wsp:val=&quot;00495856&quot;/&gt;&lt;wsp:rsid wsp:val=&quot;004958D2&quot;/&gt;&lt;wsp:rsid wsp:val=&quot;00495CAA&quot;/&gt;&lt;wsp:rsid wsp:val=&quot;0049662D&quot;/&gt;&lt;wsp:rsid wsp:val=&quot;00496C83&quot;/&gt;&lt;wsp:rsid wsp:val=&quot;00497489&quot;/&gt;&lt;wsp:rsid wsp:val=&quot;0049793A&quot;/&gt;&lt;wsp:rsid wsp:val=&quot;00497A5A&quot;/&gt;&lt;wsp:rsid wsp:val=&quot;00497C4A&quot;/&gt;&lt;wsp:rsid wsp:val=&quot;004A0AD9&quot;/&gt;&lt;wsp:rsid wsp:val=&quot;004A1B14&quot;/&gt;&lt;wsp:rsid wsp:val=&quot;004A2716&quot;/&gt;&lt;wsp:rsid wsp:val=&quot;004A2DEF&quot;/&gt;&lt;wsp:rsid wsp:val=&quot;004A3CEF&quot;/&gt;&lt;wsp:rsid wsp:val=&quot;004A3CF7&quot;/&gt;&lt;wsp:rsid wsp:val=&quot;004A52BB&quot;/&gt;&lt;wsp:rsid wsp:val=&quot;004A5677&quot;/&gt;&lt;wsp:rsid wsp:val=&quot;004A5FC8&quot;/&gt;&lt;wsp:rsid wsp:val=&quot;004A63DE&quot;/&gt;&lt;wsp:rsid wsp:val=&quot;004A721C&quot;/&gt;&lt;wsp:rsid wsp:val=&quot;004A72EC&quot;/&gt;&lt;wsp:rsid wsp:val=&quot;004A7442&quot;/&gt;&lt;wsp:rsid wsp:val=&quot;004A7540&quot;/&gt;&lt;wsp:rsid wsp:val=&quot;004B05E8&quot;/&gt;&lt;wsp:rsid wsp:val=&quot;004B0E8D&quot;/&gt;&lt;wsp:rsid wsp:val=&quot;004B335C&quot;/&gt;&lt;wsp:rsid wsp:val=&quot;004B35F8&quot;/&gt;&lt;wsp:rsid wsp:val=&quot;004B465C&quot;/&gt;&lt;wsp:rsid wsp:val=&quot;004B4FAC&quot;/&gt;&lt;wsp:rsid wsp:val=&quot;004B5222&quot;/&gt;&lt;wsp:rsid wsp:val=&quot;004B57D4&quot;/&gt;&lt;wsp:rsid wsp:val=&quot;004B5807&quot;/&gt;&lt;wsp:rsid wsp:val=&quot;004B5F3B&quot;/&gt;&lt;wsp:rsid wsp:val=&quot;004B64CF&quot;/&gt;&lt;wsp:rsid wsp:val=&quot;004B7F0D&quot;/&gt;&lt;wsp:rsid wsp:val=&quot;004C0CA5&quot;/&gt;&lt;wsp:rsid wsp:val=&quot;004C0FFE&quot;/&gt;&lt;wsp:rsid wsp:val=&quot;004C1538&quot;/&gt;&lt;wsp:rsid wsp:val=&quot;004C1A1B&quot;/&gt;&lt;wsp:rsid wsp:val=&quot;004C1B5D&quot;/&gt;&lt;wsp:rsid wsp:val=&quot;004C2073&quot;/&gt;&lt;wsp:rsid wsp:val=&quot;004C2084&quot;/&gt;&lt;wsp:rsid wsp:val=&quot;004C28CB&quot;/&gt;&lt;wsp:rsid wsp:val=&quot;004C310E&quot;/&gt;&lt;wsp:rsid wsp:val=&quot;004C38BD&quot;/&gt;&lt;wsp:rsid wsp:val=&quot;004C3D41&quot;/&gt;&lt;wsp:rsid wsp:val=&quot;004C4A54&quot;/&gt;&lt;wsp:rsid wsp:val=&quot;004C53D2&quot;/&gt;&lt;wsp:rsid wsp:val=&quot;004C5DCC&quot;/&gt;&lt;wsp:rsid wsp:val=&quot;004C6C46&quot;/&gt;&lt;wsp:rsid wsp:val=&quot;004C7507&quot;/&gt;&lt;wsp:rsid wsp:val=&quot;004C7A03&quot;/&gt;&lt;wsp:rsid wsp:val=&quot;004C7AC8&quot;/&gt;&lt;wsp:rsid wsp:val=&quot;004D0F10&quot;/&gt;&lt;wsp:rsid wsp:val=&quot;004D2DDB&quot;/&gt;&lt;wsp:rsid wsp:val=&quot;004D3191&quot;/&gt;&lt;wsp:rsid wsp:val=&quot;004D32C7&quot;/&gt;&lt;wsp:rsid wsp:val=&quot;004D34D2&quot;/&gt;&lt;wsp:rsid wsp:val=&quot;004D3D0F&quot;/&gt;&lt;wsp:rsid wsp:val=&quot;004D5336&quot;/&gt;&lt;wsp:rsid wsp:val=&quot;004D5532&quot;/&gt;&lt;wsp:rsid wsp:val=&quot;004D57E5&quot;/&gt;&lt;wsp:rsid wsp:val=&quot;004D59C4&quot;/&gt;&lt;wsp:rsid wsp:val=&quot;004D670C&quot;/&gt;&lt;wsp:rsid wsp:val=&quot;004D6DFB&quot;/&gt;&lt;wsp:rsid wsp:val=&quot;004D7195&quot;/&gt;&lt;wsp:rsid wsp:val=&quot;004D724F&quot;/&gt;&lt;wsp:rsid wsp:val=&quot;004D72F8&quot;/&gt;&lt;wsp:rsid wsp:val=&quot;004D742E&quot;/&gt;&lt;wsp:rsid wsp:val=&quot;004D7F2E&quot;/&gt;&lt;wsp:rsid wsp:val=&quot;004E22B5&quot;/&gt;&lt;wsp:rsid wsp:val=&quot;004E2618&quot;/&gt;&lt;wsp:rsid wsp:val=&quot;004E29A7&quot;/&gt;&lt;wsp:rsid wsp:val=&quot;004E2A18&quot;/&gt;&lt;wsp:rsid wsp:val=&quot;004E2CB4&quot;/&gt;&lt;wsp:rsid wsp:val=&quot;004E300D&quot;/&gt;&lt;wsp:rsid wsp:val=&quot;004E3400&quot;/&gt;&lt;wsp:rsid wsp:val=&quot;004E3772&quot;/&gt;&lt;wsp:rsid wsp:val=&quot;004E39A0&quot;/&gt;&lt;wsp:rsid wsp:val=&quot;004E3CFC&quot;/&gt;&lt;wsp:rsid wsp:val=&quot;004E410C&quot;/&gt;&lt;wsp:rsid wsp:val=&quot;004E4F40&quot;/&gt;&lt;wsp:rsid wsp:val=&quot;004E6A6C&quot;/&gt;&lt;wsp:rsid wsp:val=&quot;004E6CFA&quot;/&gt;&lt;wsp:rsid wsp:val=&quot;004F0035&quot;/&gt;&lt;wsp:rsid wsp:val=&quot;004F050F&quot;/&gt;&lt;wsp:rsid wsp:val=&quot;004F0524&quot;/&gt;&lt;wsp:rsid wsp:val=&quot;004F0A3C&quot;/&gt;&lt;wsp:rsid wsp:val=&quot;004F2749&quot;/&gt;&lt;wsp:rsid wsp:val=&quot;004F356E&quot;/&gt;&lt;wsp:rsid wsp:val=&quot;004F4B46&quot;/&gt;&lt;wsp:rsid wsp:val=&quot;004F54FB&quot;/&gt;&lt;wsp:rsid wsp:val=&quot;004F5879&quot;/&gt;&lt;wsp:rsid wsp:val=&quot;004F5985&quot;/&gt;&lt;wsp:rsid wsp:val=&quot;004F5C61&quot;/&gt;&lt;wsp:rsid wsp:val=&quot;004F67F8&quot;/&gt;&lt;wsp:rsid wsp:val=&quot;004F6C59&quot;/&gt;&lt;wsp:rsid wsp:val=&quot;004F7269&quot;/&gt;&lt;wsp:rsid wsp:val=&quot;004F74D2&quot;/&gt;&lt;wsp:rsid wsp:val=&quot;004F7B3C&quot;/&gt;&lt;wsp:rsid wsp:val=&quot;004F7E80&quot;/&gt;&lt;wsp:rsid wsp:val=&quot;00500AAF&quot;/&gt;&lt;wsp:rsid wsp:val=&quot;00500B83&quot;/&gt;&lt;wsp:rsid wsp:val=&quot;00500E1A&quot;/&gt;&lt;wsp:rsid wsp:val=&quot;005014C6&quot;/&gt;&lt;wsp:rsid wsp:val=&quot;00501522&quot;/&gt;&lt;wsp:rsid wsp:val=&quot;0050237C&quot;/&gt;&lt;wsp:rsid wsp:val=&quot;005026ED&quot;/&gt;&lt;wsp:rsid wsp:val=&quot;0050391F&quot;/&gt;&lt;wsp:rsid wsp:val=&quot;00503BBC&quot;/&gt;&lt;wsp:rsid wsp:val=&quot;00504497&quot;/&gt;&lt;wsp:rsid wsp:val=&quot;005047F4&quot;/&gt;&lt;wsp:rsid wsp:val=&quot;00504A37&quot;/&gt;&lt;wsp:rsid wsp:val=&quot;00504AA8&quot;/&gt;&lt;wsp:rsid wsp:val=&quot;00504EFD&quot;/&gt;&lt;wsp:rsid wsp:val=&quot;005052CE&quot;/&gt;&lt;wsp:rsid wsp:val=&quot;005053A1&quot;/&gt;&lt;wsp:rsid wsp:val=&quot;0050576F&quot;/&gt;&lt;wsp:rsid wsp:val=&quot;00506D55&quot;/&gt;&lt;wsp:rsid wsp:val=&quot;00506E85&quot;/&gt;&lt;wsp:rsid wsp:val=&quot;005075DE&quot;/&gt;&lt;wsp:rsid wsp:val=&quot;00507CB0&quot;/&gt;&lt;wsp:rsid wsp:val=&quot;00510380&quot;/&gt;&lt;wsp:rsid wsp:val=&quot;00510639&quot;/&gt;&lt;wsp:rsid wsp:val=&quot;00510FA5&quot;/&gt;&lt;wsp:rsid wsp:val=&quot;0051110F&quot;/&gt;&lt;wsp:rsid wsp:val=&quot;00511B75&quot;/&gt;&lt;wsp:rsid wsp:val=&quot;00511C6C&quot;/&gt;&lt;wsp:rsid wsp:val=&quot;0051226A&quot;/&gt;&lt;wsp:rsid wsp:val=&quot;00512582&quot;/&gt;&lt;wsp:rsid wsp:val=&quot;00512C55&quot;/&gt;&lt;wsp:rsid wsp:val=&quot;005134E3&quot;/&gt;&lt;wsp:rsid wsp:val=&quot;00513775&quot;/&gt;&lt;wsp:rsid wsp:val=&quot;00514532&quot;/&gt;&lt;wsp:rsid wsp:val=&quot;00514FE8&quot;/&gt;&lt;wsp:rsid wsp:val=&quot;00515BEE&quot;/&gt;&lt;wsp:rsid wsp:val=&quot;00516A15&quot;/&gt;&lt;wsp:rsid wsp:val=&quot;00517322&quot;/&gt;&lt;wsp:rsid wsp:val=&quot;00517E63&quot;/&gt;&lt;wsp:rsid wsp:val=&quot;00520373&quot;/&gt;&lt;wsp:rsid wsp:val=&quot;00520669&quot;/&gt;&lt;wsp:rsid wsp:val=&quot;00520888&quot;/&gt;&lt;wsp:rsid wsp:val=&quot;0052108F&quot;/&gt;&lt;wsp:rsid wsp:val=&quot;00521EA0&quot;/&gt;&lt;wsp:rsid wsp:val=&quot;00522A8A&quot;/&gt;&lt;wsp:rsid wsp:val=&quot;00522EAA&quot;/&gt;&lt;wsp:rsid wsp:val=&quot;005235EB&quot;/&gt;&lt;wsp:rsid wsp:val=&quot;0052365B&quot;/&gt;&lt;wsp:rsid wsp:val=&quot;00524B36&quot;/&gt;&lt;wsp:rsid wsp:val=&quot;00525141&quot;/&gt;&lt;wsp:rsid wsp:val=&quot;00525E26&quot;/&gt;&lt;wsp:rsid wsp:val=&quot;00526C0A&quot;/&gt;&lt;wsp:rsid wsp:val=&quot;00527CD5&quot;/&gt;&lt;wsp:rsid wsp:val=&quot;005310B9&quot;/&gt;&lt;wsp:rsid wsp:val=&quot;00531169&quot;/&gt;&lt;wsp:rsid wsp:val=&quot;00531222&quot;/&gt;&lt;wsp:rsid wsp:val=&quot;005313BA&quot;/&gt;&lt;wsp:rsid wsp:val=&quot;00531615&quot;/&gt;&lt;wsp:rsid wsp:val=&quot;005319C7&quot;/&gt;&lt;wsp:rsid wsp:val=&quot;00531D9A&quot;/&gt;&lt;wsp:rsid wsp:val=&quot;00532202&quot;/&gt;&lt;wsp:rsid wsp:val=&quot;00532477&quot;/&gt;&lt;wsp:rsid wsp:val=&quot;00532955&quot;/&gt;&lt;wsp:rsid wsp:val=&quot;005332DB&quot;/&gt;&lt;wsp:rsid wsp:val=&quot;005336B8&quot;/&gt;&lt;wsp:rsid wsp:val=&quot;00533713&quot;/&gt;&lt;wsp:rsid wsp:val=&quot;00533B86&quot;/&gt;&lt;wsp:rsid wsp:val=&quot;00534112&quot;/&gt;&lt;wsp:rsid wsp:val=&quot;0053639A&quot;/&gt;&lt;wsp:rsid wsp:val=&quot;00536949&quot;/&gt;&lt;wsp:rsid wsp:val=&quot;00536DBE&quot;/&gt;&lt;wsp:rsid wsp:val=&quot;00537FD2&quot;/&gt;&lt;wsp:rsid wsp:val=&quot;005400A7&quot;/&gt;&lt;wsp:rsid wsp:val=&quot;005427A7&quot;/&gt;&lt;wsp:rsid wsp:val=&quot;00542C57&quot;/&gt;&lt;wsp:rsid wsp:val=&quot;00543193&quot;/&gt;&lt;wsp:rsid wsp:val=&quot;0054359D&quot;/&gt;&lt;wsp:rsid wsp:val=&quot;005439F3&quot;/&gt;&lt;wsp:rsid wsp:val=&quot;00543E56&quot;/&gt;&lt;wsp:rsid wsp:val=&quot;005467C4&quot;/&gt;&lt;wsp:rsid wsp:val=&quot;00546916&quot;/&gt;&lt;wsp:rsid wsp:val=&quot;00546D5B&quot;/&gt;&lt;wsp:rsid wsp:val=&quot;0055050D&quot;/&gt;&lt;wsp:rsid wsp:val=&quot;0055107D&quot;/&gt;&lt;wsp:rsid wsp:val=&quot;00551629&quot;/&gt;&lt;wsp:rsid wsp:val=&quot;00551864&quot;/&gt;&lt;wsp:rsid wsp:val=&quot;005521F2&quot;/&gt;&lt;wsp:rsid wsp:val=&quot;005527FC&quot;/&gt;&lt;wsp:rsid wsp:val=&quot;00552B4E&quot;/&gt;&lt;wsp:rsid wsp:val=&quot;00553131&quot;/&gt;&lt;wsp:rsid wsp:val=&quot;005531CE&quot;/&gt;&lt;wsp:rsid wsp:val=&quot;00554834&quot;/&gt;&lt;wsp:rsid wsp:val=&quot;00554A69&quot;/&gt;&lt;wsp:rsid wsp:val=&quot;00554CDC&quot;/&gt;&lt;wsp:rsid wsp:val=&quot;005552F8&quot;/&gt;&lt;wsp:rsid wsp:val=&quot;0055558D&quot;/&gt;&lt;wsp:rsid wsp:val=&quot;005568AF&quot;/&gt;&lt;wsp:rsid wsp:val=&quot;005569ED&quot;/&gt;&lt;wsp:rsid wsp:val=&quot;005575A1&quot;/&gt;&lt;wsp:rsid wsp:val=&quot;0055789C&quot;/&gt;&lt;wsp:rsid wsp:val=&quot;005611D5&quot;/&gt;&lt;wsp:rsid wsp:val=&quot;00561880&quot;/&gt;&lt;wsp:rsid wsp:val=&quot;005619CA&quot;/&gt;&lt;wsp:rsid wsp:val=&quot;0056208F&quot;/&gt;&lt;wsp:rsid wsp:val=&quot;00563599&quot;/&gt;&lt;wsp:rsid wsp:val=&quot;00563F0C&quot;/&gt;&lt;wsp:rsid wsp:val=&quot;005642E0&quot;/&gt;&lt;wsp:rsid wsp:val=&quot;00564408&quot;/&gt;&lt;wsp:rsid wsp:val=&quot;00564715&quot;/&gt;&lt;wsp:rsid wsp:val=&quot;00564C99&quot;/&gt;&lt;wsp:rsid wsp:val=&quot;005652C9&quot;/&gt;&lt;wsp:rsid wsp:val=&quot;005665FF&quot;/&gt;&lt;wsp:rsid wsp:val=&quot;00571E8E&quot;/&gt;&lt;wsp:rsid wsp:val=&quot;005724DC&quot;/&gt;&lt;wsp:rsid wsp:val=&quot;00572D7F&quot;/&gt;&lt;wsp:rsid wsp:val=&quot;005741CF&quot;/&gt;&lt;wsp:rsid wsp:val=&quot;005743AA&quot;/&gt;&lt;wsp:rsid wsp:val=&quot;005748FE&quot;/&gt;&lt;wsp:rsid wsp:val=&quot;00575798&quot;/&gt;&lt;wsp:rsid wsp:val=&quot;00575B46&quot;/&gt;&lt;wsp:rsid wsp:val=&quot;005763F2&quot;/&gt;&lt;wsp:rsid wsp:val=&quot;005768F6&quot;/&gt;&lt;wsp:rsid wsp:val=&quot;00576A47&quot;/&gt;&lt;wsp:rsid wsp:val=&quot;00577D8C&quot;/&gt;&lt;wsp:rsid wsp:val=&quot;005802DE&quot;/&gt;&lt;wsp:rsid wsp:val=&quot;00581D5D&quot;/&gt;&lt;wsp:rsid wsp:val=&quot;00583080&quot;/&gt;&lt;wsp:rsid wsp:val=&quot;005838E6&quot;/&gt;&lt;wsp:rsid wsp:val=&quot;00583FDC&quot;/&gt;&lt;wsp:rsid wsp:val=&quot;0058458B&quot;/&gt;&lt;wsp:rsid wsp:val=&quot;00584DE0&quot;/&gt;&lt;wsp:rsid wsp:val=&quot;0058594C&quot;/&gt;&lt;wsp:rsid wsp:val=&quot;00585F6E&quot;/&gt;&lt;wsp:rsid wsp:val=&quot;005865EF&quot;/&gt;&lt;wsp:rsid wsp:val=&quot;005873BB&quot;/&gt;&lt;wsp:rsid wsp:val=&quot;0058745B&quot;/&gt;&lt;wsp:rsid wsp:val=&quot;00587C44&quot;/&gt;&lt;wsp:rsid wsp:val=&quot;00590133&quot;/&gt;&lt;wsp:rsid wsp:val=&quot;00590567&quot;/&gt;&lt;wsp:rsid wsp:val=&quot;00590692&quot;/&gt;&lt;wsp:rsid wsp:val=&quot;00590C5F&quot;/&gt;&lt;wsp:rsid wsp:val=&quot;0059158B&quot;/&gt;&lt;wsp:rsid wsp:val=&quot;005924B2&quot;/&gt;&lt;wsp:rsid wsp:val=&quot;00592E6D&quot;/&gt;&lt;wsp:rsid wsp:val=&quot;005940D6&quot;/&gt;&lt;wsp:rsid wsp:val=&quot;00594611&quot;/&gt;&lt;wsp:rsid wsp:val=&quot;00594ED7&quot;/&gt;&lt;wsp:rsid wsp:val=&quot;005950B1&quot;/&gt;&lt;wsp:rsid wsp:val=&quot;005950EA&quot;/&gt;&lt;wsp:rsid wsp:val=&quot;005965CB&quot;/&gt;&lt;wsp:rsid wsp:val=&quot;00596B38&quot;/&gt;&lt;wsp:rsid wsp:val=&quot;00596C15&quot;/&gt;&lt;wsp:rsid wsp:val=&quot;005975F2&quot;/&gt;&lt;wsp:rsid wsp:val=&quot;00597CC7&quot;/&gt;&lt;wsp:rsid wsp:val=&quot;005A030B&quot;/&gt;&lt;wsp:rsid wsp:val=&quot;005A154D&quot;/&gt;&lt;wsp:rsid wsp:val=&quot;005A2789&quot;/&gt;&lt;wsp:rsid wsp:val=&quot;005A31B4&quot;/&gt;&lt;wsp:rsid wsp:val=&quot;005A33C5&quot;/&gt;&lt;wsp:rsid wsp:val=&quot;005A35A5&quot;/&gt;&lt;wsp:rsid wsp:val=&quot;005A360B&quot;/&gt;&lt;wsp:rsid wsp:val=&quot;005A397C&quot;/&gt;&lt;wsp:rsid wsp:val=&quot;005A3E88&quot;/&gt;&lt;wsp:rsid wsp:val=&quot;005A416E&quot;/&gt;&lt;wsp:rsid wsp:val=&quot;005A5326&quot;/&gt;&lt;wsp:rsid wsp:val=&quot;005A5CE9&quot;/&gt;&lt;wsp:rsid wsp:val=&quot;005A6CCD&quot;/&gt;&lt;wsp:rsid wsp:val=&quot;005B0C9D&quot;/&gt;&lt;wsp:rsid wsp:val=&quot;005B2151&quot;/&gt;&lt;wsp:rsid wsp:val=&quot;005B2955&quot;/&gt;&lt;wsp:rsid wsp:val=&quot;005B2CB6&quot;/&gt;&lt;wsp:rsid wsp:val=&quot;005B2CC1&quot;/&gt;&lt;wsp:rsid wsp:val=&quot;005B3294&quot;/&gt;&lt;wsp:rsid wsp:val=&quot;005B33CF&quot;/&gt;&lt;wsp:rsid wsp:val=&quot;005B3E56&quot;/&gt;&lt;wsp:rsid wsp:val=&quot;005B43A4&quot;/&gt;&lt;wsp:rsid wsp:val=&quot;005B4486&quot;/&gt;&lt;wsp:rsid wsp:val=&quot;005B4529&quot;/&gt;&lt;wsp:rsid wsp:val=&quot;005B5263&quot;/&gt;&lt;wsp:rsid wsp:val=&quot;005B6E26&quot;/&gt;&lt;wsp:rsid wsp:val=&quot;005B7B7E&quot;/&gt;&lt;wsp:rsid wsp:val=&quot;005C06C5&quot;/&gt;&lt;wsp:rsid wsp:val=&quot;005C1733&quot;/&gt;&lt;wsp:rsid wsp:val=&quot;005C19EB&quot;/&gt;&lt;wsp:rsid wsp:val=&quot;005C3597&quot;/&gt;&lt;wsp:rsid wsp:val=&quot;005C383A&quot;/&gt;&lt;wsp:rsid wsp:val=&quot;005C3A42&quot;/&gt;&lt;wsp:rsid wsp:val=&quot;005C454A&quot;/&gt;&lt;wsp:rsid wsp:val=&quot;005C604A&quot;/&gt;&lt;wsp:rsid wsp:val=&quot;005C751D&quot;/&gt;&lt;wsp:rsid wsp:val=&quot;005D05A0&quot;/&gt;&lt;wsp:rsid wsp:val=&quot;005D0E90&quot;/&gt;&lt;wsp:rsid wsp:val=&quot;005D1E1E&quot;/&gt;&lt;wsp:rsid wsp:val=&quot;005D2875&quot;/&gt;&lt;wsp:rsid wsp:val=&quot;005D2936&quot;/&gt;&lt;wsp:rsid wsp:val=&quot;005D2C31&quot;/&gt;&lt;wsp:rsid wsp:val=&quot;005D3192&quot;/&gt;&lt;wsp:rsid wsp:val=&quot;005D5271&quot;/&gt;&lt;wsp:rsid wsp:val=&quot;005D55B6&quot;/&gt;&lt;wsp:rsid wsp:val=&quot;005D5A81&quot;/&gt;&lt;wsp:rsid wsp:val=&quot;005D68F4&quot;/&gt;&lt;wsp:rsid wsp:val=&quot;005E0012&quot;/&gt;&lt;wsp:rsid wsp:val=&quot;005E043D&quot;/&gt;&lt;wsp:rsid wsp:val=&quot;005E2D86&quot;/&gt;&lt;wsp:rsid wsp:val=&quot;005E2E18&quot;/&gt;&lt;wsp:rsid wsp:val=&quot;005E307D&quot;/&gt;&lt;wsp:rsid wsp:val=&quot;005E347F&quot;/&gt;&lt;wsp:rsid wsp:val=&quot;005E4EEC&quot;/&gt;&lt;wsp:rsid wsp:val=&quot;005E6A17&quot;/&gt;&lt;wsp:rsid wsp:val=&quot;005E6C20&quot;/&gt;&lt;wsp:rsid wsp:val=&quot;005E786E&quot;/&gt;&lt;wsp:rsid wsp:val=&quot;005E79C2&quot;/&gt;&lt;wsp:rsid wsp:val=&quot;005E7C97&quot;/&gt;&lt;wsp:rsid wsp:val=&quot;005F0434&quot;/&gt;&lt;wsp:rsid wsp:val=&quot;005F0833&quot;/&gt;&lt;wsp:rsid wsp:val=&quot;005F0D14&quot;/&gt;&lt;wsp:rsid wsp:val=&quot;005F0E3B&quot;/&gt;&lt;wsp:rsid wsp:val=&quot;005F1A94&quot;/&gt;&lt;wsp:rsid wsp:val=&quot;005F2549&quot;/&gt;&lt;wsp:rsid wsp:val=&quot;005F2787&quot;/&gt;&lt;wsp:rsid wsp:val=&quot;005F27D9&quot;/&gt;&lt;wsp:rsid wsp:val=&quot;005F2888&quot;/&gt;&lt;wsp:rsid wsp:val=&quot;005F2BF6&quot;/&gt;&lt;wsp:rsid wsp:val=&quot;005F3A83&quot;/&gt;&lt;wsp:rsid wsp:val=&quot;005F3D2F&quot;/&gt;&lt;wsp:rsid wsp:val=&quot;005F4F0C&quot;/&gt;&lt;wsp:rsid wsp:val=&quot;005F5835&quot;/&gt;&lt;wsp:rsid wsp:val=&quot;005F65DD&quot;/&gt;&lt;wsp:rsid wsp:val=&quot;005F6A26&quot;/&gt;&lt;wsp:rsid wsp:val=&quot;005F76A2&quot;/&gt;&lt;wsp:rsid wsp:val=&quot;00600305&quot;/&gt;&lt;wsp:rsid wsp:val=&quot;00602CC7&quot;/&gt;&lt;wsp:rsid wsp:val=&quot;00603C91&quot;/&gt;&lt;wsp:rsid wsp:val=&quot;00603FE9&quot;/&gt;&lt;wsp:rsid wsp:val=&quot;006056AB&quot;/&gt;&lt;wsp:rsid wsp:val=&quot;00605A4F&quot;/&gt;&lt;wsp:rsid wsp:val=&quot;00605F9A&quot;/&gt;&lt;wsp:rsid wsp:val=&quot;00606446&quot;/&gt;&lt;wsp:rsid wsp:val=&quot;00606B39&quot;/&gt;&lt;wsp:rsid wsp:val=&quot;00606BD6&quot;/&gt;&lt;wsp:rsid wsp:val=&quot;00606F5E&quot;/&gt;&lt;wsp:rsid wsp:val=&quot;00607180&quot;/&gt;&lt;wsp:rsid wsp:val=&quot;00607689&quot;/&gt;&lt;wsp:rsid wsp:val=&quot;00610DAA&quot;/&gt;&lt;wsp:rsid wsp:val=&quot;00611130&quot;/&gt;&lt;wsp:rsid wsp:val=&quot;00611B46&quot;/&gt;&lt;wsp:rsid wsp:val=&quot;00612873&quot;/&gt;&lt;wsp:rsid wsp:val=&quot;0061478A&quot;/&gt;&lt;wsp:rsid wsp:val=&quot;0061495F&quot;/&gt;&lt;wsp:rsid wsp:val=&quot;00614D00&quot;/&gt;&lt;wsp:rsid wsp:val=&quot;00616079&quot;/&gt;&lt;wsp:rsid wsp:val=&quot;006172D4&quot;/&gt;&lt;wsp:rsid wsp:val=&quot;00617B55&quot;/&gt;&lt;wsp:rsid wsp:val=&quot;006202EA&quot;/&gt;&lt;wsp:rsid wsp:val=&quot;0062083F&quot;/&gt;&lt;wsp:rsid wsp:val=&quot;00621EBF&quot;/&gt;&lt;wsp:rsid wsp:val=&quot;00622747&quot;/&gt;&lt;wsp:rsid wsp:val=&quot;00623449&quot;/&gt;&lt;wsp:rsid wsp:val=&quot;0062350F&quot;/&gt;&lt;wsp:rsid wsp:val=&quot;00623AF4&quot;/&gt;&lt;wsp:rsid wsp:val=&quot;00623B58&quot;/&gt;&lt;wsp:rsid wsp:val=&quot;0062404B&quot;/&gt;&lt;wsp:rsid wsp:val=&quot;006251B6&quot;/&gt;&lt;wsp:rsid wsp:val=&quot;006257D6&quot;/&gt;&lt;wsp:rsid wsp:val=&quot;00625D14&quot;/&gt;&lt;wsp:rsid wsp:val=&quot;00625EA9&quot;/&gt;&lt;wsp:rsid wsp:val=&quot;00626ACF&quot;/&gt;&lt;wsp:rsid wsp:val=&quot;00630EFB&quot;/&gt;&lt;wsp:rsid wsp:val=&quot;00631BB6&quot;/&gt;&lt;wsp:rsid wsp:val=&quot;00632861&quot;/&gt;&lt;wsp:rsid wsp:val=&quot;00633EE3&quot;/&gt;&lt;wsp:rsid wsp:val=&quot;00634531&quot;/&gt;&lt;wsp:rsid wsp:val=&quot;00634C26&quot;/&gt;&lt;wsp:rsid wsp:val=&quot;006352A8&quot;/&gt;&lt;wsp:rsid wsp:val=&quot;006353EA&quot;/&gt;&lt;wsp:rsid wsp:val=&quot;006365C4&quot;/&gt;&lt;wsp:rsid wsp:val=&quot;006402F9&quot;/&gt;&lt;wsp:rsid wsp:val=&quot;0064123D&quot;/&gt;&lt;wsp:rsid wsp:val=&quot;006414D1&quot;/&gt;&lt;wsp:rsid wsp:val=&quot;0064306C&quot;/&gt;&lt;wsp:rsid wsp:val=&quot;00643609&quot;/&gt;&lt;wsp:rsid wsp:val=&quot;00643F19&quot;/&gt;&lt;wsp:rsid wsp:val=&quot;006441DE&quot;/&gt;&lt;wsp:rsid wsp:val=&quot;006458A7&quot;/&gt;&lt;wsp:rsid wsp:val=&quot;006458BF&quot;/&gt;&lt;wsp:rsid wsp:val=&quot;00645C99&quot;/&gt;&lt;wsp:rsid wsp:val=&quot;00645DCE&quot;/&gt;&lt;wsp:rsid wsp:val=&quot;00646A6D&quot;/&gt;&lt;wsp:rsid wsp:val=&quot;00647C95&quot;/&gt;&lt;wsp:rsid wsp:val=&quot;00647CEE&quot;/&gt;&lt;wsp:rsid wsp:val=&quot;00650108&quot;/&gt;&lt;wsp:rsid wsp:val=&quot;006506F2&quot;/&gt;&lt;wsp:rsid wsp:val=&quot;0065074A&quot;/&gt;&lt;wsp:rsid wsp:val=&quot;0065096F&quot;/&gt;&lt;wsp:rsid wsp:val=&quot;00651E02&quot;/&gt;&lt;wsp:rsid wsp:val=&quot;0065275A&quot;/&gt;&lt;wsp:rsid wsp:val=&quot;00652BC6&quot;/&gt;&lt;wsp:rsid wsp:val=&quot;00654E07&quot;/&gt;&lt;wsp:rsid wsp:val=&quot;00654EC3&quot;/&gt;&lt;wsp:rsid wsp:val=&quot;006558A2&quot;/&gt;&lt;wsp:rsid wsp:val=&quot;006563F4&quot;/&gt;&lt;wsp:rsid wsp:val=&quot;00656459&quot;/&gt;&lt;wsp:rsid wsp:val=&quot;00656493&quot;/&gt;&lt;wsp:rsid wsp:val=&quot;0065653A&quot;/&gt;&lt;wsp:rsid wsp:val=&quot;00657754&quot;/&gt;&lt;wsp:rsid wsp:val=&quot;006579C2&quot;/&gt;&lt;wsp:rsid wsp:val=&quot;0066045E&quot;/&gt;&lt;wsp:rsid wsp:val=&quot;006605B3&quot;/&gt;&lt;wsp:rsid wsp:val=&quot;00662249&quot;/&gt;&lt;wsp:rsid wsp:val=&quot;00662255&quot;/&gt;&lt;wsp:rsid wsp:val=&quot;0066255B&quot;/&gt;&lt;wsp:rsid wsp:val=&quot;00662E36&quot;/&gt;&lt;wsp:rsid wsp:val=&quot;006656ED&quot;/&gt;&lt;wsp:rsid wsp:val=&quot;00665CC5&quot;/&gt;&lt;wsp:rsid wsp:val=&quot;006664C4&quot;/&gt;&lt;wsp:rsid wsp:val=&quot;00666B2C&quot;/&gt;&lt;wsp:rsid wsp:val=&quot;00670485&quot;/&gt;&lt;wsp:rsid wsp:val=&quot;0067081C&quot;/&gt;&lt;wsp:rsid wsp:val=&quot;00670F86&quot;/&gt;&lt;wsp:rsid wsp:val=&quot;00671055&quot;/&gt;&lt;wsp:rsid wsp:val=&quot;006717B9&quot;/&gt;&lt;wsp:rsid wsp:val=&quot;0067186F&quot;/&gt;&lt;wsp:rsid wsp:val=&quot;00671988&quot;/&gt;&lt;wsp:rsid wsp:val=&quot;00672442&quot;/&gt;&lt;wsp:rsid wsp:val=&quot;006727A0&quot;/&gt;&lt;wsp:rsid wsp:val=&quot;006737AC&quot;/&gt;&lt;wsp:rsid wsp:val=&quot;00673D2C&quot;/&gt;&lt;wsp:rsid wsp:val=&quot;006740D0&quot;/&gt;&lt;wsp:rsid wsp:val=&quot;00674406&quot;/&gt;&lt;wsp:rsid wsp:val=&quot;0067448C&quot;/&gt;&lt;wsp:rsid wsp:val=&quot;00674921&quot;/&gt;&lt;wsp:rsid wsp:val=&quot;00674C10&quot;/&gt;&lt;wsp:rsid wsp:val=&quot;00674D82&quot;/&gt;&lt;wsp:rsid wsp:val=&quot;00674EAA&quot;/&gt;&lt;wsp:rsid wsp:val=&quot;006753BC&quot;/&gt;&lt;wsp:rsid wsp:val=&quot;00676424&quot;/&gt;&lt;wsp:rsid wsp:val=&quot;006779D9&quot;/&gt;&lt;wsp:rsid wsp:val=&quot;00680138&quot;/&gt;&lt;wsp:rsid wsp:val=&quot;006804E7&quot;/&gt;&lt;wsp:rsid wsp:val=&quot;00680B0C&quot;/&gt;&lt;wsp:rsid wsp:val=&quot;00680EE3&quot;/&gt;&lt;wsp:rsid wsp:val=&quot;0068145B&quot;/&gt;&lt;wsp:rsid wsp:val=&quot;00681543&quot;/&gt;&lt;wsp:rsid wsp:val=&quot;006823B9&quot;/&gt;&lt;wsp:rsid wsp:val=&quot;00683D12&quot;/&gt;&lt;wsp:rsid wsp:val=&quot;00684400&quot;/&gt;&lt;wsp:rsid wsp:val=&quot;0068475D&quot;/&gt;&lt;wsp:rsid wsp:val=&quot;006849F1&quot;/&gt;&lt;wsp:rsid wsp:val=&quot;00685222&quot;/&gt;&lt;wsp:rsid wsp:val=&quot;00685F9D&quot;/&gt;&lt;wsp:rsid wsp:val=&quot;00685FBE&quot;/&gt;&lt;wsp:rsid wsp:val=&quot;00686175&quot;/&gt;&lt;wsp:rsid wsp:val=&quot;006878E4&quot;/&gt;&lt;wsp:rsid wsp:val=&quot;00687D7A&quot;/&gt;&lt;wsp:rsid wsp:val=&quot;00687EEB&quot;/&gt;&lt;wsp:rsid wsp:val=&quot;00690C49&quot;/&gt;&lt;wsp:rsid wsp:val=&quot;006922D0&quot;/&gt;&lt;wsp:rsid wsp:val=&quot;00692EFD&quot;/&gt;&lt;wsp:rsid wsp:val=&quot;00693A09&quot;/&gt;&lt;wsp:rsid wsp:val=&quot;00693E22&quot;/&gt;&lt;wsp:rsid wsp:val=&quot;00694A58&quot;/&gt;&lt;wsp:rsid wsp:val=&quot;00695A30&quot;/&gt;&lt;wsp:rsid wsp:val=&quot;0069646E&quot;/&gt;&lt;wsp:rsid wsp:val=&quot;006967E4&quot;/&gt;&lt;wsp:rsid wsp:val=&quot;00696C5D&quot;/&gt;&lt;wsp:rsid wsp:val=&quot;00696DED&quot;/&gt;&lt;wsp:rsid wsp:val=&quot;0069736C&quot;/&gt;&lt;wsp:rsid wsp:val=&quot;00697B5E&quot;/&gt;&lt;wsp:rsid wsp:val=&quot;006A0C6F&quot;/&gt;&lt;wsp:rsid wsp:val=&quot;006A1219&quot;/&gt;&lt;wsp:rsid wsp:val=&quot;006A1F01&quot;/&gt;&lt;wsp:rsid wsp:val=&quot;006A3064&quot;/&gt;&lt;wsp:rsid wsp:val=&quot;006A3268&quot;/&gt;&lt;wsp:rsid wsp:val=&quot;006A3289&quot;/&gt;&lt;wsp:rsid wsp:val=&quot;006A376E&quot;/&gt;&lt;wsp:rsid wsp:val=&quot;006A3930&quot;/&gt;&lt;wsp:rsid wsp:val=&quot;006A39C1&quot;/&gt;&lt;wsp:rsid wsp:val=&quot;006A3AE8&quot;/&gt;&lt;wsp:rsid wsp:val=&quot;006A3D5B&quot;/&gt;&lt;wsp:rsid wsp:val=&quot;006A4108&quot;/&gt;&lt;wsp:rsid wsp:val=&quot;006A51D5&quot;/&gt;&lt;wsp:rsid wsp:val=&quot;006A57A0&quot;/&gt;&lt;wsp:rsid wsp:val=&quot;006A5D2E&quot;/&gt;&lt;wsp:rsid wsp:val=&quot;006A5D51&quot;/&gt;&lt;wsp:rsid wsp:val=&quot;006A6232&quot;/&gt;&lt;wsp:rsid wsp:val=&quot;006A6467&quot;/&gt;&lt;wsp:rsid wsp:val=&quot;006A6485&quot;/&gt;&lt;wsp:rsid wsp:val=&quot;006A6DB6&quot;/&gt;&lt;wsp:rsid wsp:val=&quot;006A6E1C&quot;/&gt;&lt;wsp:rsid wsp:val=&quot;006A706D&quot;/&gt;&lt;wsp:rsid wsp:val=&quot;006A78EF&quot;/&gt;&lt;wsp:rsid wsp:val=&quot;006A7DFA&quot;/&gt;&lt;wsp:rsid wsp:val=&quot;006B0999&quot;/&gt;&lt;wsp:rsid wsp:val=&quot;006B14FE&quot;/&gt;&lt;wsp:rsid wsp:val=&quot;006B1B93&quot;/&gt;&lt;wsp:rsid wsp:val=&quot;006B1DE3&quot;/&gt;&lt;wsp:rsid wsp:val=&quot;006B3085&quot;/&gt;&lt;wsp:rsid wsp:val=&quot;006B4402&quot;/&gt;&lt;wsp:rsid wsp:val=&quot;006B4E06&quot;/&gt;&lt;wsp:rsid wsp:val=&quot;006B5512&quot;/&gt;&lt;wsp:rsid wsp:val=&quot;006B5741&quot;/&gt;&lt;wsp:rsid wsp:val=&quot;006B6390&quot;/&gt;&lt;wsp:rsid wsp:val=&quot;006B7D94&quot;/&gt;&lt;wsp:rsid wsp:val=&quot;006C0EAB&quot;/&gt;&lt;wsp:rsid wsp:val=&quot;006C18BD&quot;/&gt;&lt;wsp:rsid wsp:val=&quot;006C24C5&quot;/&gt;&lt;wsp:rsid wsp:val=&quot;006C2D7E&quot;/&gt;&lt;wsp:rsid wsp:val=&quot;006C3EB6&quot;/&gt;&lt;wsp:rsid wsp:val=&quot;006C51DF&quot;/&gt;&lt;wsp:rsid wsp:val=&quot;006C5539&quot;/&gt;&lt;wsp:rsid wsp:val=&quot;006C7985&quot;/&gt;&lt;wsp:rsid wsp:val=&quot;006C7BC5&quot;/&gt;&lt;wsp:rsid wsp:val=&quot;006D03B1&quot;/&gt;&lt;wsp:rsid wsp:val=&quot;006D121D&quot;/&gt;&lt;wsp:rsid wsp:val=&quot;006D1DC5&quot;/&gt;&lt;wsp:rsid wsp:val=&quot;006D3411&quot;/&gt;&lt;wsp:rsid wsp:val=&quot;006D4086&quot;/&gt;&lt;wsp:rsid wsp:val=&quot;006D5079&quot;/&gt;&lt;wsp:rsid wsp:val=&quot;006D5546&quot;/&gt;&lt;wsp:rsid wsp:val=&quot;006D5A37&quot;/&gt;&lt;wsp:rsid wsp:val=&quot;006D69F8&quot;/&gt;&lt;wsp:rsid wsp:val=&quot;006D7671&quot;/&gt;&lt;wsp:rsid wsp:val=&quot;006D7770&quot;/&gt;&lt;wsp:rsid wsp:val=&quot;006E01B8&quot;/&gt;&lt;wsp:rsid wsp:val=&quot;006E0CA7&quot;/&gt;&lt;wsp:rsid wsp:val=&quot;006E0DCD&quot;/&gt;&lt;wsp:rsid wsp:val=&quot;006E0F55&quot;/&gt;&lt;wsp:rsid wsp:val=&quot;006E1926&quot;/&gt;&lt;wsp:rsid wsp:val=&quot;006E1AEA&quot;/&gt;&lt;wsp:rsid wsp:val=&quot;006E1F7F&quot;/&gt;&lt;wsp:rsid wsp:val=&quot;006E3A1B&quot;/&gt;&lt;wsp:rsid wsp:val=&quot;006E4448&quot;/&gt;&lt;wsp:rsid wsp:val=&quot;006E44B5&quot;/&gt;&lt;wsp:rsid wsp:val=&quot;006E4655&quot;/&gt;&lt;wsp:rsid wsp:val=&quot;006E474D&quot;/&gt;&lt;wsp:rsid wsp:val=&quot;006E5D96&quot;/&gt;&lt;wsp:rsid wsp:val=&quot;006E6715&quot;/&gt;&lt;wsp:rsid wsp:val=&quot;006E7132&quot;/&gt;&lt;wsp:rsid wsp:val=&quot;006F094E&quot;/&gt;&lt;wsp:rsid wsp:val=&quot;006F201D&quot;/&gt;&lt;wsp:rsid wsp:val=&quot;006F2B78&quot;/&gt;&lt;wsp:rsid wsp:val=&quot;006F30C6&quot;/&gt;&lt;wsp:rsid wsp:val=&quot;006F3398&quot;/&gt;&lt;wsp:rsid wsp:val=&quot;006F38A8&quot;/&gt;&lt;wsp:rsid wsp:val=&quot;006F5693&quot;/&gt;&lt;wsp:rsid wsp:val=&quot;006F589C&quot;/&gt;&lt;wsp:rsid wsp:val=&quot;006F6731&quot;/&gt;&lt;wsp:rsid wsp:val=&quot;006F6E44&quot;/&gt;&lt;wsp:rsid wsp:val=&quot;006F6E7B&quot;/&gt;&lt;wsp:rsid wsp:val=&quot;007002C0&quot;/&gt;&lt;wsp:rsid wsp:val=&quot;0070044C&quot;/&gt;&lt;wsp:rsid wsp:val=&quot;00700B71&quot;/&gt;&lt;wsp:rsid wsp:val=&quot;0070113A&quot;/&gt;&lt;wsp:rsid wsp:val=&quot;00702681&quot;/&gt;&lt;wsp:rsid wsp:val=&quot;00702AB6&quot;/&gt;&lt;wsp:rsid wsp:val=&quot;00702AD5&quot;/&gt;&lt;wsp:rsid wsp:val=&quot;00702DC2&quot;/&gt;&lt;wsp:rsid wsp:val=&quot;00703A72&quot;/&gt;&lt;wsp:rsid wsp:val=&quot;007044B6&quot;/&gt;&lt;wsp:rsid wsp:val=&quot;00704F12&quot;/&gt;&lt;wsp:rsid wsp:val=&quot;00705218&quot;/&gt;&lt;wsp:rsid wsp:val=&quot;007059E2&quot;/&gt;&lt;wsp:rsid wsp:val=&quot;007067DB&quot;/&gt;&lt;wsp:rsid wsp:val=&quot;0070730C&quot;/&gt;&lt;wsp:rsid wsp:val=&quot;00707762&quot;/&gt;&lt;wsp:rsid wsp:val=&quot;007077F1&quot;/&gt;&lt;wsp:rsid wsp:val=&quot;00707B42&quot;/&gt;&lt;wsp:rsid wsp:val=&quot;00707FB9&quot;/&gt;&lt;wsp:rsid wsp:val=&quot;00710536&quot;/&gt;&lt;wsp:rsid wsp:val=&quot;007107CA&quot;/&gt;&lt;wsp:rsid wsp:val=&quot;00711F8C&quot;/&gt;&lt;wsp:rsid wsp:val=&quot;00712B84&quot;/&gt;&lt;wsp:rsid wsp:val=&quot;00712C00&quot;/&gt;&lt;wsp:rsid wsp:val=&quot;00712D62&quot;/&gt;&lt;wsp:rsid wsp:val=&quot;00713169&quot;/&gt;&lt;wsp:rsid wsp:val=&quot;00713341&quot;/&gt;&lt;wsp:rsid wsp:val=&quot;00714A09&quot;/&gt;&lt;wsp:rsid wsp:val=&quot;007152ED&quot;/&gt;&lt;wsp:rsid wsp:val=&quot;00715C10&quot;/&gt;&lt;wsp:rsid wsp:val=&quot;00715D23&quot;/&gt;&lt;wsp:rsid wsp:val=&quot;00715FCD&quot;/&gt;&lt;wsp:rsid wsp:val=&quot;007163C7&quot;/&gt;&lt;wsp:rsid wsp:val=&quot;007204F3&quot;/&gt;&lt;wsp:rsid wsp:val=&quot;00720687&quot;/&gt;&lt;wsp:rsid wsp:val=&quot;00720859&quot;/&gt;&lt;wsp:rsid wsp:val=&quot;00720B9B&quot;/&gt;&lt;wsp:rsid wsp:val=&quot;00721BDB&quot;/&gt;&lt;wsp:rsid wsp:val=&quot;00721F21&quot;/&gt;&lt;wsp:rsid wsp:val=&quot;0072247C&quot;/&gt;&lt;wsp:rsid wsp:val=&quot;00722A92&quot;/&gt;&lt;wsp:rsid wsp:val=&quot;00723BA7&quot;/&gt;&lt;wsp:rsid wsp:val=&quot;00724E5F&quot;/&gt;&lt;wsp:rsid wsp:val=&quot;007252D2&quot;/&gt;&lt;wsp:rsid wsp:val=&quot;00725896&quot;/&gt;&lt;wsp:rsid wsp:val=&quot;00725BD2&quot;/&gt;&lt;wsp:rsid wsp:val=&quot;00725E7D&quot;/&gt;&lt;wsp:rsid wsp:val=&quot;007260C2&quot;/&gt;&lt;wsp:rsid wsp:val=&quot;0072752C&quot;/&gt;&lt;wsp:rsid wsp:val=&quot;00730580&quot;/&gt;&lt;wsp:rsid wsp:val=&quot;00730E70&quot;/&gt;&lt;wsp:rsid wsp:val=&quot;00730EF9&quot;/&gt;&lt;wsp:rsid wsp:val=&quot;00732175&quot;/&gt;&lt;wsp:rsid wsp:val=&quot;00732528&quot;/&gt;&lt;wsp:rsid wsp:val=&quot;00732659&quot;/&gt;&lt;wsp:rsid wsp:val=&quot;0073377B&quot;/&gt;&lt;wsp:rsid wsp:val=&quot;007337EF&quot;/&gt;&lt;wsp:rsid wsp:val=&quot;007345D3&quot;/&gt;&lt;wsp:rsid wsp:val=&quot;00734B85&quot;/&gt;&lt;wsp:rsid wsp:val=&quot;00735263&quot;/&gt;&lt;wsp:rsid wsp:val=&quot;007356AD&quot;/&gt;&lt;wsp:rsid wsp:val=&quot;00736035&quot;/&gt;&lt;wsp:rsid wsp:val=&quot;00736056&quot;/&gt;&lt;wsp:rsid wsp:val=&quot;007362F1&quot;/&gt;&lt;wsp:rsid wsp:val=&quot;00736472&quot;/&gt;&lt;wsp:rsid wsp:val=&quot;0073785E&quot;/&gt;&lt;wsp:rsid wsp:val=&quot;007406F1&quot;/&gt;&lt;wsp:rsid wsp:val=&quot;0074086C&quot;/&gt;&lt;wsp:rsid wsp:val=&quot;00742872&quot;/&gt;&lt;wsp:rsid wsp:val=&quot;007442EF&quot;/&gt;&lt;wsp:rsid wsp:val=&quot;00744C1F&quot;/&gt;&lt;wsp:rsid wsp:val=&quot;00744D52&quot;/&gt;&lt;wsp:rsid wsp:val=&quot;00745E70&quot;/&gt;&lt;wsp:rsid wsp:val=&quot;007474AB&quot;/&gt;&lt;wsp:rsid wsp:val=&quot;0074795D&quot;/&gt;&lt;wsp:rsid wsp:val=&quot;00747E61&quot;/&gt;&lt;wsp:rsid wsp:val=&quot;007507C0&quot;/&gt;&lt;wsp:rsid wsp:val=&quot;0075129B&quot;/&gt;&lt;wsp:rsid wsp:val=&quot;007517C1&quot;/&gt;&lt;wsp:rsid wsp:val=&quot;00751C1C&quot;/&gt;&lt;wsp:rsid wsp:val=&quot;0075282E&quot;/&gt;&lt;wsp:rsid wsp:val=&quot;00752B30&quot;/&gt;&lt;wsp:rsid wsp:val=&quot;00752BA1&quot;/&gt;&lt;wsp:rsid wsp:val=&quot;007547C6&quot;/&gt;&lt;wsp:rsid wsp:val=&quot;00754992&quot;/&gt;&lt;wsp:rsid wsp:val=&quot;00755F07&quot;/&gt;&lt;wsp:rsid wsp:val=&quot;007601D5&quot;/&gt;&lt;wsp:rsid wsp:val=&quot;00760E34&quot;/&gt;&lt;wsp:rsid wsp:val=&quot;00762570&quot;/&gt;&lt;wsp:rsid wsp:val=&quot;007636E6&quot;/&gt;&lt;wsp:rsid wsp:val=&quot;00763E8E&quot;/&gt;&lt;wsp:rsid wsp:val=&quot;0076425F&quot;/&gt;&lt;wsp:rsid wsp:val=&quot;00764859&quot;/&gt;&lt;wsp:rsid wsp:val=&quot;00764B12&quot;/&gt;&lt;wsp:rsid wsp:val=&quot;00766895&quot;/&gt;&lt;wsp:rsid wsp:val=&quot;007668DE&quot;/&gt;&lt;wsp:rsid wsp:val=&quot;00767FDE&quot;/&gt;&lt;wsp:rsid wsp:val=&quot;0077050E&quot;/&gt;&lt;wsp:rsid wsp:val=&quot;00771A78&quot;/&gt;&lt;wsp:rsid wsp:val=&quot;00771C45&quot;/&gt;&lt;wsp:rsid wsp:val=&quot;00771D23&quot;/&gt;&lt;wsp:rsid wsp:val=&quot;00773106&quot;/&gt;&lt;wsp:rsid wsp:val=&quot;0077351A&quot;/&gt;&lt;wsp:rsid wsp:val=&quot;00773BB1&quot;/&gt;&lt;wsp:rsid wsp:val=&quot;00774CEA&quot;/&gt;&lt;wsp:rsid wsp:val=&quot;007757FC&quot;/&gt;&lt;wsp:rsid wsp:val=&quot;00775B2F&quot;/&gt;&lt;wsp:rsid wsp:val=&quot;007762A1&quot;/&gt;&lt;wsp:rsid wsp:val=&quot;00776489&quot;/&gt;&lt;wsp:rsid wsp:val=&quot;00776DD1&quot;/&gt;&lt;wsp:rsid wsp:val=&quot;00777456&quot;/&gt;&lt;wsp:rsid wsp:val=&quot;007774BD&quot;/&gt;&lt;wsp:rsid wsp:val=&quot;00777B7E&quot;/&gt;&lt;wsp:rsid wsp:val=&quot;00777E54&quot;/&gt;&lt;wsp:rsid wsp:val=&quot;00781066&quot;/&gt;&lt;wsp:rsid wsp:val=&quot;00782F0B&quot;/&gt;&lt;wsp:rsid wsp:val=&quot;00784101&quot;/&gt;&lt;wsp:rsid wsp:val=&quot;00784315&quot;/&gt;&lt;wsp:rsid wsp:val=&quot;007846F0&quot;/&gt;&lt;wsp:rsid wsp:val=&quot;00784882&quot;/&gt;&lt;wsp:rsid wsp:val=&quot;007848A0&quot;/&gt;&lt;wsp:rsid wsp:val=&quot;00787256&quot;/&gt;&lt;wsp:rsid wsp:val=&quot;00787D26&quot;/&gt;&lt;wsp:rsid wsp:val=&quot;0079043E&quot;/&gt;&lt;wsp:rsid wsp:val=&quot;007904ED&quot;/&gt;&lt;wsp:rsid wsp:val=&quot;007905BA&quot;/&gt;&lt;wsp:rsid wsp:val=&quot;007910A0&quot;/&gt;&lt;wsp:rsid wsp:val=&quot;007913C3&quot;/&gt;&lt;wsp:rsid wsp:val=&quot;0079144B&quot;/&gt;&lt;wsp:rsid wsp:val=&quot;007915FF&quot;/&gt;&lt;wsp:rsid wsp:val=&quot;0079220E&quot;/&gt;&lt;wsp:rsid wsp:val=&quot;007927F3&quot;/&gt;&lt;wsp:rsid wsp:val=&quot;0079336D&quot;/&gt;&lt;wsp:rsid wsp:val=&quot;00793EA9&quot;/&gt;&lt;wsp:rsid wsp:val=&quot;00795370&quot;/&gt;&lt;wsp:rsid wsp:val=&quot;0079550D&quot;/&gt;&lt;wsp:rsid wsp:val=&quot;00795C6A&quot;/&gt;&lt;wsp:rsid wsp:val=&quot;00796352&quot;/&gt;&lt;wsp:rsid wsp:val=&quot;00797082&quot;/&gt;&lt;wsp:rsid wsp:val=&quot;007977BC&quot;/&gt;&lt;wsp:rsid wsp:val=&quot;007977C2&quot;/&gt;&lt;wsp:rsid wsp:val=&quot;007A0170&quot;/&gt;&lt;wsp:rsid wsp:val=&quot;007A0E6E&quot;/&gt;&lt;wsp:rsid wsp:val=&quot;007A1446&quot;/&gt;&lt;wsp:rsid wsp:val=&quot;007A1B72&quot;/&gt;&lt;wsp:rsid wsp:val=&quot;007A23A9&quot;/&gt;&lt;wsp:rsid wsp:val=&quot;007A2AC1&quot;/&gt;&lt;wsp:rsid wsp:val=&quot;007A3E72&quot;/&gt;&lt;wsp:rsid wsp:val=&quot;007A48E1&quot;/&gt;&lt;wsp:rsid wsp:val=&quot;007A4E15&quot;/&gt;&lt;wsp:rsid wsp:val=&quot;007A55E0&quot;/&gt;&lt;wsp:rsid wsp:val=&quot;007A5940&quot;/&gt;&lt;wsp:rsid wsp:val=&quot;007A6353&quot;/&gt;&lt;wsp:rsid wsp:val=&quot;007A6520&quot;/&gt;&lt;wsp:rsid wsp:val=&quot;007A6819&quot;/&gt;&lt;wsp:rsid wsp:val=&quot;007A6B2E&quot;/&gt;&lt;wsp:rsid wsp:val=&quot;007A7037&quot;/&gt;&lt;wsp:rsid wsp:val=&quot;007A7A52&quot;/&gt;&lt;wsp:rsid wsp:val=&quot;007A7D70&quot;/&gt;&lt;wsp:rsid wsp:val=&quot;007B074F&quot;/&gt;&lt;wsp:rsid wsp:val=&quot;007B0EF7&quot;/&gt;&lt;wsp:rsid wsp:val=&quot;007B139B&quot;/&gt;&lt;wsp:rsid wsp:val=&quot;007B182D&quot;/&gt;&lt;wsp:rsid wsp:val=&quot;007B2B08&quot;/&gt;&lt;wsp:rsid wsp:val=&quot;007B2C58&quot;/&gt;&lt;wsp:rsid wsp:val=&quot;007B3135&quot;/&gt;&lt;wsp:rsid wsp:val=&quot;007B3D95&quot;/&gt;&lt;wsp:rsid wsp:val=&quot;007B3DB3&quot;/&gt;&lt;wsp:rsid wsp:val=&quot;007B3F5C&quot;/&gt;&lt;wsp:rsid wsp:val=&quot;007B406D&quot;/&gt;&lt;wsp:rsid wsp:val=&quot;007B440D&quot;/&gt;&lt;wsp:rsid wsp:val=&quot;007B5781&quot;/&gt;&lt;wsp:rsid wsp:val=&quot;007B57CB&quot;/&gt;&lt;wsp:rsid wsp:val=&quot;007B5CCB&quot;/&gt;&lt;wsp:rsid wsp:val=&quot;007B629A&quot;/&gt;&lt;wsp:rsid wsp:val=&quot;007B64D5&quot;/&gt;&lt;wsp:rsid wsp:val=&quot;007B7795&quot;/&gt;&lt;wsp:rsid wsp:val=&quot;007C00C1&quot;/&gt;&lt;wsp:rsid wsp:val=&quot;007C0A12&quot;/&gt;&lt;wsp:rsid wsp:val=&quot;007C0FCD&quot;/&gt;&lt;wsp:rsid wsp:val=&quot;007C1B6F&quot;/&gt;&lt;wsp:rsid wsp:val=&quot;007C234C&quot;/&gt;&lt;wsp:rsid wsp:val=&quot;007C2CB5&quot;/&gt;&lt;wsp:rsid wsp:val=&quot;007C3595&quot;/&gt;&lt;wsp:rsid wsp:val=&quot;007C3991&quot;/&gt;&lt;wsp:rsid wsp:val=&quot;007C42E0&quot;/&gt;&lt;wsp:rsid wsp:val=&quot;007C457E&quot;/&gt;&lt;wsp:rsid wsp:val=&quot;007C623C&quot;/&gt;&lt;wsp:rsid wsp:val=&quot;007C7049&quot;/&gt;&lt;wsp:rsid wsp:val=&quot;007C7256&quot;/&gt;&lt;wsp:rsid wsp:val=&quot;007C7368&quot;/&gt;&lt;wsp:rsid wsp:val=&quot;007C7B86&quot;/&gt;&lt;wsp:rsid wsp:val=&quot;007D0293&quot;/&gt;&lt;wsp:rsid wsp:val=&quot;007D03D8&quot;/&gt;&lt;wsp:rsid wsp:val=&quot;007D0A60&quot;/&gt;&lt;wsp:rsid wsp:val=&quot;007D0B16&quot;/&gt;&lt;wsp:rsid wsp:val=&quot;007D1CD2&quot;/&gt;&lt;wsp:rsid wsp:val=&quot;007D1D3A&quot;/&gt;&lt;wsp:rsid wsp:val=&quot;007D2658&quot;/&gt;&lt;wsp:rsid wsp:val=&quot;007D26A3&quot;/&gt;&lt;wsp:rsid wsp:val=&quot;007D2BFB&quot;/&gt;&lt;wsp:rsid wsp:val=&quot;007D2CA9&quot;/&gt;&lt;wsp:rsid wsp:val=&quot;007D372A&quot;/&gt;&lt;wsp:rsid wsp:val=&quot;007D3943&quot;/&gt;&lt;wsp:rsid wsp:val=&quot;007D4DEC&quot;/&gt;&lt;wsp:rsid wsp:val=&quot;007D50E8&quot;/&gt;&lt;wsp:rsid wsp:val=&quot;007D511F&quot;/&gt;&lt;wsp:rsid wsp:val=&quot;007D5642&quot;/&gt;&lt;wsp:rsid wsp:val=&quot;007D5EE5&quot;/&gt;&lt;wsp:rsid wsp:val=&quot;007D6582&quot;/&gt;&lt;wsp:rsid wsp:val=&quot;007D6A20&quot;/&gt;&lt;wsp:rsid wsp:val=&quot;007D6E98&quot;/&gt;&lt;wsp:rsid wsp:val=&quot;007D7105&quot;/&gt;&lt;wsp:rsid wsp:val=&quot;007D72F6&quot;/&gt;&lt;wsp:rsid wsp:val=&quot;007E00D1&quot;/&gt;&lt;wsp:rsid wsp:val=&quot;007E0E6B&quot;/&gt;&lt;wsp:rsid wsp:val=&quot;007E1401&quot;/&gt;&lt;wsp:rsid wsp:val=&quot;007E1C08&quot;/&gt;&lt;wsp:rsid wsp:val=&quot;007E260D&quot;/&gt;&lt;wsp:rsid wsp:val=&quot;007E2611&quot;/&gt;&lt;wsp:rsid wsp:val=&quot;007E2E37&quot;/&gt;&lt;wsp:rsid wsp:val=&quot;007E3029&quot;/&gt;&lt;wsp:rsid wsp:val=&quot;007E35C8&quot;/&gt;&lt;wsp:rsid wsp:val=&quot;007E36A6&quot;/&gt;&lt;wsp:rsid wsp:val=&quot;007E3A86&quot;/&gt;&lt;wsp:rsid wsp:val=&quot;007E3A8E&quot;/&gt;&lt;wsp:rsid wsp:val=&quot;007E3F41&quot;/&gt;&lt;wsp:rsid wsp:val=&quot;007E5B85&quot;/&gt;&lt;wsp:rsid wsp:val=&quot;007E637B&quot;/&gt;&lt;wsp:rsid wsp:val=&quot;007E6CD9&quot;/&gt;&lt;wsp:rsid wsp:val=&quot;007E7DC5&quot;/&gt;&lt;wsp:rsid wsp:val=&quot;007F0177&quot;/&gt;&lt;wsp:rsid wsp:val=&quot;007F0A89&quot;/&gt;&lt;wsp:rsid wsp:val=&quot;007F0C7F&quot;/&gt;&lt;wsp:rsid wsp:val=&quot;007F0DEC&quot;/&gt;&lt;wsp:rsid wsp:val=&quot;007F0E43&quot;/&gt;&lt;wsp:rsid wsp:val=&quot;007F1570&quot;/&gt;&lt;wsp:rsid wsp:val=&quot;007F17B0&quot;/&gt;&lt;wsp:rsid wsp:val=&quot;007F1B1D&quot;/&gt;&lt;wsp:rsid wsp:val=&quot;007F1BFB&quot;/&gt;&lt;wsp:rsid wsp:val=&quot;007F2552&quot;/&gt;&lt;wsp:rsid wsp:val=&quot;007F265E&quot;/&gt;&lt;wsp:rsid wsp:val=&quot;007F28A4&quot;/&gt;&lt;wsp:rsid wsp:val=&quot;007F3572&quot;/&gt;&lt;wsp:rsid wsp:val=&quot;007F367E&quot;/&gt;&lt;wsp:rsid wsp:val=&quot;007F45EF&quot;/&gt;&lt;wsp:rsid wsp:val=&quot;007F4863&quot;/&gt;&lt;wsp:rsid wsp:val=&quot;007F6E80&quot;/&gt;&lt;wsp:rsid wsp:val=&quot;007F7007&quot;/&gt;&lt;wsp:rsid wsp:val=&quot;007F72DF&quot;/&gt;&lt;wsp:rsid wsp:val=&quot;0080042D&quot;/&gt;&lt;wsp:rsid wsp:val=&quot;008007D5&quot;/&gt;&lt;wsp:rsid wsp:val=&quot;00800FD9&quot;/&gt;&lt;wsp:rsid wsp:val=&quot;0080118C&quot;/&gt;&lt;wsp:rsid wsp:val=&quot;00801BBD&quot;/&gt;&lt;wsp:rsid wsp:val=&quot;00801D4B&quot;/&gt;&lt;wsp:rsid wsp:val=&quot;00801F03&quot;/&gt;&lt;wsp:rsid wsp:val=&quot;00803434&quot;/&gt;&lt;wsp:rsid wsp:val=&quot;00803C56&quot;/&gt;&lt;wsp:rsid wsp:val=&quot;0080573A&quot;/&gt;&lt;wsp:rsid wsp:val=&quot;00805ACD&quot;/&gt;&lt;wsp:rsid wsp:val=&quot;0080665E&quot;/&gt;&lt;wsp:rsid wsp:val=&quot;00807533&quot;/&gt;&lt;wsp:rsid wsp:val=&quot;008100BB&quot;/&gt;&lt;wsp:rsid wsp:val=&quot;008102F4&quot;/&gt;&lt;wsp:rsid wsp:val=&quot;00810959&quot;/&gt;&lt;wsp:rsid wsp:val=&quot;00811C1A&quot;/&gt;&lt;wsp:rsid wsp:val=&quot;008127AD&quot;/&gt;&lt;wsp:rsid wsp:val=&quot;00816433&quot;/&gt;&lt;wsp:rsid wsp:val=&quot;008172F5&quot;/&gt;&lt;wsp:rsid wsp:val=&quot;0082042E&quot;/&gt;&lt;wsp:rsid wsp:val=&quot;00820549&quot;/&gt;&lt;wsp:rsid wsp:val=&quot;00820953&quot;/&gt;&lt;wsp:rsid wsp:val=&quot;008210B6&quot;/&gt;&lt;wsp:rsid wsp:val=&quot;00823B7D&quot;/&gt;&lt;wsp:rsid wsp:val=&quot;00823BB9&quot;/&gt;&lt;wsp:rsid wsp:val=&quot;008240E4&quot;/&gt;&lt;wsp:rsid wsp:val=&quot;008245D2&quot;/&gt;&lt;wsp:rsid wsp:val=&quot;008269E5&quot;/&gt;&lt;wsp:rsid wsp:val=&quot;008272BF&quot;/&gt;&lt;wsp:rsid wsp:val=&quot;00827A38&quot;/&gt;&lt;wsp:rsid wsp:val=&quot;00827DE3&quot;/&gt;&lt;wsp:rsid wsp:val=&quot;00830349&quot;/&gt;&lt;wsp:rsid wsp:val=&quot;00832046&quot;/&gt;&lt;wsp:rsid wsp:val=&quot;008322A7&quot;/&gt;&lt;wsp:rsid wsp:val=&quot;00832529&quot;/&gt;&lt;wsp:rsid wsp:val=&quot;0083307B&quot;/&gt;&lt;wsp:rsid wsp:val=&quot;0083326A&quot;/&gt;&lt;wsp:rsid wsp:val=&quot;0083398E&quot;/&gt;&lt;wsp:rsid wsp:val=&quot;00833EEA&quot;/&gt;&lt;wsp:rsid wsp:val=&quot;008342A3&quot;/&gt;&lt;wsp:rsid wsp:val=&quot;008349B8&quot;/&gt;&lt;wsp:rsid wsp:val=&quot;00834D38&quot;/&gt;&lt;wsp:rsid wsp:val=&quot;00834DAB&quot;/&gt;&lt;wsp:rsid wsp:val=&quot;00835474&quot;/&gt;&lt;wsp:rsid wsp:val=&quot;0083578C&quot;/&gt;&lt;wsp:rsid wsp:val=&quot;008363FF&quot;/&gt;&lt;wsp:rsid wsp:val=&quot;00836802&quot;/&gt;&lt;wsp:rsid wsp:val=&quot;00836BFD&quot;/&gt;&lt;wsp:rsid wsp:val=&quot;00836F33&quot;/&gt;&lt;wsp:rsid wsp:val=&quot;00837C97&quot;/&gt;&lt;wsp:rsid wsp:val=&quot;008403E5&quot;/&gt;&lt;wsp:rsid wsp:val=&quot;00840419&quot;/&gt;&lt;wsp:rsid wsp:val=&quot;008414F8&quot;/&gt;&lt;wsp:rsid wsp:val=&quot;00841EC2&quot;/&gt;&lt;wsp:rsid wsp:val=&quot;00841FEA&quot;/&gt;&lt;wsp:rsid wsp:val=&quot;008428B3&quot;/&gt;&lt;wsp:rsid wsp:val=&quot;00843857&quot;/&gt;&lt;wsp:rsid wsp:val=&quot;00844E6F&quot;/&gt;&lt;wsp:rsid wsp:val=&quot;00844F95&quot;/&gt;&lt;wsp:rsid wsp:val=&quot;00845E47&quot;/&gt;&lt;wsp:rsid wsp:val=&quot;008467BA&quot;/&gt;&lt;wsp:rsid wsp:val=&quot;00846B04&quot;/&gt;&lt;wsp:rsid wsp:val=&quot;008475BD&quot;/&gt;&lt;wsp:rsid wsp:val=&quot;008503C1&quot;/&gt;&lt;wsp:rsid wsp:val=&quot;00850A5C&quot;/&gt;&lt;wsp:rsid wsp:val=&quot;008525A1&quot;/&gt;&lt;wsp:rsid wsp:val=&quot;008527B2&quot;/&gt;&lt;wsp:rsid wsp:val=&quot;00854898&quot;/&gt;&lt;wsp:rsid wsp:val=&quot;008552F4&quot;/&gt;&lt;wsp:rsid wsp:val=&quot;0085635C&quot;/&gt;&lt;wsp:rsid wsp:val=&quot;00856ED3&quot;/&gt;&lt;wsp:rsid wsp:val=&quot;00857366&quot;/&gt;&lt;wsp:rsid wsp:val=&quot;0086045D&quot;/&gt;&lt;wsp:rsid wsp:val=&quot;008605FA&quot;/&gt;&lt;wsp:rsid wsp:val=&quot;00860A4B&quot;/&gt;&lt;wsp:rsid wsp:val=&quot;00861EAD&quot;/&gt;&lt;wsp:rsid wsp:val=&quot;008620BA&quot;/&gt;&lt;wsp:rsid wsp:val=&quot;00862BD0&quot;/&gt;&lt;wsp:rsid wsp:val=&quot;00862DCC&quot;/&gt;&lt;wsp:rsid wsp:val=&quot;00863F28&quot;/&gt;&lt;wsp:rsid wsp:val=&quot;00864230&quot;/&gt;&lt;wsp:rsid wsp:val=&quot;0086455C&quot;/&gt;&lt;wsp:rsid wsp:val=&quot;00864A75&quot;/&gt;&lt;wsp:rsid wsp:val=&quot;0086533A&quot;/&gt;&lt;wsp:rsid wsp:val=&quot;00865390&quot;/&gt;&lt;wsp:rsid wsp:val=&quot;008655E9&quot;/&gt;&lt;wsp:rsid wsp:val=&quot;00865F79&quot;/&gt;&lt;wsp:rsid wsp:val=&quot;00866917&quot;/&gt;&lt;wsp:rsid wsp:val=&quot;00867928&quot;/&gt;&lt;wsp:rsid wsp:val=&quot;0087020E&quot;/&gt;&lt;wsp:rsid wsp:val=&quot;00871D11&quot;/&gt;&lt;wsp:rsid wsp:val=&quot;00871FDA&quot;/&gt;&lt;wsp:rsid wsp:val=&quot;00872BA8&quot;/&gt;&lt;wsp:rsid wsp:val=&quot;00873CD0&quot;/&gt;&lt;wsp:rsid wsp:val=&quot;00874029&quot;/&gt;&lt;wsp:rsid wsp:val=&quot;00874312&quot;/&gt;&lt;wsp:rsid wsp:val=&quot;0087512A&quot;/&gt;&lt;wsp:rsid wsp:val=&quot;00875435&quot;/&gt;&lt;wsp:rsid wsp:val=&quot;00875565&quot;/&gt;&lt;wsp:rsid wsp:val=&quot;00875E75&quot;/&gt;&lt;wsp:rsid wsp:val=&quot;00875F58&quot;/&gt;&lt;wsp:rsid wsp:val=&quot;0087651F&quot;/&gt;&lt;wsp:rsid wsp:val=&quot;008765F8&quot;/&gt;&lt;wsp:rsid wsp:val=&quot;00877048&quot;/&gt;&lt;wsp:rsid wsp:val=&quot;00877725&quot;/&gt;&lt;wsp:rsid wsp:val=&quot;0087793F&quot;/&gt;&lt;wsp:rsid wsp:val=&quot;0088009C&quot;/&gt;&lt;wsp:rsid wsp:val=&quot;008807DB&quot;/&gt;&lt;wsp:rsid wsp:val=&quot;00883457&quot;/&gt;&lt;wsp:rsid wsp:val=&quot;008837BF&quot;/&gt;&lt;wsp:rsid wsp:val=&quot;00883B23&quot;/&gt;&lt;wsp:rsid wsp:val=&quot;00884B83&quot;/&gt;&lt;wsp:rsid wsp:val=&quot;0088587E&quot;/&gt;&lt;wsp:rsid wsp:val=&quot;00885989&quot;/&gt;&lt;wsp:rsid wsp:val=&quot;00885D44&quot;/&gt;&lt;wsp:rsid wsp:val=&quot;008860E8&quot;/&gt;&lt;wsp:rsid wsp:val=&quot;00886159&quot;/&gt;&lt;wsp:rsid wsp:val=&quot;00886267&quot;/&gt;&lt;wsp:rsid wsp:val=&quot;00886620&quot;/&gt;&lt;wsp:rsid wsp:val=&quot;00886E9B&quot;/&gt;&lt;wsp:rsid wsp:val=&quot;008874D7&quot;/&gt;&lt;wsp:rsid wsp:val=&quot;008916FF&quot;/&gt;&lt;wsp:rsid wsp:val=&quot;0089304E&quot;/&gt;&lt;wsp:rsid wsp:val=&quot;00894542&quot;/&gt;&lt;wsp:rsid wsp:val=&quot;00894B7D&quot;/&gt;&lt;wsp:rsid wsp:val=&quot;0089517E&quot;/&gt;&lt;wsp:rsid wsp:val=&quot;0089662D&quot;/&gt;&lt;wsp:rsid wsp:val=&quot;00897016&quot;/&gt;&lt;wsp:rsid wsp:val=&quot;008A0BAF&quot;/&gt;&lt;wsp:rsid wsp:val=&quot;008A0C4E&quot;/&gt;&lt;wsp:rsid wsp:val=&quot;008A0FC8&quot;/&gt;&lt;wsp:rsid wsp:val=&quot;008A11CD&quot;/&gt;&lt;wsp:rsid wsp:val=&quot;008A16F6&quot;/&gt;&lt;wsp:rsid wsp:val=&quot;008A1D8A&quot;/&gt;&lt;wsp:rsid wsp:val=&quot;008A27D5&quot;/&gt;&lt;wsp:rsid wsp:val=&quot;008A2DC1&quot;/&gt;&lt;wsp:rsid wsp:val=&quot;008A35F5&quot;/&gt;&lt;wsp:rsid wsp:val=&quot;008A37BF&quot;/&gt;&lt;wsp:rsid wsp:val=&quot;008A5140&quot;/&gt;&lt;wsp:rsid wsp:val=&quot;008A5E92&quot;/&gt;&lt;wsp:rsid wsp:val=&quot;008A6244&quot;/&gt;&lt;wsp:rsid wsp:val=&quot;008A6F0B&quot;/&gt;&lt;wsp:rsid wsp:val=&quot;008A73AA&quot;/&gt;&lt;wsp:rsid wsp:val=&quot;008A7BC0&quot;/&gt;&lt;wsp:rsid wsp:val=&quot;008B1155&quot;/&gt;&lt;wsp:rsid wsp:val=&quot;008B1296&quot;/&gt;&lt;wsp:rsid wsp:val=&quot;008B2B7E&quot;/&gt;&lt;wsp:rsid wsp:val=&quot;008B435D&quot;/&gt;&lt;wsp:rsid wsp:val=&quot;008B43DC&quot;/&gt;&lt;wsp:rsid wsp:val=&quot;008B47C3&quot;/&gt;&lt;wsp:rsid wsp:val=&quot;008B4E41&quot;/&gt;&lt;wsp:rsid wsp:val=&quot;008B52F0&quot;/&gt;&lt;wsp:rsid wsp:val=&quot;008B6149&quot;/&gt;&lt;wsp:rsid wsp:val=&quot;008B6452&quot;/&gt;&lt;wsp:rsid wsp:val=&quot;008B647C&quot;/&gt;&lt;wsp:rsid wsp:val=&quot;008B6FA4&quot;/&gt;&lt;wsp:rsid wsp:val=&quot;008B75AC&quot;/&gt;&lt;wsp:rsid wsp:val=&quot;008C059B&quot;/&gt;&lt;wsp:rsid wsp:val=&quot;008C1215&quot;/&gt;&lt;wsp:rsid wsp:val=&quot;008C1A9F&quot;/&gt;&lt;wsp:rsid wsp:val=&quot;008C1D01&quot;/&gt;&lt;wsp:rsid wsp:val=&quot;008C2727&quot;/&gt;&lt;wsp:rsid wsp:val=&quot;008C30C2&quot;/&gt;&lt;wsp:rsid wsp:val=&quot;008C341F&quot;/&gt;&lt;wsp:rsid wsp:val=&quot;008C36FD&quot;/&gt;&lt;wsp:rsid wsp:val=&quot;008C3831&quot;/&gt;&lt;wsp:rsid wsp:val=&quot;008C3AA3&quot;/&gt;&lt;wsp:rsid wsp:val=&quot;008C5053&quot;/&gt;&lt;wsp:rsid wsp:val=&quot;008C5A82&quot;/&gt;&lt;wsp:rsid wsp:val=&quot;008C6167&quot;/&gt;&lt;wsp:rsid wsp:val=&quot;008C6368&quot;/&gt;&lt;wsp:rsid wsp:val=&quot;008C66A0&quot;/&gt;&lt;wsp:rsid wsp:val=&quot;008C6BE6&quot;/&gt;&lt;wsp:rsid wsp:val=&quot;008C7694&quot;/&gt;&lt;wsp:rsid wsp:val=&quot;008C7F68&quot;/&gt;&lt;wsp:rsid wsp:val=&quot;008D00A0&quot;/&gt;&lt;wsp:rsid wsp:val=&quot;008D04F1&quot;/&gt;&lt;wsp:rsid wsp:val=&quot;008D05D5&quot;/&gt;&lt;wsp:rsid wsp:val=&quot;008D080D&quot;/&gt;&lt;wsp:rsid wsp:val=&quot;008D0957&quot;/&gt;&lt;wsp:rsid wsp:val=&quot;008D0C6B&quot;/&gt;&lt;wsp:rsid wsp:val=&quot;008D0CFE&quot;/&gt;&lt;wsp:rsid wsp:val=&quot;008D153F&quot;/&gt;&lt;wsp:rsid wsp:val=&quot;008D1D8F&quot;/&gt;&lt;wsp:rsid wsp:val=&quot;008D2323&quot;/&gt;&lt;wsp:rsid wsp:val=&quot;008D2B31&quot;/&gt;&lt;wsp:rsid wsp:val=&quot;008D3368&quot;/&gt;&lt;wsp:rsid wsp:val=&quot;008D3CBB&quot;/&gt;&lt;wsp:rsid wsp:val=&quot;008D4F21&quot;/&gt;&lt;wsp:rsid wsp:val=&quot;008D5C84&quot;/&gt;&lt;wsp:rsid wsp:val=&quot;008E01FB&quot;/&gt;&lt;wsp:rsid wsp:val=&quot;008E0799&quot;/&gt;&lt;wsp:rsid wsp:val=&quot;008E17AB&quot;/&gt;&lt;wsp:rsid wsp:val=&quot;008E25C1&quot;/&gt;&lt;wsp:rsid wsp:val=&quot;008E32DA&quot;/&gt;&lt;wsp:rsid wsp:val=&quot;008E3D03&quot;/&gt;&lt;wsp:rsid wsp:val=&quot;008E4428&quot;/&gt;&lt;wsp:rsid wsp:val=&quot;008E453E&quot;/&gt;&lt;wsp:rsid wsp:val=&quot;008E51A8&quot;/&gt;&lt;wsp:rsid wsp:val=&quot;008E5CFB&quot;/&gt;&lt;wsp:rsid wsp:val=&quot;008E5D96&quot;/&gt;&lt;wsp:rsid wsp:val=&quot;008E5DF6&quot;/&gt;&lt;wsp:rsid wsp:val=&quot;008E5E84&quot;/&gt;&lt;wsp:rsid wsp:val=&quot;008E5FD8&quot;/&gt;&lt;wsp:rsid wsp:val=&quot;008E6DF1&quot;/&gt;&lt;wsp:rsid wsp:val=&quot;008E732F&quot;/&gt;&lt;wsp:rsid wsp:val=&quot;008E7E67&quot;/&gt;&lt;wsp:rsid wsp:val=&quot;008F026C&quot;/&gt;&lt;wsp:rsid wsp:val=&quot;008F116C&quot;/&gt;&lt;wsp:rsid wsp:val=&quot;008F120E&quot;/&gt;&lt;wsp:rsid wsp:val=&quot;008F1AE9&quot;/&gt;&lt;wsp:rsid wsp:val=&quot;008F2E03&quot;/&gt;&lt;wsp:rsid wsp:val=&quot;008F39CA&quot;/&gt;&lt;wsp:rsid wsp:val=&quot;008F39E3&quot;/&gt;&lt;wsp:rsid wsp:val=&quot;008F4A88&quot;/&gt;&lt;wsp:rsid wsp:val=&quot;008F5520&quot;/&gt;&lt;wsp:rsid wsp:val=&quot;008F5625&quot;/&gt;&lt;wsp:rsid wsp:val=&quot;008F57CA&quot;/&gt;&lt;wsp:rsid wsp:val=&quot;008F5D21&quot;/&gt;&lt;wsp:rsid wsp:val=&quot;008F64CB&quot;/&gt;&lt;wsp:rsid wsp:val=&quot;008F71B1&quot;/&gt;&lt;wsp:rsid wsp:val=&quot;008F799A&quot;/&gt;&lt;wsp:rsid wsp:val=&quot;00900F91&quot;/&gt;&lt;wsp:rsid wsp:val=&quot;00901CE8&quot;/&gt;&lt;wsp:rsid wsp:val=&quot;00901E3B&quot;/&gt;&lt;wsp:rsid wsp:val=&quot;009022B5&quot;/&gt;&lt;wsp:rsid wsp:val=&quot;00902611&quot;/&gt;&lt;wsp:rsid wsp:val=&quot;00902A16&quot;/&gt;&lt;wsp:rsid wsp:val=&quot;00902ECF&quot;/&gt;&lt;wsp:rsid wsp:val=&quot;009035AA&quot;/&gt;&lt;wsp:rsid wsp:val=&quot;0090369A&quot;/&gt;&lt;wsp:rsid wsp:val=&quot;00904169&quot;/&gt;&lt;wsp:rsid wsp:val=&quot;009056ED&quot;/&gt;&lt;wsp:rsid wsp:val=&quot;0090650B&quot;/&gt;&lt;wsp:rsid wsp:val=&quot;00906554&quot;/&gt;&lt;wsp:rsid wsp:val=&quot;00906A17&quot;/&gt;&lt;wsp:rsid wsp:val=&quot;00906D0A&quot;/&gt;&lt;wsp:rsid wsp:val=&quot;0090768A&quot;/&gt;&lt;wsp:rsid wsp:val=&quot;0090784C&quot;/&gt;&lt;wsp:rsid wsp:val=&quot;00907B15&quot;/&gt;&lt;wsp:rsid wsp:val=&quot;00910823&quot;/&gt;&lt;wsp:rsid wsp:val=&quot;00911270&quot;/&gt;&lt;wsp:rsid wsp:val=&quot;009116B1&quot;/&gt;&lt;wsp:rsid wsp:val=&quot;0091178A&quot;/&gt;&lt;wsp:rsid wsp:val=&quot;00911B4A&quot;/&gt;&lt;wsp:rsid wsp:val=&quot;00911C6D&quot;/&gt;&lt;wsp:rsid wsp:val=&quot;00912862&quot;/&gt;&lt;wsp:rsid wsp:val=&quot;00912B61&quot;/&gt;&lt;wsp:rsid wsp:val=&quot;009131B1&quot;/&gt;&lt;wsp:rsid wsp:val=&quot;00913558&quot;/&gt;&lt;wsp:rsid wsp:val=&quot;00913592&quot;/&gt;&lt;wsp:rsid wsp:val=&quot;00913A5A&quot;/&gt;&lt;wsp:rsid wsp:val=&quot;00913D7E&quot;/&gt;&lt;wsp:rsid wsp:val=&quot;00915FD6&quot;/&gt;&lt;wsp:rsid wsp:val=&quot;009169A8&quot;/&gt;&lt;wsp:rsid wsp:val=&quot;00917302&quot;/&gt;&lt;wsp:rsid wsp:val=&quot;00917A52&quot;/&gt;&lt;wsp:rsid wsp:val=&quot;00920B56&quot;/&gt;&lt;wsp:rsid wsp:val=&quot;00920B94&quot;/&gt;&lt;wsp:rsid wsp:val=&quot;009211D2&quot;/&gt;&lt;wsp:rsid wsp:val=&quot;00921303&quot;/&gt;&lt;wsp:rsid wsp:val=&quot;00921A99&quot;/&gt;&lt;wsp:rsid wsp:val=&quot;009225E2&quot;/&gt;&lt;wsp:rsid wsp:val=&quot;00922AB8&quot;/&gt;&lt;wsp:rsid wsp:val=&quot;009230AF&quot;/&gt;&lt;wsp:rsid wsp:val=&quot;009240AA&quot;/&gt;&lt;wsp:rsid wsp:val=&quot;0092443D&quot;/&gt;&lt;wsp:rsid wsp:val=&quot;009255E2&quot;/&gt;&lt;wsp:rsid wsp:val=&quot;00925E87&quot;/&gt;&lt;wsp:rsid wsp:val=&quot;00925FA0&quot;/&gt;&lt;wsp:rsid wsp:val=&quot;0092613A&quot;/&gt;&lt;wsp:rsid wsp:val=&quot;00926512&quot;/&gt;&lt;wsp:rsid wsp:val=&quot;0092652F&quot;/&gt;&lt;wsp:rsid wsp:val=&quot;00926839&quot;/&gt;&lt;wsp:rsid wsp:val=&quot;00927AAD&quot;/&gt;&lt;wsp:rsid wsp:val=&quot;00930FE0&quot;/&gt;&lt;wsp:rsid wsp:val=&quot;00931D5B&quot;/&gt;&lt;wsp:rsid wsp:val=&quot;00932411&quot;/&gt;&lt;wsp:rsid wsp:val=&quot;009324C6&quot;/&gt;&lt;wsp:rsid wsp:val=&quot;00932E0C&quot;/&gt;&lt;wsp:rsid wsp:val=&quot;00933379&quot;/&gt;&lt;wsp:rsid wsp:val=&quot;00933C0C&quot;/&gt;&lt;wsp:rsid wsp:val=&quot;00934A2D&quot;/&gt;&lt;wsp:rsid wsp:val=&quot;00934CA6&quot;/&gt;&lt;wsp:rsid wsp:val=&quot;00934D6B&quot;/&gt;&lt;wsp:rsid wsp:val=&quot;00936131&quot;/&gt;&lt;wsp:rsid wsp:val=&quot;00936289&quot;/&gt;&lt;wsp:rsid wsp:val=&quot;00936724&quot;/&gt;&lt;wsp:rsid wsp:val=&quot;00936963&quot;/&gt;&lt;wsp:rsid wsp:val=&quot;00936C18&quot;/&gt;&lt;wsp:rsid wsp:val=&quot;00936EE7&quot;/&gt;&lt;wsp:rsid wsp:val=&quot;00936F4C&quot;/&gt;&lt;wsp:rsid wsp:val=&quot;009370EF&quot;/&gt;&lt;wsp:rsid wsp:val=&quot;009403AD&quot;/&gt;&lt;wsp:rsid wsp:val=&quot;00941E81&quot;/&gt;&lt;wsp:rsid wsp:val=&quot;00942118&quot;/&gt;&lt;wsp:rsid wsp:val=&quot;00942543&quot;/&gt;&lt;wsp:rsid wsp:val=&quot;00943FA0&quot;/&gt;&lt;wsp:rsid wsp:val=&quot;00944D9D&quot;/&gt;&lt;wsp:rsid wsp:val=&quot;00945718&quot;/&gt;&lt;wsp:rsid wsp:val=&quot;00945AFF&quot;/&gt;&lt;wsp:rsid wsp:val=&quot;00946391&quot;/&gt;&lt;wsp:rsid wsp:val=&quot;00946AA6&quot;/&gt;&lt;wsp:rsid wsp:val=&quot;00947BDC&quot;/&gt;&lt;wsp:rsid wsp:val=&quot;00951109&quot;/&gt;&lt;wsp:rsid wsp:val=&quot;00951549&quot;/&gt;&lt;wsp:rsid wsp:val=&quot;009517E8&quot;/&gt;&lt;wsp:rsid wsp:val=&quot;00951C30&quot;/&gt;&lt;wsp:rsid wsp:val=&quot;00952B88&quot;/&gt;&lt;wsp:rsid wsp:val=&quot;0095376D&quot;/&gt;&lt;wsp:rsid wsp:val=&quot;009539CF&quot;/&gt;&lt;wsp:rsid wsp:val=&quot;00953D10&quot;/&gt;&lt;wsp:rsid wsp:val=&quot;00954537&quot;/&gt;&lt;wsp:rsid wsp:val=&quot;00954798&quot;/&gt;&lt;wsp:rsid wsp:val=&quot;00954D45&quot;/&gt;&lt;wsp:rsid wsp:val=&quot;00954FC4&quot;/&gt;&lt;wsp:rsid wsp:val=&quot;009552B2&quot;/&gt;&lt;wsp:rsid wsp:val=&quot;00955B72&quot;/&gt;&lt;wsp:rsid wsp:val=&quot;00955FA8&quot;/&gt;&lt;wsp:rsid wsp:val=&quot;00956591&quot;/&gt;&lt;wsp:rsid wsp:val=&quot;009565B6&quot;/&gt;&lt;wsp:rsid wsp:val=&quot;00957336&quot;/&gt;&lt;wsp:rsid wsp:val=&quot;00957D4F&quot;/&gt;&lt;wsp:rsid wsp:val=&quot;009601FC&quot;/&gt;&lt;wsp:rsid wsp:val=&quot;00960A22&quot;/&gt;&lt;wsp:rsid wsp:val=&quot;00961C29&quot;/&gt;&lt;wsp:rsid wsp:val=&quot;00965F86&quot;/&gt;&lt;wsp:rsid wsp:val=&quot;00966333&quot;/&gt;&lt;wsp:rsid wsp:val=&quot;00966593&quot;/&gt;&lt;wsp:rsid wsp:val=&quot;00966C17&quot;/&gt;&lt;wsp:rsid wsp:val=&quot;009672CC&quot;/&gt;&lt;wsp:rsid wsp:val=&quot;00967FA3&quot;/&gt;&lt;wsp:rsid wsp:val=&quot;00970E33&quot;/&gt;&lt;wsp:rsid wsp:val=&quot;009711A8&quot;/&gt;&lt;wsp:rsid wsp:val=&quot;00971284&quot;/&gt;&lt;wsp:rsid wsp:val=&quot;0097185D&quot;/&gt;&lt;wsp:rsid wsp:val=&quot;00971B9A&quot;/&gt;&lt;wsp:rsid wsp:val=&quot;0097247A&quot;/&gt;&lt;wsp:rsid wsp:val=&quot;0097362C&quot;/&gt;&lt;wsp:rsid wsp:val=&quot;00973D18&quot;/&gt;&lt;wsp:rsid wsp:val=&quot;00973E9E&quot;/&gt;&lt;wsp:rsid wsp:val=&quot;00973EED&quot;/&gt;&lt;wsp:rsid wsp:val=&quot;0097474A&quot;/&gt;&lt;wsp:rsid wsp:val=&quot;009754D9&quot;/&gt;&lt;wsp:rsid wsp:val=&quot;00975AA4&quot;/&gt;&lt;wsp:rsid wsp:val=&quot;009778CB&quot;/&gt;&lt;wsp:rsid wsp:val=&quot;009802E9&quot;/&gt;&lt;wsp:rsid wsp:val=&quot;00980657&quot;/&gt;&lt;wsp:rsid wsp:val=&quot;00980A60&quot;/&gt;&lt;wsp:rsid wsp:val=&quot;00982642&quot;/&gt;&lt;wsp:rsid wsp:val=&quot;00982792&quot;/&gt;&lt;wsp:rsid wsp:val=&quot;00982AC1&quot;/&gt;&lt;wsp:rsid wsp:val=&quot;00982BBD&quot;/&gt;&lt;wsp:rsid wsp:val=&quot;009831E7&quot;/&gt;&lt;wsp:rsid wsp:val=&quot;009842F8&quot;/&gt;&lt;wsp:rsid wsp:val=&quot;00984B23&quot;/&gt;&lt;wsp:rsid wsp:val=&quot;0098527A&quot;/&gt;&lt;wsp:rsid wsp:val=&quot;00985561&quot;/&gt;&lt;wsp:rsid wsp:val=&quot;009859DE&quot;/&gt;&lt;wsp:rsid wsp:val=&quot;00985B63&quot;/&gt;&lt;wsp:rsid wsp:val=&quot;0098653E&quot;/&gt;&lt;wsp:rsid wsp:val=&quot;00986C52&quot;/&gt;&lt;wsp:rsid wsp:val=&quot;00987401&quot;/&gt;&lt;wsp:rsid wsp:val=&quot;0098787D&quot;/&gt;&lt;wsp:rsid wsp:val=&quot;009903F4&quot;/&gt;&lt;wsp:rsid wsp:val=&quot;00990A66&quot;/&gt;&lt;wsp:rsid wsp:val=&quot;00990D05&quot;/&gt;&lt;wsp:rsid wsp:val=&quot;00991021&quot;/&gt;&lt;wsp:rsid wsp:val=&quot;009919A4&quot;/&gt;&lt;wsp:rsid wsp:val=&quot;00991A96&quot;/&gt;&lt;wsp:rsid wsp:val=&quot;009933A6&quot;/&gt;&lt;wsp:rsid wsp:val=&quot;009941E8&quot;/&gt;&lt;wsp:rsid wsp:val=&quot;00995481&quot;/&gt;&lt;wsp:rsid wsp:val=&quot;0099597D&quot;/&gt;&lt;wsp:rsid wsp:val=&quot;00995ABD&quot;/&gt;&lt;wsp:rsid wsp:val=&quot;00996B2D&quot;/&gt;&lt;wsp:rsid wsp:val=&quot;009976F6&quot;/&gt;&lt;wsp:rsid wsp:val=&quot;009A03A8&quot;/&gt;&lt;wsp:rsid wsp:val=&quot;009A0BEA&quot;/&gt;&lt;wsp:rsid wsp:val=&quot;009A1C7F&quot;/&gt;&lt;wsp:rsid wsp:val=&quot;009A2EAD&quot;/&gt;&lt;wsp:rsid wsp:val=&quot;009A37DF&quot;/&gt;&lt;wsp:rsid wsp:val=&quot;009A3816&quot;/&gt;&lt;wsp:rsid wsp:val=&quot;009A4C5D&quot;/&gt;&lt;wsp:rsid wsp:val=&quot;009A4DF0&quot;/&gt;&lt;wsp:rsid wsp:val=&quot;009A5458&quot;/&gt;&lt;wsp:rsid wsp:val=&quot;009A682D&quot;/&gt;&lt;wsp:rsid wsp:val=&quot;009A792F&quot;/&gt;&lt;wsp:rsid wsp:val=&quot;009A798E&quot;/&gt;&lt;wsp:rsid wsp:val=&quot;009A7ECB&quot;/&gt;&lt;wsp:rsid wsp:val=&quot;009B0439&quot;/&gt;&lt;wsp:rsid wsp:val=&quot;009B0522&quot;/&gt;&lt;wsp:rsid wsp:val=&quot;009B0689&quot;/&gt;&lt;wsp:rsid wsp:val=&quot;009B0820&quot;/&gt;&lt;wsp:rsid wsp:val=&quot;009B0ED0&quot;/&gt;&lt;wsp:rsid wsp:val=&quot;009B226D&quot;/&gt;&lt;wsp:rsid wsp:val=&quot;009B2365&quot;/&gt;&lt;wsp:rsid wsp:val=&quot;009B3441&quot;/&gt;&lt;wsp:rsid wsp:val=&quot;009B3538&quot;/&gt;&lt;wsp:rsid wsp:val=&quot;009B3DA0&quot;/&gt;&lt;wsp:rsid wsp:val=&quot;009B5893&quot;/&gt;&lt;wsp:rsid wsp:val=&quot;009B64B4&quot;/&gt;&lt;wsp:rsid wsp:val=&quot;009B6B23&quot;/&gt;&lt;wsp:rsid wsp:val=&quot;009B7966&quot;/&gt;&lt;wsp:rsid wsp:val=&quot;009C06C7&quot;/&gt;&lt;wsp:rsid wsp:val=&quot;009C1130&quot;/&gt;&lt;wsp:rsid wsp:val=&quot;009C23CA&quot;/&gt;&lt;wsp:rsid wsp:val=&quot;009C2ABC&quot;/&gt;&lt;wsp:rsid wsp:val=&quot;009C34C3&quot;/&gt;&lt;wsp:rsid wsp:val=&quot;009C3AB4&quot;/&gt;&lt;wsp:rsid wsp:val=&quot;009C3B7F&quot;/&gt;&lt;wsp:rsid wsp:val=&quot;009C3BB1&quot;/&gt;&lt;wsp:rsid wsp:val=&quot;009C3C56&quot;/&gt;&lt;wsp:rsid wsp:val=&quot;009C45FE&quot;/&gt;&lt;wsp:rsid wsp:val=&quot;009C692C&quot;/&gt;&lt;wsp:rsid wsp:val=&quot;009C7E0D&quot;/&gt;&lt;wsp:rsid wsp:val=&quot;009D0620&quot;/&gt;&lt;wsp:rsid wsp:val=&quot;009D123A&quot;/&gt;&lt;wsp:rsid wsp:val=&quot;009D138A&quot;/&gt;&lt;wsp:rsid wsp:val=&quot;009D1C3C&quot;/&gt;&lt;wsp:rsid wsp:val=&quot;009D1D65&quot;/&gt;&lt;wsp:rsid wsp:val=&quot;009D1D89&quot;/&gt;&lt;wsp:rsid wsp:val=&quot;009D2436&quot;/&gt;&lt;wsp:rsid wsp:val=&quot;009D36DE&quot;/&gt;&lt;wsp:rsid wsp:val=&quot;009D3712&quot;/&gt;&lt;wsp:rsid wsp:val=&quot;009D3E74&quot;/&gt;&lt;wsp:rsid wsp:val=&quot;009D4B30&quot;/&gt;&lt;wsp:rsid wsp:val=&quot;009D4F67&quot;/&gt;&lt;wsp:rsid wsp:val=&quot;009D582C&quot;/&gt;&lt;wsp:rsid wsp:val=&quot;009D6A13&quot;/&gt;&lt;wsp:rsid wsp:val=&quot;009D6DE8&quot;/&gt;&lt;wsp:rsid wsp:val=&quot;009D7A49&quot;/&gt;&lt;wsp:rsid wsp:val=&quot;009D7EC5&quot;/&gt;&lt;wsp:rsid wsp:val=&quot;009D7EF2&quot;/&gt;&lt;wsp:rsid wsp:val=&quot;009E1A66&quot;/&gt;&lt;wsp:rsid wsp:val=&quot;009E1BEC&quot;/&gt;&lt;wsp:rsid wsp:val=&quot;009E1E94&quot;/&gt;&lt;wsp:rsid wsp:val=&quot;009E28C7&quot;/&gt;&lt;wsp:rsid wsp:val=&quot;009E28DF&quot;/&gt;&lt;wsp:rsid wsp:val=&quot;009E2BC4&quot;/&gt;&lt;wsp:rsid wsp:val=&quot;009E3526&quot;/&gt;&lt;wsp:rsid wsp:val=&quot;009E39F1&quot;/&gt;&lt;wsp:rsid wsp:val=&quot;009E40A0&quot;/&gt;&lt;wsp:rsid wsp:val=&quot;009E4D7B&quot;/&gt;&lt;wsp:rsid wsp:val=&quot;009E4D9A&quot;/&gt;&lt;wsp:rsid wsp:val=&quot;009E5066&quot;/&gt;&lt;wsp:rsid wsp:val=&quot;009E5135&quot;/&gt;&lt;wsp:rsid wsp:val=&quot;009E5B7F&quot;/&gt;&lt;wsp:rsid wsp:val=&quot;009E5F32&quot;/&gt;&lt;wsp:rsid wsp:val=&quot;009E62E4&quot;/&gt;&lt;wsp:rsid wsp:val=&quot;009E63DA&quot;/&gt;&lt;wsp:rsid wsp:val=&quot;009E6696&quot;/&gt;&lt;wsp:rsid wsp:val=&quot;009E68E0&quot;/&gt;&lt;wsp:rsid wsp:val=&quot;009E7185&quot;/&gt;&lt;wsp:rsid wsp:val=&quot;009E7324&quot;/&gt;&lt;wsp:rsid wsp:val=&quot;009E7997&quot;/&gt;&lt;wsp:rsid wsp:val=&quot;009F0498&quot;/&gt;&lt;wsp:rsid wsp:val=&quot;009F0E8E&quot;/&gt;&lt;wsp:rsid wsp:val=&quot;009F1052&quot;/&gt;&lt;wsp:rsid wsp:val=&quot;009F1F3B&quot;/&gt;&lt;wsp:rsid wsp:val=&quot;009F262B&quot;/&gt;&lt;wsp:rsid wsp:val=&quot;009F289E&quot;/&gt;&lt;wsp:rsid wsp:val=&quot;009F2A92&quot;/&gt;&lt;wsp:rsid wsp:val=&quot;009F2AC2&quot;/&gt;&lt;wsp:rsid wsp:val=&quot;009F2BBB&quot;/&gt;&lt;wsp:rsid wsp:val=&quot;009F4493&quot;/&gt;&lt;wsp:rsid wsp:val=&quot;009F469C&quot;/&gt;&lt;wsp:rsid wsp:val=&quot;009F4BF6&quot;/&gt;&lt;wsp:rsid wsp:val=&quot;009F4E3D&quot;/&gt;&lt;wsp:rsid wsp:val=&quot;009F5F16&quot;/&gt;&lt;wsp:rsid wsp:val=&quot;009F6107&quot;/&gt;&lt;wsp:rsid wsp:val=&quot;00A0011B&quot;/&gt;&lt;wsp:rsid wsp:val=&quot;00A00B87&quot;/&gt;&lt;wsp:rsid wsp:val=&quot;00A013C3&quot;/&gt;&lt;wsp:rsid wsp:val=&quot;00A01446&quot;/&gt;&lt;wsp:rsid wsp:val=&quot;00A02005&quot;/&gt;&lt;wsp:rsid wsp:val=&quot;00A03819&quot;/&gt;&lt;wsp:rsid wsp:val=&quot;00A05408&quot;/&gt;&lt;wsp:rsid wsp:val=&quot;00A055F0&quot;/&gt;&lt;wsp:rsid wsp:val=&quot;00A05672&quot;/&gt;&lt;wsp:rsid wsp:val=&quot;00A06557&quot;/&gt;&lt;wsp:rsid wsp:val=&quot;00A0687A&quot;/&gt;&lt;wsp:rsid wsp:val=&quot;00A06A24&quot;/&gt;&lt;wsp:rsid wsp:val=&quot;00A070EF&quot;/&gt;&lt;wsp:rsid wsp:val=&quot;00A077CD&quot;/&gt;&lt;wsp:rsid wsp:val=&quot;00A07BFA&quot;/&gt;&lt;wsp:rsid wsp:val=&quot;00A07C1B&quot;/&gt;&lt;wsp:rsid wsp:val=&quot;00A10452&quot;/&gt;&lt;wsp:rsid wsp:val=&quot;00A10863&quot;/&gt;&lt;wsp:rsid wsp:val=&quot;00A10EB6&quot;/&gt;&lt;wsp:rsid wsp:val=&quot;00A11752&quot;/&gt;&lt;wsp:rsid wsp:val=&quot;00A11A41&quot;/&gt;&lt;wsp:rsid wsp:val=&quot;00A122BA&quot;/&gt;&lt;wsp:rsid wsp:val=&quot;00A13926&quot;/&gt;&lt;wsp:rsid wsp:val=&quot;00A15340&quot;/&gt;&lt;wsp:rsid wsp:val=&quot;00A15CBE&quot;/&gt;&lt;wsp:rsid wsp:val=&quot;00A16348&quot;/&gt;&lt;wsp:rsid wsp:val=&quot;00A17E9D&quot;/&gt;&lt;wsp:rsid wsp:val=&quot;00A207EA&quot;/&gt;&lt;wsp:rsid wsp:val=&quot;00A22437&quot;/&gt;&lt;wsp:rsid wsp:val=&quot;00A22485&quot;/&gt;&lt;wsp:rsid wsp:val=&quot;00A22604&quot;/&gt;&lt;wsp:rsid wsp:val=&quot;00A22B0E&quot;/&gt;&lt;wsp:rsid wsp:val=&quot;00A231F8&quot;/&gt;&lt;wsp:rsid wsp:val=&quot;00A23A57&quot;/&gt;&lt;wsp:rsid wsp:val=&quot;00A23DDD&quot;/&gt;&lt;wsp:rsid wsp:val=&quot;00A23FE1&quot;/&gt;&lt;wsp:rsid wsp:val=&quot;00A2401E&quot;/&gt;&lt;wsp:rsid wsp:val=&quot;00A2501F&quot;/&gt;&lt;wsp:rsid wsp:val=&quot;00A25215&quot;/&gt;&lt;wsp:rsid wsp:val=&quot;00A254B6&quot;/&gt;&lt;wsp:rsid wsp:val=&quot;00A2577F&quot;/&gt;&lt;wsp:rsid wsp:val=&quot;00A26169&quot;/&gt;&lt;wsp:rsid wsp:val=&quot;00A261E9&quot;/&gt;&lt;wsp:rsid wsp:val=&quot;00A267E8&quot;/&gt;&lt;wsp:rsid wsp:val=&quot;00A306E4&quot;/&gt;&lt;wsp:rsid wsp:val=&quot;00A31156&quot;/&gt;&lt;wsp:rsid wsp:val=&quot;00A31F4B&quot;/&gt;&lt;wsp:rsid wsp:val=&quot;00A32D79&quot;/&gt;&lt;wsp:rsid wsp:val=&quot;00A33757&quot;/&gt;&lt;wsp:rsid wsp:val=&quot;00A33D3D&quot;/&gt;&lt;wsp:rsid wsp:val=&quot;00A33EE4&quot;/&gt;&lt;wsp:rsid wsp:val=&quot;00A34AAA&quot;/&gt;&lt;wsp:rsid wsp:val=&quot;00A34BF4&quot;/&gt;&lt;wsp:rsid wsp:val=&quot;00A35215&quot;/&gt;&lt;wsp:rsid wsp:val=&quot;00A35F82&quot;/&gt;&lt;wsp:rsid wsp:val=&quot;00A36834&quot;/&gt;&lt;wsp:rsid wsp:val=&quot;00A36F22&quot;/&gt;&lt;wsp:rsid wsp:val=&quot;00A3789B&quot;/&gt;&lt;wsp:rsid wsp:val=&quot;00A37E98&quot;/&gt;&lt;wsp:rsid wsp:val=&quot;00A4024E&quot;/&gt;&lt;wsp:rsid wsp:val=&quot;00A40925&quot;/&gt;&lt;wsp:rsid wsp:val=&quot;00A424BC&quot;/&gt;&lt;wsp:rsid wsp:val=&quot;00A428AB&quot;/&gt;&lt;wsp:rsid wsp:val=&quot;00A430D9&quot;/&gt;&lt;wsp:rsid wsp:val=&quot;00A43FBC&quot;/&gt;&lt;wsp:rsid wsp:val=&quot;00A44E7C&quot;/&gt;&lt;wsp:rsid wsp:val=&quot;00A45140&quot;/&gt;&lt;wsp:rsid wsp:val=&quot;00A45827&quot;/&gt;&lt;wsp:rsid wsp:val=&quot;00A46242&quot;/&gt;&lt;wsp:rsid wsp:val=&quot;00A465E0&quot;/&gt;&lt;wsp:rsid wsp:val=&quot;00A473DC&quot;/&gt;&lt;wsp:rsid wsp:val=&quot;00A51255&quot;/&gt;&lt;wsp:rsid wsp:val=&quot;00A51498&quot;/&gt;&lt;wsp:rsid wsp:val=&quot;00A51727&quot;/&gt;&lt;wsp:rsid wsp:val=&quot;00A525AF&quot;/&gt;&lt;wsp:rsid wsp:val=&quot;00A52803&quot;/&gt;&lt;wsp:rsid wsp:val=&quot;00A532AD&quot;/&gt;&lt;wsp:rsid wsp:val=&quot;00A5388C&quot;/&gt;&lt;wsp:rsid wsp:val=&quot;00A53E2F&quot;/&gt;&lt;wsp:rsid wsp:val=&quot;00A54292&quot;/&gt;&lt;wsp:rsid wsp:val=&quot;00A54EED&quot;/&gt;&lt;wsp:rsid wsp:val=&quot;00A54FF0&quot;/&gt;&lt;wsp:rsid wsp:val=&quot;00A5534E&quot;/&gt;&lt;wsp:rsid wsp:val=&quot;00A553D4&quot;/&gt;&lt;wsp:rsid wsp:val=&quot;00A5584C&quot;/&gt;&lt;wsp:rsid wsp:val=&quot;00A55BBE&quot;/&gt;&lt;wsp:rsid wsp:val=&quot;00A55E50&quot;/&gt;&lt;wsp:rsid wsp:val=&quot;00A572C7&quot;/&gt;&lt;wsp:rsid wsp:val=&quot;00A573EB&quot;/&gt;&lt;wsp:rsid wsp:val=&quot;00A57F7E&quot;/&gt;&lt;wsp:rsid wsp:val=&quot;00A607B6&quot;/&gt;&lt;wsp:rsid wsp:val=&quot;00A60FEE&quot;/&gt;&lt;wsp:rsid wsp:val=&quot;00A6108A&quot;/&gt;&lt;wsp:rsid wsp:val=&quot;00A61593&quot;/&gt;&lt;wsp:rsid wsp:val=&quot;00A61A35&quot;/&gt;&lt;wsp:rsid wsp:val=&quot;00A62CDB&quot;/&gt;&lt;wsp:rsid wsp:val=&quot;00A636C0&quot;/&gt;&lt;wsp:rsid wsp:val=&quot;00A63A4C&quot;/&gt;&lt;wsp:rsid wsp:val=&quot;00A64224&quot;/&gt;&lt;wsp:rsid wsp:val=&quot;00A64722&quot;/&gt;&lt;wsp:rsid wsp:val=&quot;00A64C9A&quot;/&gt;&lt;wsp:rsid wsp:val=&quot;00A65F7C&quot;/&gt;&lt;wsp:rsid wsp:val=&quot;00A66EB9&quot;/&gt;&lt;wsp:rsid wsp:val=&quot;00A703F1&quot;/&gt;&lt;wsp:rsid wsp:val=&quot;00A7091D&quot;/&gt;&lt;wsp:rsid wsp:val=&quot;00A70A88&quot;/&gt;&lt;wsp:rsid wsp:val=&quot;00A71156&quot;/&gt;&lt;wsp:rsid wsp:val=&quot;00A716D9&quot;/&gt;&lt;wsp:rsid wsp:val=&quot;00A71DCE&quot;/&gt;&lt;wsp:rsid wsp:val=&quot;00A72748&quot;/&gt;&lt;wsp:rsid wsp:val=&quot;00A7437C&quot;/&gt;&lt;wsp:rsid wsp:val=&quot;00A747EE&quot;/&gt;&lt;wsp:rsid wsp:val=&quot;00A74859&quot;/&gt;&lt;wsp:rsid wsp:val=&quot;00A766FA&quot;/&gt;&lt;wsp:rsid wsp:val=&quot;00A76D0F&quot;/&gt;&lt;wsp:rsid wsp:val=&quot;00A76D3B&quot;/&gt;&lt;wsp:rsid wsp:val=&quot;00A77209&quot;/&gt;&lt;wsp:rsid wsp:val=&quot;00A81784&quot;/&gt;&lt;wsp:rsid wsp:val=&quot;00A81E4D&quot;/&gt;&lt;wsp:rsid wsp:val=&quot;00A83116&quot;/&gt;&lt;wsp:rsid wsp:val=&quot;00A8320D&quot;/&gt;&lt;wsp:rsid wsp:val=&quot;00A8463E&quot;/&gt;&lt;wsp:rsid wsp:val=&quot;00A84863&quot;/&gt;&lt;wsp:rsid wsp:val=&quot;00A85E57&quot;/&gt;&lt;wsp:rsid wsp:val=&quot;00A86873&quot;/&gt;&lt;wsp:rsid wsp:val=&quot;00A86BBE&quot;/&gt;&lt;wsp:rsid wsp:val=&quot;00A905C0&quot;/&gt;&lt;wsp:rsid wsp:val=&quot;00A92450&quot;/&gt;&lt;wsp:rsid wsp:val=&quot;00A92A19&quot;/&gt;&lt;wsp:rsid wsp:val=&quot;00A92C9D&quot;/&gt;&lt;wsp:rsid wsp:val=&quot;00A93150&quot;/&gt;&lt;wsp:rsid wsp:val=&quot;00A936B2&quot;/&gt;&lt;wsp:rsid wsp:val=&quot;00A94144&quot;/&gt;&lt;wsp:rsid wsp:val=&quot;00A94CF4&quot;/&gt;&lt;wsp:rsid wsp:val=&quot;00A950A4&quot;/&gt;&lt;wsp:rsid wsp:val=&quot;00A96E45&quot;/&gt;&lt;wsp:rsid wsp:val=&quot;00A96FF5&quot;/&gt;&lt;wsp:rsid wsp:val=&quot;00A97601&quot;/&gt;&lt;wsp:rsid wsp:val=&quot;00A97C89&quot;/&gt;&lt;wsp:rsid wsp:val=&quot;00A97DA6&quot;/&gt;&lt;wsp:rsid wsp:val=&quot;00AA13DE&quot;/&gt;&lt;wsp:rsid wsp:val=&quot;00AA19A0&quot;/&gt;&lt;wsp:rsid wsp:val=&quot;00AA32AC&quot;/&gt;&lt;wsp:rsid wsp:val=&quot;00AA41B4&quot;/&gt;&lt;wsp:rsid wsp:val=&quot;00AA4A33&quot;/&gt;&lt;wsp:rsid wsp:val=&quot;00AA4E7D&quot;/&gt;&lt;wsp:rsid wsp:val=&quot;00AA6142&quot;/&gt;&lt;wsp:rsid wsp:val=&quot;00AA7A52&quot;/&gt;&lt;wsp:rsid wsp:val=&quot;00AB04D2&quot;/&gt;&lt;wsp:rsid wsp:val=&quot;00AB051A&quot;/&gt;&lt;wsp:rsid wsp:val=&quot;00AB059E&quot;/&gt;&lt;wsp:rsid wsp:val=&quot;00AB0C72&quot;/&gt;&lt;wsp:rsid wsp:val=&quot;00AB0E38&quot;/&gt;&lt;wsp:rsid wsp:val=&quot;00AB21CF&quot;/&gt;&lt;wsp:rsid wsp:val=&quot;00AB3325&quot;/&gt;&lt;wsp:rsid wsp:val=&quot;00AB4D45&quot;/&gt;&lt;wsp:rsid wsp:val=&quot;00AB7428&quot;/&gt;&lt;wsp:rsid wsp:val=&quot;00AB7B6B&quot;/&gt;&lt;wsp:rsid wsp:val=&quot;00AC2D5C&quot;/&gt;&lt;wsp:rsid wsp:val=&quot;00AC2DB1&quot;/&gt;&lt;wsp:rsid wsp:val=&quot;00AC3774&quot;/&gt;&lt;wsp:rsid wsp:val=&quot;00AC403B&quot;/&gt;&lt;wsp:rsid wsp:val=&quot;00AC424A&quot;/&gt;&lt;wsp:rsid wsp:val=&quot;00AC56B3&quot;/&gt;&lt;wsp:rsid wsp:val=&quot;00AC5796&quot;/&gt;&lt;wsp:rsid wsp:val=&quot;00AC5D77&quot;/&gt;&lt;wsp:rsid wsp:val=&quot;00AC6537&quot;/&gt;&lt;wsp:rsid wsp:val=&quot;00AC6C8D&quot;/&gt;&lt;wsp:rsid wsp:val=&quot;00AC6D7B&quot;/&gt;&lt;wsp:rsid wsp:val=&quot;00AC7AC8&quot;/&gt;&lt;wsp:rsid wsp:val=&quot;00AD0612&quot;/&gt;&lt;wsp:rsid wsp:val=&quot;00AD0AE8&quot;/&gt;&lt;wsp:rsid wsp:val=&quot;00AD1465&quot;/&gt;&lt;wsp:rsid wsp:val=&quot;00AD1B57&quot;/&gt;&lt;wsp:rsid wsp:val=&quot;00AD1D46&quot;/&gt;&lt;wsp:rsid wsp:val=&quot;00AD21A4&quot;/&gt;&lt;wsp:rsid wsp:val=&quot;00AD2D30&quot;/&gt;&lt;wsp:rsid wsp:val=&quot;00AD37F4&quot;/&gt;&lt;wsp:rsid wsp:val=&quot;00AD38A3&quot;/&gt;&lt;wsp:rsid wsp:val=&quot;00AD4E53&quot;/&gt;&lt;wsp:rsid wsp:val=&quot;00AD53AA&quot;/&gt;&lt;wsp:rsid wsp:val=&quot;00AD5856&quot;/&gt;&lt;wsp:rsid wsp:val=&quot;00AD6B33&quot;/&gt;&lt;wsp:rsid wsp:val=&quot;00AD6DA6&quot;/&gt;&lt;wsp:rsid wsp:val=&quot;00AD7FB4&quot;/&gt;&lt;wsp:rsid wsp:val=&quot;00AE0296&quot;/&gt;&lt;wsp:rsid wsp:val=&quot;00AE09E2&quot;/&gt;&lt;wsp:rsid wsp:val=&quot;00AE0D54&quot;/&gt;&lt;wsp:rsid wsp:val=&quot;00AE1775&quot;/&gt;&lt;wsp:rsid wsp:val=&quot;00AE19B8&quot;/&gt;&lt;wsp:rsid wsp:val=&quot;00AE1EC7&quot;/&gt;&lt;wsp:rsid wsp:val=&quot;00AE2B85&quot;/&gt;&lt;wsp:rsid wsp:val=&quot;00AE30EE&quot;/&gt;&lt;wsp:rsid wsp:val=&quot;00AE57BE&quot;/&gt;&lt;wsp:rsid wsp:val=&quot;00AE637F&quot;/&gt;&lt;wsp:rsid wsp:val=&quot;00AE6E1F&quot;/&gt;&lt;wsp:rsid wsp:val=&quot;00AE6F24&quot;/&gt;&lt;wsp:rsid wsp:val=&quot;00AE730A&quot;/&gt;&lt;wsp:rsid wsp:val=&quot;00AE7B83&quot;/&gt;&lt;wsp:rsid wsp:val=&quot;00AE7E0E&quot;/&gt;&lt;wsp:rsid wsp:val=&quot;00AE7FE1&quot;/&gt;&lt;wsp:rsid wsp:val=&quot;00AF0DA1&quot;/&gt;&lt;wsp:rsid wsp:val=&quot;00AF17E8&quot;/&gt;&lt;wsp:rsid wsp:val=&quot;00AF1DD9&quot;/&gt;&lt;wsp:rsid wsp:val=&quot;00AF21C6&quot;/&gt;&lt;wsp:rsid wsp:val=&quot;00AF33A3&quot;/&gt;&lt;wsp:rsid wsp:val=&quot;00AF3EE4&quot;/&gt;&lt;wsp:rsid wsp:val=&quot;00AF4752&quot;/&gt;&lt;wsp:rsid wsp:val=&quot;00AF516C&quot;/&gt;&lt;wsp:rsid wsp:val=&quot;00AF6884&quot;/&gt;&lt;wsp:rsid wsp:val=&quot;00AF6BF4&quot;/&gt;&lt;wsp:rsid wsp:val=&quot;00AF74E3&quot;/&gt;&lt;wsp:rsid wsp:val=&quot;00AF77FF&quot;/&gt;&lt;wsp:rsid wsp:val=&quot;00AF7D34&quot;/&gt;&lt;wsp:rsid wsp:val=&quot;00B002C2&quot;/&gt;&lt;wsp:rsid wsp:val=&quot;00B00EB8&quot;/&gt;&lt;wsp:rsid wsp:val=&quot;00B01C02&quot;/&gt;&lt;wsp:rsid wsp:val=&quot;00B02349&quot;/&gt;&lt;wsp:rsid wsp:val=&quot;00B02B4F&quot;/&gt;&lt;wsp:rsid wsp:val=&quot;00B032E7&quot;/&gt;&lt;wsp:rsid wsp:val=&quot;00B036C9&quot;/&gt;&lt;wsp:rsid wsp:val=&quot;00B04151&quot;/&gt;&lt;wsp:rsid wsp:val=&quot;00B043D2&quot;/&gt;&lt;wsp:rsid wsp:val=&quot;00B0574C&quot;/&gt;&lt;wsp:rsid wsp:val=&quot;00B05AC0&quot;/&gt;&lt;wsp:rsid wsp:val=&quot;00B05AEC&quot;/&gt;&lt;wsp:rsid wsp:val=&quot;00B06D5D&quot;/&gt;&lt;wsp:rsid wsp:val=&quot;00B077F2&quot;/&gt;&lt;wsp:rsid wsp:val=&quot;00B07A4C&quot;/&gt;&lt;wsp:rsid wsp:val=&quot;00B10093&quot;/&gt;&lt;wsp:rsid wsp:val=&quot;00B100AA&quot;/&gt;&lt;wsp:rsid wsp:val=&quot;00B10516&quot;/&gt;&lt;wsp:rsid wsp:val=&quot;00B10AAE&quot;/&gt;&lt;wsp:rsid wsp:val=&quot;00B10C6C&quot;/&gt;&lt;wsp:rsid wsp:val=&quot;00B10C97&quot;/&gt;&lt;wsp:rsid wsp:val=&quot;00B1194E&quot;/&gt;&lt;wsp:rsid wsp:val=&quot;00B1364A&quot;/&gt;&lt;wsp:rsid wsp:val=&quot;00B1442D&quot;/&gt;&lt;wsp:rsid wsp:val=&quot;00B153A8&quot;/&gt;&lt;wsp:rsid wsp:val=&quot;00B162FB&quot;/&gt;&lt;wsp:rsid wsp:val=&quot;00B16E2F&quot;/&gt;&lt;wsp:rsid wsp:val=&quot;00B17172&quot;/&gt;&lt;wsp:rsid wsp:val=&quot;00B20442&quot;/&gt;&lt;wsp:rsid wsp:val=&quot;00B20574&quot;/&gt;&lt;wsp:rsid wsp:val=&quot;00B2082D&quot;/&gt;&lt;wsp:rsid wsp:val=&quot;00B209A6&quot;/&gt;&lt;wsp:rsid wsp:val=&quot;00B20D29&quot;/&gt;&lt;wsp:rsid wsp:val=&quot;00B20D3B&quot;/&gt;&lt;wsp:rsid wsp:val=&quot;00B24098&quot;/&gt;&lt;wsp:rsid wsp:val=&quot;00B243B9&quot;/&gt;&lt;wsp:rsid wsp:val=&quot;00B25881&quot;/&gt;&lt;wsp:rsid wsp:val=&quot;00B25966&quot;/&gt;&lt;wsp:rsid wsp:val=&quot;00B260DC&quot;/&gt;&lt;wsp:rsid wsp:val=&quot;00B269E0&quot;/&gt;&lt;wsp:rsid wsp:val=&quot;00B26CC2&quot;/&gt;&lt;wsp:rsid wsp:val=&quot;00B27422&quot;/&gt;&lt;wsp:rsid wsp:val=&quot;00B30842&quot;/&gt;&lt;wsp:rsid wsp:val=&quot;00B31843&quot;/&gt;&lt;wsp:rsid wsp:val=&quot;00B32BC1&quot;/&gt;&lt;wsp:rsid wsp:val=&quot;00B33501&quot;/&gt;&lt;wsp:rsid wsp:val=&quot;00B3447F&quot;/&gt;&lt;wsp:rsid wsp:val=&quot;00B346A2&quot;/&gt;&lt;wsp:rsid wsp:val=&quot;00B35B10&quot;/&gt;&lt;wsp:rsid wsp:val=&quot;00B35D25&quot;/&gt;&lt;wsp:rsid wsp:val=&quot;00B36C6C&quot;/&gt;&lt;wsp:rsid wsp:val=&quot;00B36E8A&quot;/&gt;&lt;wsp:rsid wsp:val=&quot;00B4234B&quot;/&gt;&lt;wsp:rsid wsp:val=&quot;00B42EBC&quot;/&gt;&lt;wsp:rsid wsp:val=&quot;00B4382A&quot;/&gt;&lt;wsp:rsid wsp:val=&quot;00B45CA6&quot;/&gt;&lt;wsp:rsid wsp:val=&quot;00B45D3F&quot;/&gt;&lt;wsp:rsid wsp:val=&quot;00B45FC3&quot;/&gt;&lt;wsp:rsid wsp:val=&quot;00B461C9&quot;/&gt;&lt;wsp:rsid wsp:val=&quot;00B46511&quot;/&gt;&lt;wsp:rsid wsp:val=&quot;00B47104&quot;/&gt;&lt;wsp:rsid wsp:val=&quot;00B478A9&quot;/&gt;&lt;wsp:rsid wsp:val=&quot;00B5287A&quot;/&gt;&lt;wsp:rsid wsp:val=&quot;00B53026&quot;/&gt;&lt;wsp:rsid wsp:val=&quot;00B54779&quot;/&gt;&lt;wsp:rsid wsp:val=&quot;00B5488F&quot;/&gt;&lt;wsp:rsid wsp:val=&quot;00B55546&quot;/&gt;&lt;wsp:rsid wsp:val=&quot;00B55F4C&quot;/&gt;&lt;wsp:rsid wsp:val=&quot;00B56470&quot;/&gt;&lt;wsp:rsid wsp:val=&quot;00B565C4&quot;/&gt;&lt;wsp:rsid wsp:val=&quot;00B56C64&quot;/&gt;&lt;wsp:rsid wsp:val=&quot;00B56D98&quot;/&gt;&lt;wsp:rsid wsp:val=&quot;00B57277&quot;/&gt;&lt;wsp:rsid wsp:val=&quot;00B578AB&quot;/&gt;&lt;wsp:rsid wsp:val=&quot;00B60677&quot;/&gt;&lt;wsp:rsid wsp:val=&quot;00B60AEA&quot;/&gt;&lt;wsp:rsid wsp:val=&quot;00B60D74&quot;/&gt;&lt;wsp:rsid wsp:val=&quot;00B60E65&quot;/&gt;&lt;wsp:rsid wsp:val=&quot;00B6105F&quot;/&gt;&lt;wsp:rsid wsp:val=&quot;00B6160B&quot;/&gt;&lt;wsp:rsid wsp:val=&quot;00B625F7&quot;/&gt;&lt;wsp:rsid wsp:val=&quot;00B62A67&quot;/&gt;&lt;wsp:rsid wsp:val=&quot;00B64252&quot;/&gt;&lt;wsp:rsid wsp:val=&quot;00B643A1&quot;/&gt;&lt;wsp:rsid wsp:val=&quot;00B643A7&quot;/&gt;&lt;wsp:rsid wsp:val=&quot;00B650E1&quot;/&gt;&lt;wsp:rsid wsp:val=&quot;00B65577&quot;/&gt;&lt;wsp:rsid wsp:val=&quot;00B65E2D&quot;/&gt;&lt;wsp:rsid wsp:val=&quot;00B65E4C&quot;/&gt;&lt;wsp:rsid wsp:val=&quot;00B67518&quot;/&gt;&lt;wsp:rsid wsp:val=&quot;00B71695&quot;/&gt;&lt;wsp:rsid wsp:val=&quot;00B73106&quot;/&gt;&lt;wsp:rsid wsp:val=&quot;00B74D12&quot;/&gt;&lt;wsp:rsid wsp:val=&quot;00B75110&quot;/&gt;&lt;wsp:rsid wsp:val=&quot;00B7573E&quot;/&gt;&lt;wsp:rsid wsp:val=&quot;00B75FE4&quot;/&gt;&lt;wsp:rsid wsp:val=&quot;00B76C05&quot;/&gt;&lt;wsp:rsid wsp:val=&quot;00B76E7B&quot;/&gt;&lt;wsp:rsid wsp:val=&quot;00B7723E&quot;/&gt;&lt;wsp:rsid wsp:val=&quot;00B77BD1&quot;/&gt;&lt;wsp:rsid wsp:val=&quot;00B77F2E&quot;/&gt;&lt;wsp:rsid wsp:val=&quot;00B8012E&quot;/&gt;&lt;wsp:rsid wsp:val=&quot;00B80351&quot;/&gt;&lt;wsp:rsid wsp:val=&quot;00B80D1F&quot;/&gt;&lt;wsp:rsid wsp:val=&quot;00B81B44&quot;/&gt;&lt;wsp:rsid wsp:val=&quot;00B82225&quot;/&gt;&lt;wsp:rsid wsp:val=&quot;00B82898&quot;/&gt;&lt;wsp:rsid wsp:val=&quot;00B84E16&quot;/&gt;&lt;wsp:rsid wsp:val=&quot;00B8504B&quot;/&gt;&lt;wsp:rsid wsp:val=&quot;00B86092&quot;/&gt;&lt;wsp:rsid wsp:val=&quot;00B86FDC&quot;/&gt;&lt;wsp:rsid wsp:val=&quot;00B8773C&quot;/&gt;&lt;wsp:rsid wsp:val=&quot;00B9059B&quot;/&gt;&lt;wsp:rsid wsp:val=&quot;00B90CC9&quot;/&gt;&lt;wsp:rsid wsp:val=&quot;00B90D1B&quot;/&gt;&lt;wsp:rsid wsp:val=&quot;00B913C4&quot;/&gt;&lt;wsp:rsid wsp:val=&quot;00B914C3&quot;/&gt;&lt;wsp:rsid wsp:val=&quot;00B9163E&quot;/&gt;&lt;wsp:rsid wsp:val=&quot;00B91785&quot;/&gt;&lt;wsp:rsid wsp:val=&quot;00B9204B&quot;/&gt;&lt;wsp:rsid wsp:val=&quot;00B93E93&quot;/&gt;&lt;wsp:rsid wsp:val=&quot;00B940D0&quot;/&gt;&lt;wsp:rsid wsp:val=&quot;00B95453&quot;/&gt;&lt;wsp:rsid wsp:val=&quot;00B95A4C&quot;/&gt;&lt;wsp:rsid wsp:val=&quot;00B95DAC&quot;/&gt;&lt;wsp:rsid wsp:val=&quot;00B961DC&quot;/&gt;&lt;wsp:rsid wsp:val=&quot;00B962CD&quot;/&gt;&lt;wsp:rsid wsp:val=&quot;00B9668C&quot;/&gt;&lt;wsp:rsid wsp:val=&quot;00B9670A&quot;/&gt;&lt;wsp:rsid wsp:val=&quot;00B979A9&quot;/&gt;&lt;wsp:rsid wsp:val=&quot;00BA0046&quot;/&gt;&lt;wsp:rsid wsp:val=&quot;00BA0A81&quot;/&gt;&lt;wsp:rsid wsp:val=&quot;00BA215A&quot;/&gt;&lt;wsp:rsid wsp:val=&quot;00BA28FF&quot;/&gt;&lt;wsp:rsid wsp:val=&quot;00BA36A5&quot;/&gt;&lt;wsp:rsid wsp:val=&quot;00BA44E1&quot;/&gt;&lt;wsp:rsid wsp:val=&quot;00BA4541&quot;/&gt;&lt;wsp:rsid wsp:val=&quot;00BA49C8&quot;/&gt;&lt;wsp:rsid wsp:val=&quot;00BA4C32&quot;/&gt;&lt;wsp:rsid wsp:val=&quot;00BA5497&quot;/&gt;&lt;wsp:rsid wsp:val=&quot;00BA6148&quot;/&gt;&lt;wsp:rsid wsp:val=&quot;00BA6343&quot;/&gt;&lt;wsp:rsid wsp:val=&quot;00BA63A6&quot;/&gt;&lt;wsp:rsid wsp:val=&quot;00BA6482&quot;/&gt;&lt;wsp:rsid wsp:val=&quot;00BA74BC&quot;/&gt;&lt;wsp:rsid wsp:val=&quot;00BB010D&quot;/&gt;&lt;wsp:rsid wsp:val=&quot;00BB057D&quot;/&gt;&lt;wsp:rsid wsp:val=&quot;00BB0C59&quot;/&gt;&lt;wsp:rsid wsp:val=&quot;00BB2801&quot;/&gt;&lt;wsp:rsid wsp:val=&quot;00BB293D&quot;/&gt;&lt;wsp:rsid wsp:val=&quot;00BB34F1&quot;/&gt;&lt;wsp:rsid wsp:val=&quot;00BB35D1&quot;/&gt;&lt;wsp:rsid wsp:val=&quot;00BB4096&quot;/&gt;&lt;wsp:rsid wsp:val=&quot;00BB415E&quot;/&gt;&lt;wsp:rsid wsp:val=&quot;00BB449F&quot;/&gt;&lt;wsp:rsid wsp:val=&quot;00BB4716&quot;/&gt;&lt;wsp:rsid wsp:val=&quot;00BB472A&quot;/&gt;&lt;wsp:rsid wsp:val=&quot;00BB49F2&quot;/&gt;&lt;wsp:rsid wsp:val=&quot;00BB49F9&quot;/&gt;&lt;wsp:rsid wsp:val=&quot;00BB4CFC&quot;/&gt;&lt;wsp:rsid wsp:val=&quot;00BB6BCD&quot;/&gt;&lt;wsp:rsid wsp:val=&quot;00BB7E8B&quot;/&gt;&lt;wsp:rsid wsp:val=&quot;00BC0BD7&quot;/&gt;&lt;wsp:rsid wsp:val=&quot;00BC0BE7&quot;/&gt;&lt;wsp:rsid wsp:val=&quot;00BC1B0C&quot;/&gt;&lt;wsp:rsid wsp:val=&quot;00BC1FE7&quot;/&gt;&lt;wsp:rsid wsp:val=&quot;00BC3344&quot;/&gt;&lt;wsp:rsid wsp:val=&quot;00BC3BD6&quot;/&gt;&lt;wsp:rsid wsp:val=&quot;00BC4157&quot;/&gt;&lt;wsp:rsid wsp:val=&quot;00BC45CF&quot;/&gt;&lt;wsp:rsid wsp:val=&quot;00BC4627&quot;/&gt;&lt;wsp:rsid wsp:val=&quot;00BC4D85&quot;/&gt;&lt;wsp:rsid wsp:val=&quot;00BC4FBD&quot;/&gt;&lt;wsp:rsid wsp:val=&quot;00BC5649&quot;/&gt;&lt;wsp:rsid wsp:val=&quot;00BC5E60&quot;/&gt;&lt;wsp:rsid wsp:val=&quot;00BC602F&quot;/&gt;&lt;wsp:rsid wsp:val=&quot;00BC78C7&quot;/&gt;&lt;wsp:rsid wsp:val=&quot;00BD1398&quot;/&gt;&lt;wsp:rsid wsp:val=&quot;00BD1614&quot;/&gt;&lt;wsp:rsid wsp:val=&quot;00BD1909&quot;/&gt;&lt;wsp:rsid wsp:val=&quot;00BD2C4B&quot;/&gt;&lt;wsp:rsid wsp:val=&quot;00BD3205&quot;/&gt;&lt;wsp:rsid wsp:val=&quot;00BD384F&quot;/&gt;&lt;wsp:rsid wsp:val=&quot;00BD3F3D&quot;/&gt;&lt;wsp:rsid wsp:val=&quot;00BD42A4&quot;/&gt;&lt;wsp:rsid wsp:val=&quot;00BD4329&quot;/&gt;&lt;wsp:rsid wsp:val=&quot;00BD66FA&quot;/&gt;&lt;wsp:rsid wsp:val=&quot;00BD68AD&quot;/&gt;&lt;wsp:rsid wsp:val=&quot;00BD6E31&quot;/&gt;&lt;wsp:rsid wsp:val=&quot;00BD7276&quot;/&gt;&lt;wsp:rsid wsp:val=&quot;00BD72D9&quot;/&gt;&lt;wsp:rsid wsp:val=&quot;00BD7EA8&quot;/&gt;&lt;wsp:rsid wsp:val=&quot;00BE0230&quot;/&gt;&lt;wsp:rsid wsp:val=&quot;00BE0502&quot;/&gt;&lt;wsp:rsid wsp:val=&quot;00BE0555&quot;/&gt;&lt;wsp:rsid wsp:val=&quot;00BE098D&quot;/&gt;&lt;wsp:rsid wsp:val=&quot;00BE1523&quot;/&gt;&lt;wsp:rsid wsp:val=&quot;00BE299E&quot;/&gt;&lt;wsp:rsid wsp:val=&quot;00BE345E&quot;/&gt;&lt;wsp:rsid wsp:val=&quot;00BE3F04&quot;/&gt;&lt;wsp:rsid wsp:val=&quot;00BE3F7E&quot;/&gt;&lt;wsp:rsid wsp:val=&quot;00BE4A63&quot;/&gt;&lt;wsp:rsid wsp:val=&quot;00BE5453&quot;/&gt;&lt;wsp:rsid wsp:val=&quot;00BE558A&quot;/&gt;&lt;wsp:rsid wsp:val=&quot;00BE5866&quot;/&gt;&lt;wsp:rsid wsp:val=&quot;00BE59CE&quot;/&gt;&lt;wsp:rsid wsp:val=&quot;00BE5B0F&quot;/&gt;&lt;wsp:rsid wsp:val=&quot;00BE5ED0&quot;/&gt;&lt;wsp:rsid wsp:val=&quot;00BE754E&quot;/&gt;&lt;wsp:rsid wsp:val=&quot;00BE7731&quot;/&gt;&lt;wsp:rsid wsp:val=&quot;00BF01E6&quot;/&gt;&lt;wsp:rsid wsp:val=&quot;00BF02DD&quot;/&gt;&lt;wsp:rsid wsp:val=&quot;00BF0F97&quot;/&gt;&lt;wsp:rsid wsp:val=&quot;00BF1564&quot;/&gt;&lt;wsp:rsid wsp:val=&quot;00BF283B&quot;/&gt;&lt;wsp:rsid wsp:val=&quot;00BF2E6D&quot;/&gt;&lt;wsp:rsid wsp:val=&quot;00BF2E9C&quot;/&gt;&lt;wsp:rsid wsp:val=&quot;00BF3171&quot;/&gt;&lt;wsp:rsid wsp:val=&quot;00BF39E9&quot;/&gt;&lt;wsp:rsid wsp:val=&quot;00BF3C3E&quot;/&gt;&lt;wsp:rsid wsp:val=&quot;00BF3C41&quot;/&gt;&lt;wsp:rsid wsp:val=&quot;00BF5277&quot;/&gt;&lt;wsp:rsid wsp:val=&quot;00BF57F0&quot;/&gt;&lt;wsp:rsid wsp:val=&quot;00BF7E82&quot;/&gt;&lt;wsp:rsid wsp:val=&quot;00C00918&quot;/&gt;&lt;wsp:rsid wsp:val=&quot;00C00A93&quot;/&gt;&lt;wsp:rsid wsp:val=&quot;00C02E25&quot;/&gt;&lt;wsp:rsid wsp:val=&quot;00C031C6&quot;/&gt;&lt;wsp:rsid wsp:val=&quot;00C0329F&quot;/&gt;&lt;wsp:rsid wsp:val=&quot;00C04129&quot;/&gt;&lt;wsp:rsid wsp:val=&quot;00C0429F&quot;/&gt;&lt;wsp:rsid wsp:val=&quot;00C045BB&quot;/&gt;&lt;wsp:rsid wsp:val=&quot;00C05A9D&quot;/&gt;&lt;wsp:rsid wsp:val=&quot;00C05AC8&quot;/&gt;&lt;wsp:rsid wsp:val=&quot;00C05CAA&quot;/&gt;&lt;wsp:rsid wsp:val=&quot;00C06050&quot;/&gt;&lt;wsp:rsid wsp:val=&quot;00C06D95&quot;/&gt;&lt;wsp:rsid wsp:val=&quot;00C07AC5&quot;/&gt;&lt;wsp:rsid wsp:val=&quot;00C104E2&quot;/&gt;&lt;wsp:rsid wsp:val=&quot;00C110BD&quot;/&gt;&lt;wsp:rsid wsp:val=&quot;00C11805&quot;/&gt;&lt;wsp:rsid wsp:val=&quot;00C119DD&quot;/&gt;&lt;wsp:rsid wsp:val=&quot;00C124EB&quot;/&gt;&lt;wsp:rsid wsp:val=&quot;00C12BC9&quot;/&gt;&lt;wsp:rsid wsp:val=&quot;00C12FAA&quot;/&gt;&lt;wsp:rsid wsp:val=&quot;00C1379B&quot;/&gt;&lt;wsp:rsid wsp:val=&quot;00C14031&quot;/&gt;&lt;wsp:rsid wsp:val=&quot;00C144F4&quot;/&gt;&lt;wsp:rsid wsp:val=&quot;00C15E42&quot;/&gt;&lt;wsp:rsid wsp:val=&quot;00C174CD&quot;/&gt;&lt;wsp:rsid wsp:val=&quot;00C2015D&quot;/&gt;&lt;wsp:rsid wsp:val=&quot;00C20901&quot;/&gt;&lt;wsp:rsid wsp:val=&quot;00C20B2B&quot;/&gt;&lt;wsp:rsid wsp:val=&quot;00C20EC1&quot;/&gt;&lt;wsp:rsid wsp:val=&quot;00C21086&quot;/&gt;&lt;wsp:rsid wsp:val=&quot;00C21802&quot;/&gt;&lt;wsp:rsid wsp:val=&quot;00C21845&quot;/&gt;&lt;wsp:rsid wsp:val=&quot;00C21D72&quot;/&gt;&lt;wsp:rsid wsp:val=&quot;00C2250A&quot;/&gt;&lt;wsp:rsid wsp:val=&quot;00C23598&quot;/&gt;&lt;wsp:rsid wsp:val=&quot;00C23DEA&quot;/&gt;&lt;wsp:rsid wsp:val=&quot;00C24593&quot;/&gt;&lt;wsp:rsid wsp:val=&quot;00C245BE&quot;/&gt;&lt;wsp:rsid wsp:val=&quot;00C24DF8&quot;/&gt;&lt;wsp:rsid wsp:val=&quot;00C263C6&quot;/&gt;&lt;wsp:rsid wsp:val=&quot;00C275C8&quot;/&gt;&lt;wsp:rsid wsp:val=&quot;00C30055&quot;/&gt;&lt;wsp:rsid wsp:val=&quot;00C304A3&quot;/&gt;&lt;wsp:rsid wsp:val=&quot;00C307D4&quot;/&gt;&lt;wsp:rsid wsp:val=&quot;00C30AB2&quot;/&gt;&lt;wsp:rsid wsp:val=&quot;00C314D1&quot;/&gt;&lt;wsp:rsid wsp:val=&quot;00C32060&quot;/&gt;&lt;wsp:rsid wsp:val=&quot;00C32918&quot;/&gt;&lt;wsp:rsid wsp:val=&quot;00C33108&quot;/&gt;&lt;wsp:rsid wsp:val=&quot;00C34267&quot;/&gt;&lt;wsp:rsid wsp:val=&quot;00C343AE&quot;/&gt;&lt;wsp:rsid wsp:val=&quot;00C34D8A&quot;/&gt;&lt;wsp:rsid wsp:val=&quot;00C35499&quot;/&gt;&lt;wsp:rsid wsp:val=&quot;00C35834&quot;/&gt;&lt;wsp:rsid wsp:val=&quot;00C367CF&quot;/&gt;&lt;wsp:rsid wsp:val=&quot;00C40760&quot;/&gt;&lt;wsp:rsid wsp:val=&quot;00C41F94&quot;/&gt;&lt;wsp:rsid wsp:val=&quot;00C42D67&quot;/&gt;&lt;wsp:rsid wsp:val=&quot;00C434C3&quot;/&gt;&lt;wsp:rsid wsp:val=&quot;00C438BB&quot;/&gt;&lt;wsp:rsid wsp:val=&quot;00C439F1&quot;/&gt;&lt;wsp:rsid wsp:val=&quot;00C4435D&quot;/&gt;&lt;wsp:rsid wsp:val=&quot;00C444F7&quot;/&gt;&lt;wsp:rsid wsp:val=&quot;00C44BD0&quot;/&gt;&lt;wsp:rsid wsp:val=&quot;00C452C1&quot;/&gt;&lt;wsp:rsid wsp:val=&quot;00C45AF4&quot;/&gt;&lt;wsp:rsid wsp:val=&quot;00C4634A&quot;/&gt;&lt;wsp:rsid wsp:val=&quot;00C46379&quot;/&gt;&lt;wsp:rsid wsp:val=&quot;00C46A09&quot;/&gt;&lt;wsp:rsid wsp:val=&quot;00C471DD&quot;/&gt;&lt;wsp:rsid wsp:val=&quot;00C47BFF&quot;/&gt;&lt;wsp:rsid wsp:val=&quot;00C47DD0&quot;/&gt;&lt;wsp:rsid wsp:val=&quot;00C5056E&quot;/&gt;&lt;wsp:rsid wsp:val=&quot;00C521F9&quot;/&gt;&lt;wsp:rsid wsp:val=&quot;00C52845&quot;/&gt;&lt;wsp:rsid wsp:val=&quot;00C52C34&quot;/&gt;&lt;wsp:rsid wsp:val=&quot;00C54539&quot;/&gt;&lt;wsp:rsid wsp:val=&quot;00C547B1&quot;/&gt;&lt;wsp:rsid wsp:val=&quot;00C54AB4&quot;/&gt;&lt;wsp:rsid wsp:val=&quot;00C551A6&quot;/&gt;&lt;wsp:rsid wsp:val=&quot;00C558D4&quot;/&gt;&lt;wsp:rsid wsp:val=&quot;00C55FED&quot;/&gt;&lt;wsp:rsid wsp:val=&quot;00C56DA8&quot;/&gt;&lt;wsp:rsid wsp:val=&quot;00C5723B&quot;/&gt;&lt;wsp:rsid wsp:val=&quot;00C576BC&quot;/&gt;&lt;wsp:rsid wsp:val=&quot;00C5781B&quot;/&gt;&lt;wsp:rsid wsp:val=&quot;00C5796D&quot;/&gt;&lt;wsp:rsid wsp:val=&quot;00C57A04&quot;/&gt;&lt;wsp:rsid wsp:val=&quot;00C57AC6&quot;/&gt;&lt;wsp:rsid wsp:val=&quot;00C6027B&quot;/&gt;&lt;wsp:rsid wsp:val=&quot;00C60690&quot;/&gt;&lt;wsp:rsid wsp:val=&quot;00C60747&quot;/&gt;&lt;wsp:rsid wsp:val=&quot;00C6126B&quot;/&gt;&lt;wsp:rsid wsp:val=&quot;00C616D6&quot;/&gt;&lt;wsp:rsid wsp:val=&quot;00C618D7&quot;/&gt;&lt;wsp:rsid wsp:val=&quot;00C6229F&quot;/&gt;&lt;wsp:rsid wsp:val=&quot;00C62344&quot;/&gt;&lt;wsp:rsid wsp:val=&quot;00C62836&quot;/&gt;&lt;wsp:rsid wsp:val=&quot;00C62E77&quot;/&gt;&lt;wsp:rsid wsp:val=&quot;00C64C46&quot;/&gt;&lt;wsp:rsid wsp:val=&quot;00C65B76&quot;/&gt;&lt;wsp:rsid wsp:val=&quot;00C65CDE&quot;/&gt;&lt;wsp:rsid wsp:val=&quot;00C65DAB&quot;/&gt;&lt;wsp:rsid wsp:val=&quot;00C66238&quot;/&gt;&lt;wsp:rsid wsp:val=&quot;00C66800&quot;/&gt;&lt;wsp:rsid wsp:val=&quot;00C66CE0&quot;/&gt;&lt;wsp:rsid wsp:val=&quot;00C675FC&quot;/&gt;&lt;wsp:rsid wsp:val=&quot;00C67D3E&quot;/&gt;&lt;wsp:rsid wsp:val=&quot;00C70236&quot;/&gt;&lt;wsp:rsid wsp:val=&quot;00C70265&quot;/&gt;&lt;wsp:rsid wsp:val=&quot;00C702A3&quot;/&gt;&lt;wsp:rsid wsp:val=&quot;00C7063A&quot;/&gt;&lt;wsp:rsid wsp:val=&quot;00C70E62&quot;/&gt;&lt;wsp:rsid wsp:val=&quot;00C7189B&quot;/&gt;&lt;wsp:rsid wsp:val=&quot;00C720BD&quot;/&gt;&lt;wsp:rsid wsp:val=&quot;00C73C75&quot;/&gt;&lt;wsp:rsid wsp:val=&quot;00C73CF7&quot;/&gt;&lt;wsp:rsid wsp:val=&quot;00C74F8F&quot;/&gt;&lt;wsp:rsid wsp:val=&quot;00C75375&quot;/&gt;&lt;wsp:rsid wsp:val=&quot;00C75C98&quot;/&gt;&lt;wsp:rsid wsp:val=&quot;00C76CB2&quot;/&gt;&lt;wsp:rsid wsp:val=&quot;00C7705C&quot;/&gt;&lt;wsp:rsid wsp:val=&quot;00C80069&quot;/&gt;&lt;wsp:rsid wsp:val=&quot;00C80357&quot;/&gt;&lt;wsp:rsid wsp:val=&quot;00C810AE&quot;/&gt;&lt;wsp:rsid wsp:val=&quot;00C81A9A&quot;/&gt;&lt;wsp:rsid wsp:val=&quot;00C81CC0&quot;/&gt;&lt;wsp:rsid wsp:val=&quot;00C81D63&quot;/&gt;&lt;wsp:rsid wsp:val=&quot;00C82142&quot;/&gt;&lt;wsp:rsid wsp:val=&quot;00C828AC&quot;/&gt;&lt;wsp:rsid wsp:val=&quot;00C82EC7&quot;/&gt;&lt;wsp:rsid wsp:val=&quot;00C83463&quot;/&gt;&lt;wsp:rsid wsp:val=&quot;00C83483&quot;/&gt;&lt;wsp:rsid wsp:val=&quot;00C83825&quot;/&gt;&lt;wsp:rsid wsp:val=&quot;00C83AE8&quot;/&gt;&lt;wsp:rsid wsp:val=&quot;00C83FD4&quot;/&gt;&lt;wsp:rsid wsp:val=&quot;00C86043&quot;/&gt;&lt;wsp:rsid wsp:val=&quot;00C866E1&quot;/&gt;&lt;wsp:rsid wsp:val=&quot;00C870C7&quot;/&gt;&lt;wsp:rsid wsp:val=&quot;00C8763E&quot;/&gt;&lt;wsp:rsid wsp:val=&quot;00C87995&quot;/&gt;&lt;wsp:rsid wsp:val=&quot;00C905DC&quot;/&gt;&lt;wsp:rsid wsp:val=&quot;00C9076D&quot;/&gt;&lt;wsp:rsid wsp:val=&quot;00C90A0F&quot;/&gt;&lt;wsp:rsid wsp:val=&quot;00C914F1&quot;/&gt;&lt;wsp:rsid wsp:val=&quot;00C9278E&quot;/&gt;&lt;wsp:rsid wsp:val=&quot;00C929DE&quot;/&gt;&lt;wsp:rsid wsp:val=&quot;00C94191&quot;/&gt;&lt;wsp:rsid wsp:val=&quot;00C9458F&quot;/&gt;&lt;wsp:rsid wsp:val=&quot;00C9521F&quot;/&gt;&lt;wsp:rsid wsp:val=&quot;00C9544F&quot;/&gt;&lt;wsp:rsid wsp:val=&quot;00C957E0&quot;/&gt;&lt;wsp:rsid wsp:val=&quot;00C95EAA&quot;/&gt;&lt;wsp:rsid wsp:val=&quot;00C96655&quot;/&gt;&lt;wsp:rsid wsp:val=&quot;00C96B62&quot;/&gt;&lt;wsp:rsid wsp:val=&quot;00C97469&quot;/&gt;&lt;wsp:rsid wsp:val=&quot;00C976AA&quot;/&gt;&lt;wsp:rsid wsp:val=&quot;00CA04DB&quot;/&gt;&lt;wsp:rsid wsp:val=&quot;00CA0E91&quot;/&gt;&lt;wsp:rsid wsp:val=&quot;00CA0EF0&quot;/&gt;&lt;wsp:rsid wsp:val=&quot;00CA0F2C&quot;/&gt;&lt;wsp:rsid wsp:val=&quot;00CA15F9&quot;/&gt;&lt;wsp:rsid wsp:val=&quot;00CA17A7&quot;/&gt;&lt;wsp:rsid wsp:val=&quot;00CA2933&quot;/&gt;&lt;wsp:rsid wsp:val=&quot;00CA32B4&quot;/&gt;&lt;wsp:rsid wsp:val=&quot;00CA32E8&quot;/&gt;&lt;wsp:rsid wsp:val=&quot;00CA34BA&quot;/&gt;&lt;wsp:rsid wsp:val=&quot;00CA3BC7&quot;/&gt;&lt;wsp:rsid wsp:val=&quot;00CA42F8&quot;/&gt;&lt;wsp:rsid wsp:val=&quot;00CA4573&quot;/&gt;&lt;wsp:rsid wsp:val=&quot;00CA47A8&quot;/&gt;&lt;wsp:rsid wsp:val=&quot;00CA47E4&quot;/&gt;&lt;wsp:rsid wsp:val=&quot;00CA4850&quot;/&gt;&lt;wsp:rsid wsp:val=&quot;00CA4870&quot;/&gt;&lt;wsp:rsid wsp:val=&quot;00CA50BE&quot;/&gt;&lt;wsp:rsid wsp:val=&quot;00CA616E&quot;/&gt;&lt;wsp:rsid wsp:val=&quot;00CA61C6&quot;/&gt;&lt;wsp:rsid wsp:val=&quot;00CA646D&quot;/&gt;&lt;wsp:rsid wsp:val=&quot;00CA6BB8&quot;/&gt;&lt;wsp:rsid wsp:val=&quot;00CA745B&quot;/&gt;&lt;wsp:rsid wsp:val=&quot;00CA75CD&quot;/&gt;&lt;wsp:rsid wsp:val=&quot;00CA7ABA&quot;/&gt;&lt;wsp:rsid wsp:val=&quot;00CA7FCD&quot;/&gt;&lt;wsp:rsid wsp:val=&quot;00CB00EB&quot;/&gt;&lt;wsp:rsid wsp:val=&quot;00CB0213&quot;/&gt;&lt;wsp:rsid wsp:val=&quot;00CB0656&quot;/&gt;&lt;wsp:rsid wsp:val=&quot;00CB0F03&quot;/&gt;&lt;wsp:rsid wsp:val=&quot;00CB187A&quot;/&gt;&lt;wsp:rsid wsp:val=&quot;00CB224B&quot;/&gt;&lt;wsp:rsid wsp:val=&quot;00CB2DC8&quot;/&gt;&lt;wsp:rsid wsp:val=&quot;00CB3DF4&quot;/&gt;&lt;wsp:rsid wsp:val=&quot;00CB3E7F&quot;/&gt;&lt;wsp:rsid wsp:val=&quot;00CB42D0&quot;/&gt;&lt;wsp:rsid wsp:val=&quot;00CB440B&quot;/&gt;&lt;wsp:rsid wsp:val=&quot;00CB5B32&quot;/&gt;&lt;wsp:rsid wsp:val=&quot;00CC0D22&quot;/&gt;&lt;wsp:rsid wsp:val=&quot;00CC1161&quot;/&gt;&lt;wsp:rsid wsp:val=&quot;00CC2234&quot;/&gt;&lt;wsp:rsid wsp:val=&quot;00CC31D8&quot;/&gt;&lt;wsp:rsid wsp:val=&quot;00CC3698&quot;/&gt;&lt;wsp:rsid wsp:val=&quot;00CC389B&quot;/&gt;&lt;wsp:rsid wsp:val=&quot;00CC3DE4&quot;/&gt;&lt;wsp:rsid wsp:val=&quot;00CC4C30&quot;/&gt;&lt;wsp:rsid wsp:val=&quot;00CC51EC&quot;/&gt;&lt;wsp:rsid wsp:val=&quot;00CC520A&quot;/&gt;&lt;wsp:rsid wsp:val=&quot;00CC638D&quot;/&gt;&lt;wsp:rsid wsp:val=&quot;00CC7947&quot;/&gt;&lt;wsp:rsid wsp:val=&quot;00CD0392&quot;/&gt;&lt;wsp:rsid wsp:val=&quot;00CD0709&quot;/&gt;&lt;wsp:rsid wsp:val=&quot;00CD1565&quot;/&gt;&lt;wsp:rsid wsp:val=&quot;00CD26ED&quot;/&gt;&lt;wsp:rsid wsp:val=&quot;00CD2805&quot;/&gt;&lt;wsp:rsid wsp:val=&quot;00CD2A98&quot;/&gt;&lt;wsp:rsid wsp:val=&quot;00CD3289&quot;/&gt;&lt;wsp:rsid wsp:val=&quot;00CD32A5&quot;/&gt;&lt;wsp:rsid wsp:val=&quot;00CD461D&quot;/&gt;&lt;wsp:rsid wsp:val=&quot;00CD4A31&quot;/&gt;&lt;wsp:rsid wsp:val=&quot;00CD5C8F&quot;/&gt;&lt;wsp:rsid wsp:val=&quot;00CD62D1&quot;/&gt;&lt;wsp:rsid wsp:val=&quot;00CD6C8D&quot;/&gt;&lt;wsp:rsid wsp:val=&quot;00CD765E&quot;/&gt;&lt;wsp:rsid wsp:val=&quot;00CD7BEB&quot;/&gt;&lt;wsp:rsid wsp:val=&quot;00CD7EBA&quot;/&gt;&lt;wsp:rsid wsp:val=&quot;00CE0926&quot;/&gt;&lt;wsp:rsid wsp:val=&quot;00CE1565&quot;/&gt;&lt;wsp:rsid wsp:val=&quot;00CE29DE&quot;/&gt;&lt;wsp:rsid wsp:val=&quot;00CE2C15&quot;/&gt;&lt;wsp:rsid wsp:val=&quot;00CE44AF&quot;/&gt;&lt;wsp:rsid wsp:val=&quot;00CE4B70&quot;/&gt;&lt;wsp:rsid wsp:val=&quot;00CE4B93&quot;/&gt;&lt;wsp:rsid wsp:val=&quot;00CE595B&quot;/&gt;&lt;wsp:rsid wsp:val=&quot;00CE5D2A&quot;/&gt;&lt;wsp:rsid wsp:val=&quot;00CE6830&quot;/&gt;&lt;wsp:rsid wsp:val=&quot;00CE70A2&quot;/&gt;&lt;wsp:rsid wsp:val=&quot;00CF1766&quot;/&gt;&lt;wsp:rsid wsp:val=&quot;00CF23BC&quot;/&gt;&lt;wsp:rsid wsp:val=&quot;00CF2C37&quot;/&gt;&lt;wsp:rsid wsp:val=&quot;00CF305D&quot;/&gt;&lt;wsp:rsid wsp:val=&quot;00CF3201&quot;/&gt;&lt;wsp:rsid wsp:val=&quot;00CF3E69&quot;/&gt;&lt;wsp:rsid wsp:val=&quot;00CF3FA3&quot;/&gt;&lt;wsp:rsid wsp:val=&quot;00CF4A52&quot;/&gt;&lt;wsp:rsid wsp:val=&quot;00CF4C70&quot;/&gt;&lt;wsp:rsid wsp:val=&quot;00CF5DD8&quot;/&gt;&lt;wsp:rsid wsp:val=&quot;00CF624F&quot;/&gt;&lt;wsp:rsid wsp:val=&quot;00CF6A29&quot;/&gt;&lt;wsp:rsid wsp:val=&quot;00CF7986&quot;/&gt;&lt;wsp:rsid wsp:val=&quot;00CF7AFA&quot;/&gt;&lt;wsp:rsid wsp:val=&quot;00CF7FA5&quot;/&gt;&lt;wsp:rsid wsp:val=&quot;00D00B39&quot;/&gt;&lt;wsp:rsid wsp:val=&quot;00D00F81&quot;/&gt;&lt;wsp:rsid wsp:val=&quot;00D012A0&quot;/&gt;&lt;wsp:rsid wsp:val=&quot;00D03F82&quot;/&gt;&lt;wsp:rsid wsp:val=&quot;00D04429&quot;/&gt;&lt;wsp:rsid wsp:val=&quot;00D046D9&quot;/&gt;&lt;wsp:rsid wsp:val=&quot;00D071AD&quot;/&gt;&lt;wsp:rsid wsp:val=&quot;00D07365&quot;/&gt;&lt;wsp:rsid wsp:val=&quot;00D0787A&quot;/&gt;&lt;wsp:rsid wsp:val=&quot;00D10450&quot;/&gt;&lt;wsp:rsid wsp:val=&quot;00D105C5&quot;/&gt;&lt;wsp:rsid wsp:val=&quot;00D1104A&quot;/&gt;&lt;wsp:rsid wsp:val=&quot;00D11FF2&quot;/&gt;&lt;wsp:rsid wsp:val=&quot;00D1215B&quot;/&gt;&lt;wsp:rsid wsp:val=&quot;00D12545&quot;/&gt;&lt;wsp:rsid wsp:val=&quot;00D12DE9&quot;/&gt;&lt;wsp:rsid wsp:val=&quot;00D13C1A&quot;/&gt;&lt;wsp:rsid wsp:val=&quot;00D153CD&quot;/&gt;&lt;wsp:rsid wsp:val=&quot;00D15D19&quot;/&gt;&lt;wsp:rsid wsp:val=&quot;00D16B7E&quot;/&gt;&lt;wsp:rsid wsp:val=&quot;00D200A3&quot;/&gt;&lt;wsp:rsid wsp:val=&quot;00D22813&quot;/&gt;&lt;wsp:rsid wsp:val=&quot;00D24106&quot;/&gt;&lt;wsp:rsid wsp:val=&quot;00D25428&quot;/&gt;&lt;wsp:rsid wsp:val=&quot;00D25809&quot;/&gt;&lt;wsp:rsid wsp:val=&quot;00D2663B&quot;/&gt;&lt;wsp:rsid wsp:val=&quot;00D27A83&quot;/&gt;&lt;wsp:rsid wsp:val=&quot;00D27B85&quot;/&gt;&lt;wsp:rsid wsp:val=&quot;00D30A2E&quot;/&gt;&lt;wsp:rsid wsp:val=&quot;00D316E6&quot;/&gt;&lt;wsp:rsid wsp:val=&quot;00D31954&quot;/&gt;&lt;wsp:rsid wsp:val=&quot;00D33870&quot;/&gt;&lt;wsp:rsid wsp:val=&quot;00D33C4A&quot;/&gt;&lt;wsp:rsid wsp:val=&quot;00D34B9E&quot;/&gt;&lt;wsp:rsid wsp:val=&quot;00D34E6A&quot;/&gt;&lt;wsp:rsid wsp:val=&quot;00D34EC6&quot;/&gt;&lt;wsp:rsid wsp:val=&quot;00D35394&quot;/&gt;&lt;wsp:rsid wsp:val=&quot;00D35780&quot;/&gt;&lt;wsp:rsid wsp:val=&quot;00D35CE6&quot;/&gt;&lt;wsp:rsid wsp:val=&quot;00D37BE4&quot;/&gt;&lt;wsp:rsid wsp:val=&quot;00D400A0&quot;/&gt;&lt;wsp:rsid wsp:val=&quot;00D4111D&quot;/&gt;&lt;wsp:rsid wsp:val=&quot;00D423B1&quot;/&gt;&lt;wsp:rsid wsp:val=&quot;00D42BA9&quot;/&gt;&lt;wsp:rsid wsp:val=&quot;00D43336&quot;/&gt;&lt;wsp:rsid wsp:val=&quot;00D43BCD&quot;/&gt;&lt;wsp:rsid wsp:val=&quot;00D44214&quot;/&gt;&lt;wsp:rsid wsp:val=&quot;00D44FF3&quot;/&gt;&lt;wsp:rsid wsp:val=&quot;00D45309&quot;/&gt;&lt;wsp:rsid wsp:val=&quot;00D45DEE&quot;/&gt;&lt;wsp:rsid wsp:val=&quot;00D4616B&quot;/&gt;&lt;wsp:rsid wsp:val=&quot;00D47E90&quot;/&gt;&lt;wsp:rsid wsp:val=&quot;00D50721&quot;/&gt;&lt;wsp:rsid wsp:val=&quot;00D52252&quot;/&gt;&lt;wsp:rsid wsp:val=&quot;00D525A1&quot;/&gt;&lt;wsp:rsid wsp:val=&quot;00D54609&quot;/&gt;&lt;wsp:rsid wsp:val=&quot;00D552FF&quot;/&gt;&lt;wsp:rsid wsp:val=&quot;00D55AE7&quot;/&gt;&lt;wsp:rsid wsp:val=&quot;00D56678&quot;/&gt;&lt;wsp:rsid wsp:val=&quot;00D5724B&quot;/&gt;&lt;wsp:rsid wsp:val=&quot;00D57424&quot;/&gt;&lt;wsp:rsid wsp:val=&quot;00D61D70&quot;/&gt;&lt;wsp:rsid wsp:val=&quot;00D61F4F&quot;/&gt;&lt;wsp:rsid wsp:val=&quot;00D620AF&quot;/&gt;&lt;wsp:rsid wsp:val=&quot;00D638A3&quot;/&gt;&lt;wsp:rsid wsp:val=&quot;00D65362&quot;/&gt;&lt;wsp:rsid wsp:val=&quot;00D65A9E&quot;/&gt;&lt;wsp:rsid wsp:val=&quot;00D660A7&quot;/&gt;&lt;wsp:rsid wsp:val=&quot;00D660F2&quot;/&gt;&lt;wsp:rsid wsp:val=&quot;00D66396&quot;/&gt;&lt;wsp:rsid wsp:val=&quot;00D66B61&quot;/&gt;&lt;wsp:rsid wsp:val=&quot;00D66FBB&quot;/&gt;&lt;wsp:rsid wsp:val=&quot;00D67A42&quot;/&gt;&lt;wsp:rsid wsp:val=&quot;00D67D82&quot;/&gt;&lt;wsp:rsid wsp:val=&quot;00D67E65&quot;/&gt;&lt;wsp:rsid wsp:val=&quot;00D71268&quot;/&gt;&lt;wsp:rsid wsp:val=&quot;00D71D2A&quot;/&gt;&lt;wsp:rsid wsp:val=&quot;00D72520&quot;/&gt;&lt;wsp:rsid wsp:val=&quot;00D729D1&quot;/&gt;&lt;wsp:rsid wsp:val=&quot;00D7348B&quot;/&gt;&lt;wsp:rsid wsp:val=&quot;00D734F3&quot;/&gt;&lt;wsp:rsid wsp:val=&quot;00D73502&quot;/&gt;&lt;wsp:rsid wsp:val=&quot;00D73C98&quot;/&gt;&lt;wsp:rsid wsp:val=&quot;00D73D39&quot;/&gt;&lt;wsp:rsid wsp:val=&quot;00D73F8D&quot;/&gt;&lt;wsp:rsid wsp:val=&quot;00D740AF&quot;/&gt;&lt;wsp:rsid wsp:val=&quot;00D74FCD&quot;/&gt;&lt;wsp:rsid wsp:val=&quot;00D75B74&quot;/&gt;&lt;wsp:rsid wsp:val=&quot;00D765F6&quot;/&gt;&lt;wsp:rsid wsp:val=&quot;00D76EFE&quot;/&gt;&lt;wsp:rsid wsp:val=&quot;00D778DF&quot;/&gt;&lt;wsp:rsid wsp:val=&quot;00D77C57&quot;/&gt;&lt;wsp:rsid wsp:val=&quot;00D77ECB&quot;/&gt;&lt;wsp:rsid wsp:val=&quot;00D80092&quot;/&gt;&lt;wsp:rsid wsp:val=&quot;00D803C3&quot;/&gt;&lt;wsp:rsid wsp:val=&quot;00D80A81&quot;/&gt;&lt;wsp:rsid wsp:val=&quot;00D81C96&quot;/&gt;&lt;wsp:rsid wsp:val=&quot;00D8267D&quot;/&gt;&lt;wsp:rsid wsp:val=&quot;00D82CDD&quot;/&gt;&lt;wsp:rsid wsp:val=&quot;00D8488A&quot;/&gt;&lt;wsp:rsid wsp:val=&quot;00D84DD9&quot;/&gt;&lt;wsp:rsid wsp:val=&quot;00D8523F&quot;/&gt;&lt;wsp:rsid wsp:val=&quot;00D85B95&quot;/&gt;&lt;wsp:rsid wsp:val=&quot;00D85FE3&quot;/&gt;&lt;wsp:rsid wsp:val=&quot;00D86408&quot;/&gt;&lt;wsp:rsid wsp:val=&quot;00D865DB&quot;/&gt;&lt;wsp:rsid wsp:val=&quot;00D867D9&quot;/&gt;&lt;wsp:rsid wsp:val=&quot;00D86E77&quot;/&gt;&lt;wsp:rsid wsp:val=&quot;00D86F69&quot;/&gt;&lt;wsp:rsid wsp:val=&quot;00D87BA7&quot;/&gt;&lt;wsp:rsid wsp:val=&quot;00D900D0&quot;/&gt;&lt;wsp:rsid wsp:val=&quot;00D90BF7&quot;/&gt;&lt;wsp:rsid wsp:val=&quot;00D90FF7&quot;/&gt;&lt;wsp:rsid wsp:val=&quot;00D918AC&quot;/&gt;&lt;wsp:rsid wsp:val=&quot;00D92926&quot;/&gt;&lt;wsp:rsid wsp:val=&quot;00D92DD7&quot;/&gt;&lt;wsp:rsid wsp:val=&quot;00D9310F&quot;/&gt;&lt;wsp:rsid wsp:val=&quot;00D93D0A&quot;/&gt;&lt;wsp:rsid wsp:val=&quot;00D9445A&quot;/&gt;&lt;wsp:rsid wsp:val=&quot;00D94700&quot;/&gt;&lt;wsp:rsid wsp:val=&quot;00D964CB&quot;/&gt;&lt;wsp:rsid wsp:val=&quot;00D96671&quot;/&gt;&lt;wsp:rsid wsp:val=&quot;00D97730&quot;/&gt;&lt;wsp:rsid wsp:val=&quot;00D97FDE&quot;/&gt;&lt;wsp:rsid wsp:val=&quot;00DA014B&quot;/&gt;&lt;wsp:rsid wsp:val=&quot;00DA0C63&quot;/&gt;&lt;wsp:rsid wsp:val=&quot;00DA10E7&quot;/&gt;&lt;wsp:rsid wsp:val=&quot;00DA166F&quot;/&gt;&lt;wsp:rsid wsp:val=&quot;00DA1CF2&quot;/&gt;&lt;wsp:rsid wsp:val=&quot;00DA1D62&quot;/&gt;&lt;wsp:rsid wsp:val=&quot;00DA23D6&quot;/&gt;&lt;wsp:rsid wsp:val=&quot;00DA2402&quot;/&gt;&lt;wsp:rsid wsp:val=&quot;00DA24C4&quot;/&gt;&lt;wsp:rsid wsp:val=&quot;00DA338C&quot;/&gt;&lt;wsp:rsid wsp:val=&quot;00DA48C1&quot;/&gt;&lt;wsp:rsid wsp:val=&quot;00DA4E72&quot;/&gt;&lt;wsp:rsid wsp:val=&quot;00DA4F16&quot;/&gt;&lt;wsp:rsid wsp:val=&quot;00DA546D&quot;/&gt;&lt;wsp:rsid wsp:val=&quot;00DA5642&quot;/&gt;&lt;wsp:rsid wsp:val=&quot;00DA5B07&quot;/&gt;&lt;wsp:rsid wsp:val=&quot;00DB04A1&quot;/&gt;&lt;wsp:rsid wsp:val=&quot;00DB09D8&quot;/&gt;&lt;wsp:rsid wsp:val=&quot;00DB0F76&quot;/&gt;&lt;wsp:rsid wsp:val=&quot;00DB2136&quot;/&gt;&lt;wsp:rsid wsp:val=&quot;00DB2EE0&quot;/&gt;&lt;wsp:rsid wsp:val=&quot;00DB33B4&quot;/&gt;&lt;wsp:rsid wsp:val=&quot;00DB357B&quot;/&gt;&lt;wsp:rsid wsp:val=&quot;00DB39D3&quot;/&gt;&lt;wsp:rsid wsp:val=&quot;00DB45CE&quot;/&gt;&lt;wsp:rsid wsp:val=&quot;00DB471A&quot;/&gt;&lt;wsp:rsid wsp:val=&quot;00DB50C3&quot;/&gt;&lt;wsp:rsid wsp:val=&quot;00DB51DC&quot;/&gt;&lt;wsp:rsid wsp:val=&quot;00DB5C12&quot;/&gt;&lt;wsp:rsid wsp:val=&quot;00DB6EB2&quot;/&gt;&lt;wsp:rsid wsp:val=&quot;00DB700E&quot;/&gt;&lt;wsp:rsid wsp:val=&quot;00DB72A3&quot;/&gt;&lt;wsp:rsid wsp:val=&quot;00DB73EA&quot;/&gt;&lt;wsp:rsid wsp:val=&quot;00DB7571&quot;/&gt;&lt;wsp:rsid wsp:val=&quot;00DC0927&quot;/&gt;&lt;wsp:rsid wsp:val=&quot;00DC0950&quot;/&gt;&lt;wsp:rsid wsp:val=&quot;00DC0E2C&quot;/&gt;&lt;wsp:rsid wsp:val=&quot;00DC1AC8&quot;/&gt;&lt;wsp:rsid wsp:val=&quot;00DC1F39&quot;/&gt;&lt;wsp:rsid wsp:val=&quot;00DC257E&quot;/&gt;&lt;wsp:rsid wsp:val=&quot;00DC3BEB&quot;/&gt;&lt;wsp:rsid wsp:val=&quot;00DC45C3&quot;/&gt;&lt;wsp:rsid wsp:val=&quot;00DC45F9&quot;/&gt;&lt;wsp:rsid wsp:val=&quot;00DC5CB5&quot;/&gt;&lt;wsp:rsid wsp:val=&quot;00DC718B&quot;/&gt;&lt;wsp:rsid wsp:val=&quot;00DC772E&quot;/&gt;&lt;wsp:rsid wsp:val=&quot;00DD0ACF&quot;/&gt;&lt;wsp:rsid wsp:val=&quot;00DD12A0&quot;/&gt;&lt;wsp:rsid wsp:val=&quot;00DD17C9&quot;/&gt;&lt;wsp:rsid wsp:val=&quot;00DD298F&quot;/&gt;&lt;wsp:rsid wsp:val=&quot;00DD29AB&quot;/&gt;&lt;wsp:rsid wsp:val=&quot;00DD34AB&quot;/&gt;&lt;wsp:rsid wsp:val=&quot;00DD3963&quot;/&gt;&lt;wsp:rsid wsp:val=&quot;00DD3EA5&quot;/&gt;&lt;wsp:rsid wsp:val=&quot;00DD5906&quot;/&gt;&lt;wsp:rsid wsp:val=&quot;00DD668D&quot;/&gt;&lt;wsp:rsid wsp:val=&quot;00DD756A&quot;/&gt;&lt;wsp:rsid wsp:val=&quot;00DD75F5&quot;/&gt;&lt;wsp:rsid wsp:val=&quot;00DE03C0&quot;/&gt;&lt;wsp:rsid wsp:val=&quot;00DE0832&quot;/&gt;&lt;wsp:rsid wsp:val=&quot;00DE0E39&quot;/&gt;&lt;wsp:rsid wsp:val=&quot;00DE1AC2&quot;/&gt;&lt;wsp:rsid wsp:val=&quot;00DE1E2A&quot;/&gt;&lt;wsp:rsid wsp:val=&quot;00DE1F76&quot;/&gt;&lt;wsp:rsid wsp:val=&quot;00DE24FE&quot;/&gt;&lt;wsp:rsid wsp:val=&quot;00DE29C1&quot;/&gt;&lt;wsp:rsid wsp:val=&quot;00DE399F&quot;/&gt;&lt;wsp:rsid wsp:val=&quot;00DE4047&quot;/&gt;&lt;wsp:rsid wsp:val=&quot;00DE40E8&quot;/&gt;&lt;wsp:rsid wsp:val=&quot;00DE42EA&quot;/&gt;&lt;wsp:rsid wsp:val=&quot;00DE469A&quot;/&gt;&lt;wsp:rsid wsp:val=&quot;00DE4822&quot;/&gt;&lt;wsp:rsid wsp:val=&quot;00DE5538&quot;/&gt;&lt;wsp:rsid wsp:val=&quot;00DE57A3&quot;/&gt;&lt;wsp:rsid wsp:val=&quot;00DE62DA&quot;/&gt;&lt;wsp:rsid wsp:val=&quot;00DE6B61&quot;/&gt;&lt;wsp:rsid wsp:val=&quot;00DE6F06&quot;/&gt;&lt;wsp:rsid wsp:val=&quot;00DE6FBE&quot;/&gt;&lt;wsp:rsid wsp:val=&quot;00DE7945&quot;/&gt;&lt;wsp:rsid wsp:val=&quot;00DE7FDD&quot;/&gt;&lt;wsp:rsid wsp:val=&quot;00DF01CB&quot;/&gt;&lt;wsp:rsid wsp:val=&quot;00DF03DA&quot;/&gt;&lt;wsp:rsid wsp:val=&quot;00DF09C5&quot;/&gt;&lt;wsp:rsid wsp:val=&quot;00DF2835&quot;/&gt;&lt;wsp:rsid wsp:val=&quot;00DF291C&quot;/&gt;&lt;wsp:rsid wsp:val=&quot;00DF2EF4&quot;/&gt;&lt;wsp:rsid wsp:val=&quot;00DF3242&quot;/&gt;&lt;wsp:rsid wsp:val=&quot;00DF39E8&quot;/&gt;&lt;wsp:rsid wsp:val=&quot;00DF3C0D&quot;/&gt;&lt;wsp:rsid wsp:val=&quot;00DF404A&quot;/&gt;&lt;wsp:rsid wsp:val=&quot;00DF4229&quot;/&gt;&lt;wsp:rsid wsp:val=&quot;00DF451B&quot;/&gt;&lt;wsp:rsid wsp:val=&quot;00DF4952&quot;/&gt;&lt;wsp:rsid wsp:val=&quot;00DF4A7C&quot;/&gt;&lt;wsp:rsid wsp:val=&quot;00DF6229&quot;/&gt;&lt;wsp:rsid wsp:val=&quot;00DF719C&quot;/&gt;&lt;wsp:rsid wsp:val=&quot;00DF727B&quot;/&gt;&lt;wsp:rsid wsp:val=&quot;00DF7CC1&quot;/&gt;&lt;wsp:rsid wsp:val=&quot;00DF7D2D&quot;/&gt;&lt;wsp:rsid wsp:val=&quot;00E00668&quot;/&gt;&lt;wsp:rsid wsp:val=&quot;00E008AD&quot;/&gt;&lt;wsp:rsid wsp:val=&quot;00E00947&quot;/&gt;&lt;wsp:rsid wsp:val=&quot;00E00CED&quot;/&gt;&lt;wsp:rsid wsp:val=&quot;00E0275B&quot;/&gt;&lt;wsp:rsid wsp:val=&quot;00E02D60&quot;/&gt;&lt;wsp:rsid wsp:val=&quot;00E040A6&quot;/&gt;&lt;wsp:rsid wsp:val=&quot;00E056CA&quot;/&gt;&lt;wsp:rsid wsp:val=&quot;00E06A32&quot;/&gt;&lt;wsp:rsid wsp:val=&quot;00E071FC&quot;/&gt;&lt;wsp:rsid wsp:val=&quot;00E07E8D&quot;/&gt;&lt;wsp:rsid wsp:val=&quot;00E1062F&quot;/&gt;&lt;wsp:rsid wsp:val=&quot;00E1068A&quot;/&gt;&lt;wsp:rsid wsp:val=&quot;00E109A2&quot;/&gt;&lt;wsp:rsid wsp:val=&quot;00E11B20&quot;/&gt;&lt;wsp:rsid wsp:val=&quot;00E11FCF&quot;/&gt;&lt;wsp:rsid wsp:val=&quot;00E12D9C&quot;/&gt;&lt;wsp:rsid wsp:val=&quot;00E12FBC&quot;/&gt;&lt;wsp:rsid wsp:val=&quot;00E131E7&quot;/&gt;&lt;wsp:rsid wsp:val=&quot;00E142EE&quot;/&gt;&lt;wsp:rsid wsp:val=&quot;00E1603E&quot;/&gt;&lt;wsp:rsid wsp:val=&quot;00E16244&quot;/&gt;&lt;wsp:rsid wsp:val=&quot;00E168B8&quot;/&gt;&lt;wsp:rsid wsp:val=&quot;00E17373&quot;/&gt;&lt;wsp:rsid wsp:val=&quot;00E207B3&quot;/&gt;&lt;wsp:rsid wsp:val=&quot;00E20D0F&quot;/&gt;&lt;wsp:rsid wsp:val=&quot;00E20DC4&quot;/&gt;&lt;wsp:rsid wsp:val=&quot;00E224AB&quot;/&gt;&lt;wsp:rsid wsp:val=&quot;00E232F5&quot;/&gt;&lt;wsp:rsid wsp:val=&quot;00E23C21&quot;/&gt;&lt;wsp:rsid wsp:val=&quot;00E25412&quot;/&gt;&lt;wsp:rsid wsp:val=&quot;00E25DA4&quot;/&gt;&lt;wsp:rsid wsp:val=&quot;00E30049&quot;/&gt;&lt;wsp:rsid wsp:val=&quot;00E30473&quot;/&gt;&lt;wsp:rsid wsp:val=&quot;00E314A4&quot;/&gt;&lt;wsp:rsid wsp:val=&quot;00E31951&quot;/&gt;&lt;wsp:rsid wsp:val=&quot;00E321D4&quot;/&gt;&lt;wsp:rsid wsp:val=&quot;00E328D8&quot;/&gt;&lt;wsp:rsid wsp:val=&quot;00E32D18&quot;/&gt;&lt;wsp:rsid wsp:val=&quot;00E33880&quot;/&gt;&lt;wsp:rsid wsp:val=&quot;00E33E0F&quot;/&gt;&lt;wsp:rsid wsp:val=&quot;00E34124&quot;/&gt;&lt;wsp:rsid wsp:val=&quot;00E34A18&quot;/&gt;&lt;wsp:rsid wsp:val=&quot;00E34B95&quot;/&gt;&lt;wsp:rsid wsp:val=&quot;00E35893&quot;/&gt;&lt;wsp:rsid wsp:val=&quot;00E36362&quot;/&gt;&lt;wsp:rsid wsp:val=&quot;00E36596&quot;/&gt;&lt;wsp:rsid wsp:val=&quot;00E36780&quot;/&gt;&lt;wsp:rsid wsp:val=&quot;00E3798B&quot;/&gt;&lt;wsp:rsid wsp:val=&quot;00E40253&quot;/&gt;&lt;wsp:rsid wsp:val=&quot;00E40A55&quot;/&gt;&lt;wsp:rsid wsp:val=&quot;00E40AA4&quot;/&gt;&lt;wsp:rsid wsp:val=&quot;00E418BF&quot;/&gt;&lt;wsp:rsid wsp:val=&quot;00E41B16&quot;/&gt;&lt;wsp:rsid wsp:val=&quot;00E41E25&quot;/&gt;&lt;wsp:rsid wsp:val=&quot;00E42722&quot;/&gt;&lt;wsp:rsid wsp:val=&quot;00E43232&quot;/&gt;&lt;wsp:rsid wsp:val=&quot;00E4477C&quot;/&gt;&lt;wsp:rsid wsp:val=&quot;00E44A66&quot;/&gt;&lt;wsp:rsid wsp:val=&quot;00E45390&quot;/&gt;&lt;wsp:rsid wsp:val=&quot;00E46454&quot;/&gt;&lt;wsp:rsid wsp:val=&quot;00E46C16&quot;/&gt;&lt;wsp:rsid wsp:val=&quot;00E46F4D&quot;/&gt;&lt;wsp:rsid wsp:val=&quot;00E50D29&quot;/&gt;&lt;wsp:rsid wsp:val=&quot;00E51C3C&quot;/&gt;&lt;wsp:rsid wsp:val=&quot;00E51E9E&quot;/&gt;&lt;wsp:rsid wsp:val=&quot;00E526E3&quot;/&gt;&lt;wsp:rsid wsp:val=&quot;00E53C64&quot;/&gt;&lt;wsp:rsid wsp:val=&quot;00E53D1E&quot;/&gt;&lt;wsp:rsid wsp:val=&quot;00E53EDF&quot;/&gt;&lt;wsp:rsid wsp:val=&quot;00E54665&quot;/&gt;&lt;wsp:rsid wsp:val=&quot;00E5469E&quot;/&gt;&lt;wsp:rsid wsp:val=&quot;00E5560F&quot;/&gt;&lt;wsp:rsid wsp:val=&quot;00E60A39&quot;/&gt;&lt;wsp:rsid wsp:val=&quot;00E62A4B&quot;/&gt;&lt;wsp:rsid wsp:val=&quot;00E62B80&quot;/&gt;&lt;wsp:rsid wsp:val=&quot;00E633B3&quot;/&gt;&lt;wsp:rsid wsp:val=&quot;00E637A5&quot;/&gt;&lt;wsp:rsid wsp:val=&quot;00E65BD6&quot;/&gt;&lt;wsp:rsid wsp:val=&quot;00E66F8E&quot;/&gt;&lt;wsp:rsid wsp:val=&quot;00E673FC&quot;/&gt;&lt;wsp:rsid wsp:val=&quot;00E67635&quot;/&gt;&lt;wsp:rsid wsp:val=&quot;00E708D9&quot;/&gt;&lt;wsp:rsid wsp:val=&quot;00E7169B&quot;/&gt;&lt;wsp:rsid wsp:val=&quot;00E71AC1&quot;/&gt;&lt;wsp:rsid wsp:val=&quot;00E72296&quot;/&gt;&lt;wsp:rsid wsp:val=&quot;00E7262A&quot;/&gt;&lt;wsp:rsid wsp:val=&quot;00E72DE9&quot;/&gt;&lt;wsp:rsid wsp:val=&quot;00E73276&quot;/&gt;&lt;wsp:rsid wsp:val=&quot;00E73B43&quot;/&gt;&lt;wsp:rsid wsp:val=&quot;00E74960&quot;/&gt;&lt;wsp:rsid wsp:val=&quot;00E75720&quot;/&gt;&lt;wsp:rsid wsp:val=&quot;00E765A5&quot;/&gt;&lt;wsp:rsid wsp:val=&quot;00E772E0&quot;/&gt;&lt;wsp:rsid wsp:val=&quot;00E77437&quot;/&gt;&lt;wsp:rsid wsp:val=&quot;00E7755F&quot;/&gt;&lt;wsp:rsid wsp:val=&quot;00E77794&quot;/&gt;&lt;wsp:rsid wsp:val=&quot;00E77982&quot;/&gt;&lt;wsp:rsid wsp:val=&quot;00E77FF6&quot;/&gt;&lt;wsp:rsid wsp:val=&quot;00E8054F&quot;/&gt;&lt;wsp:rsid wsp:val=&quot;00E80697&quot;/&gt;&lt;wsp:rsid wsp:val=&quot;00E80CBF&quot;/&gt;&lt;wsp:rsid wsp:val=&quot;00E82270&quot;/&gt;&lt;wsp:rsid wsp:val=&quot;00E83159&quot;/&gt;&lt;wsp:rsid wsp:val=&quot;00E83330&quot;/&gt;&lt;wsp:rsid wsp:val=&quot;00E8439C&quot;/&gt;&lt;wsp:rsid wsp:val=&quot;00E844B9&quot;/&gt;&lt;wsp:rsid wsp:val=&quot;00E85E1C&quot;/&gt;&lt;wsp:rsid wsp:val=&quot;00E85FAA&quot;/&gt;&lt;wsp:rsid wsp:val=&quot;00E86879&quot;/&gt;&lt;wsp:rsid wsp:val=&quot;00E86966&quot;/&gt;&lt;wsp:rsid wsp:val=&quot;00E86C8E&quot;/&gt;&lt;wsp:rsid wsp:val=&quot;00E86EFE&quot;/&gt;&lt;wsp:rsid wsp:val=&quot;00E87474&quot;/&gt;&lt;wsp:rsid wsp:val=&quot;00E876E6&quot;/&gt;&lt;wsp:rsid wsp:val=&quot;00E87B30&quot;/&gt;&lt;wsp:rsid wsp:val=&quot;00E902A1&quot;/&gt;&lt;wsp:rsid wsp:val=&quot;00E90431&quot;/&gt;&lt;wsp:rsid wsp:val=&quot;00E906B8&quot;/&gt;&lt;wsp:rsid wsp:val=&quot;00E907F3&quot;/&gt;&lt;wsp:rsid wsp:val=&quot;00E91A71&quot;/&gt;&lt;wsp:rsid wsp:val=&quot;00E91AF8&quot;/&gt;&lt;wsp:rsid wsp:val=&quot;00E92F73&quot;/&gt;&lt;wsp:rsid wsp:val=&quot;00E9476E&quot;/&gt;&lt;wsp:rsid wsp:val=&quot;00E94A6B&quot;/&gt;&lt;wsp:rsid wsp:val=&quot;00E951B3&quot;/&gt;&lt;wsp:rsid wsp:val=&quot;00E95C56&quot;/&gt;&lt;wsp:rsid wsp:val=&quot;00E9675A&quot;/&gt;&lt;wsp:rsid wsp:val=&quot;00E97114&quot;/&gt;&lt;wsp:rsid wsp:val=&quot;00EA0072&quot;/&gt;&lt;wsp:rsid wsp:val=&quot;00EA00C7&quot;/&gt;&lt;wsp:rsid wsp:val=&quot;00EA0248&quot;/&gt;&lt;wsp:rsid wsp:val=&quot;00EA034A&quot;/&gt;&lt;wsp:rsid wsp:val=&quot;00EA0891&quot;/&gt;&lt;wsp:rsid wsp:val=&quot;00EA16A7&quot;/&gt;&lt;wsp:rsid wsp:val=&quot;00EA3462&quot;/&gt;&lt;wsp:rsid wsp:val=&quot;00EA34B9&quot;/&gt;&lt;wsp:rsid wsp:val=&quot;00EA3D0F&quot;/&gt;&lt;wsp:rsid wsp:val=&quot;00EA3E2E&quot;/&gt;&lt;wsp:rsid wsp:val=&quot;00EA46C4&quot;/&gt;&lt;wsp:rsid wsp:val=&quot;00EA4702&quot;/&gt;&lt;wsp:rsid wsp:val=&quot;00EA5114&quot;/&gt;&lt;wsp:rsid wsp:val=&quot;00EA5DD0&quot;/&gt;&lt;wsp:rsid wsp:val=&quot;00EA6D3E&quot;/&gt;&lt;wsp:rsid wsp:val=&quot;00EA72FC&quot;/&gt;&lt;wsp:rsid wsp:val=&quot;00EB064B&quot;/&gt;&lt;wsp:rsid wsp:val=&quot;00EB0E64&quot;/&gt;&lt;wsp:rsid wsp:val=&quot;00EB1802&quot;/&gt;&lt;wsp:rsid wsp:val=&quot;00EB337F&quot;/&gt;&lt;wsp:rsid wsp:val=&quot;00EB3B5E&quot;/&gt;&lt;wsp:rsid wsp:val=&quot;00EB40FD&quot;/&gt;&lt;wsp:rsid wsp:val=&quot;00EB42C8&quot;/&gt;&lt;wsp:rsid wsp:val=&quot;00EB4A9C&quot;/&gt;&lt;wsp:rsid wsp:val=&quot;00EB550B&quot;/&gt;&lt;wsp:rsid wsp:val=&quot;00EB5A42&quot;/&gt;&lt;wsp:rsid wsp:val=&quot;00EB65BE&quot;/&gt;&lt;wsp:rsid wsp:val=&quot;00EB7836&quot;/&gt;&lt;wsp:rsid wsp:val=&quot;00EC0C52&quot;/&gt;&lt;wsp:rsid wsp:val=&quot;00EC0FDF&quot;/&gt;&lt;wsp:rsid wsp:val=&quot;00EC12BA&quot;/&gt;&lt;wsp:rsid wsp:val=&quot;00EC1792&quot;/&gt;&lt;wsp:rsid wsp:val=&quot;00EC1E07&quot;/&gt;&lt;wsp:rsid wsp:val=&quot;00EC23BC&quot;/&gt;&lt;wsp:rsid wsp:val=&quot;00EC3D3C&quot;/&gt;&lt;wsp:rsid wsp:val=&quot;00EC5C1C&quot;/&gt;&lt;wsp:rsid wsp:val=&quot;00EC7320&quot;/&gt;&lt;wsp:rsid wsp:val=&quot;00EC7950&quot;/&gt;&lt;wsp:rsid wsp:val=&quot;00ED0770&quot;/&gt;&lt;wsp:rsid wsp:val=&quot;00ED1D23&quot;/&gt;&lt;wsp:rsid wsp:val=&quot;00ED20B0&quot;/&gt;&lt;wsp:rsid wsp:val=&quot;00ED23F2&quot;/&gt;&lt;wsp:rsid wsp:val=&quot;00ED25C7&quot;/&gt;&lt;wsp:rsid wsp:val=&quot;00ED2675&quot;/&gt;&lt;wsp:rsid wsp:val=&quot;00ED29B7&quot;/&gt;&lt;wsp:rsid wsp:val=&quot;00ED2D21&quot;/&gt;&lt;wsp:rsid wsp:val=&quot;00ED3D05&quot;/&gt;&lt;wsp:rsid wsp:val=&quot;00ED5DBB&quot;/&gt;&lt;wsp:rsid wsp:val=&quot;00ED5EE5&quot;/&gt;&lt;wsp:rsid wsp:val=&quot;00ED6D43&quot;/&gt;&lt;wsp:rsid wsp:val=&quot;00ED6F8A&quot;/&gt;&lt;wsp:rsid wsp:val=&quot;00EE09A7&quot;/&gt;&lt;wsp:rsid wsp:val=&quot;00EE0F18&quot;/&gt;&lt;wsp:rsid wsp:val=&quot;00EE11D6&quot;/&gt;&lt;wsp:rsid wsp:val=&quot;00EE17D0&quot;/&gt;&lt;wsp:rsid wsp:val=&quot;00EE24DF&quot;/&gt;&lt;wsp:rsid wsp:val=&quot;00EE25DB&quot;/&gt;&lt;wsp:rsid wsp:val=&quot;00EE28CA&quot;/&gt;&lt;wsp:rsid wsp:val=&quot;00EE2A6E&quot;/&gt;&lt;wsp:rsid wsp:val=&quot;00EE2C80&quot;/&gt;&lt;wsp:rsid wsp:val=&quot;00EE364B&quot;/&gt;&lt;wsp:rsid wsp:val=&quot;00EE4E83&quot;/&gt;&lt;wsp:rsid wsp:val=&quot;00EE5419&quot;/&gt;&lt;wsp:rsid wsp:val=&quot;00EE57EA&quot;/&gt;&lt;wsp:rsid wsp:val=&quot;00EE5FC4&quot;/&gt;&lt;wsp:rsid wsp:val=&quot;00EE68C8&quot;/&gt;&lt;wsp:rsid wsp:val=&quot;00EE7589&quot;/&gt;&lt;wsp:rsid wsp:val=&quot;00EE7937&quot;/&gt;&lt;wsp:rsid wsp:val=&quot;00EE7CE4&quot;/&gt;&lt;wsp:rsid wsp:val=&quot;00EF1A59&quot;/&gt;&lt;wsp:rsid wsp:val=&quot;00EF1C7B&quot;/&gt;&lt;wsp:rsid wsp:val=&quot;00EF2574&quot;/&gt;&lt;wsp:rsid wsp:val=&quot;00EF2D00&quot;/&gt;&lt;wsp:rsid wsp:val=&quot;00EF33BD&quot;/&gt;&lt;wsp:rsid wsp:val=&quot;00EF3987&quot;/&gt;&lt;wsp:rsid wsp:val=&quot;00EF3D29&quot;/&gt;&lt;wsp:rsid wsp:val=&quot;00EF46ED&quot;/&gt;&lt;wsp:rsid wsp:val=&quot;00EF4859&quot;/&gt;&lt;wsp:rsid wsp:val=&quot;00EF495D&quot;/&gt;&lt;wsp:rsid wsp:val=&quot;00EF4ECE&quot;/&gt;&lt;wsp:rsid wsp:val=&quot;00EF50C1&quot;/&gt;&lt;wsp:rsid wsp:val=&quot;00EF5D95&quot;/&gt;&lt;wsp:rsid wsp:val=&quot;00EF5E03&quot;/&gt;&lt;wsp:rsid wsp:val=&quot;00F0011F&quot;/&gt;&lt;wsp:rsid wsp:val=&quot;00F00679&quot;/&gt;&lt;wsp:rsid wsp:val=&quot;00F01902&quot;/&gt;&lt;wsp:rsid wsp:val=&quot;00F0194D&quot;/&gt;&lt;wsp:rsid wsp:val=&quot;00F01A26&quot;/&gt;&lt;wsp:rsid wsp:val=&quot;00F025C2&quot;/&gt;&lt;wsp:rsid wsp:val=&quot;00F02EDE&quot;/&gt;&lt;wsp:rsid wsp:val=&quot;00F030AF&quot;/&gt;&lt;wsp:rsid wsp:val=&quot;00F04F26&quot;/&gt;&lt;wsp:rsid wsp:val=&quot;00F05FA2&quot;/&gt;&lt;wsp:rsid wsp:val=&quot;00F06072&quot;/&gt;&lt;wsp:rsid wsp:val=&quot;00F065C0&quot;/&gt;&lt;wsp:rsid wsp:val=&quot;00F06719&quot;/&gt;&lt;wsp:rsid wsp:val=&quot;00F07AD2&quot;/&gt;&lt;wsp:rsid wsp:val=&quot;00F102E4&quot;/&gt;&lt;wsp:rsid wsp:val=&quot;00F102FF&quot;/&gt;&lt;wsp:rsid wsp:val=&quot;00F103DA&quot;/&gt;&lt;wsp:rsid wsp:val=&quot;00F10686&quot;/&gt;&lt;wsp:rsid wsp:val=&quot;00F10770&quot;/&gt;&lt;wsp:rsid wsp:val=&quot;00F1093D&quot;/&gt;&lt;wsp:rsid wsp:val=&quot;00F10B88&quot;/&gt;&lt;wsp:rsid wsp:val=&quot;00F1184B&quot;/&gt;&lt;wsp:rsid wsp:val=&quot;00F1191F&quot;/&gt;&lt;wsp:rsid wsp:val=&quot;00F12C05&quot;/&gt;&lt;wsp:rsid wsp:val=&quot;00F1334F&quot;/&gt;&lt;wsp:rsid wsp:val=&quot;00F13B01&quot;/&gt;&lt;wsp:rsid wsp:val=&quot;00F142D4&quot;/&gt;&lt;wsp:rsid wsp:val=&quot;00F145B7&quot;/&gt;&lt;wsp:rsid wsp:val=&quot;00F14806&quot;/&gt;&lt;wsp:rsid wsp:val=&quot;00F14B08&quot;/&gt;&lt;wsp:rsid wsp:val=&quot;00F14C16&quot;/&gt;&lt;wsp:rsid wsp:val=&quot;00F14FF3&quot;/&gt;&lt;wsp:rsid wsp:val=&quot;00F150ED&quot;/&gt;&lt;wsp:rsid wsp:val=&quot;00F166B4&quot;/&gt;&lt;wsp:rsid wsp:val=&quot;00F17474&quot;/&gt;&lt;wsp:rsid wsp:val=&quot;00F1795A&quot;/&gt;&lt;wsp:rsid wsp:val=&quot;00F203D7&quot;/&gt;&lt;wsp:rsid wsp:val=&quot;00F20BEF&quot;/&gt;&lt;wsp:rsid wsp:val=&quot;00F20E3C&quot;/&gt;&lt;wsp:rsid wsp:val=&quot;00F213AE&quot;/&gt;&lt;wsp:rsid wsp:val=&quot;00F21AE9&quot;/&gt;&lt;wsp:rsid wsp:val=&quot;00F22079&quot;/&gt;&lt;wsp:rsid wsp:val=&quot;00F23C73&quot;/&gt;&lt;wsp:rsid wsp:val=&quot;00F23F44&quot;/&gt;&lt;wsp:rsid wsp:val=&quot;00F24770&quot;/&gt;&lt;wsp:rsid wsp:val=&quot;00F24B2B&quot;/&gt;&lt;wsp:rsid wsp:val=&quot;00F24D3A&quot;/&gt;&lt;wsp:rsid wsp:val=&quot;00F2567D&quot;/&gt;&lt;wsp:rsid wsp:val=&quot;00F25DE3&quot;/&gt;&lt;wsp:rsid wsp:val=&quot;00F26A56&quot;/&gt;&lt;wsp:rsid wsp:val=&quot;00F26E1B&quot;/&gt;&lt;wsp:rsid wsp:val=&quot;00F27875&quot;/&gt;&lt;wsp:rsid wsp:val=&quot;00F27BFB&quot;/&gt;&lt;wsp:rsid wsp:val=&quot;00F30009&quot;/&gt;&lt;wsp:rsid wsp:val=&quot;00F30E56&quot;/&gt;&lt;wsp:rsid wsp:val=&quot;00F31754&quot;/&gt;&lt;wsp:rsid wsp:val=&quot;00F31DB1&quot;/&gt;&lt;wsp:rsid wsp:val=&quot;00F31F4B&quot;/&gt;&lt;wsp:rsid wsp:val=&quot;00F32DAF&quot;/&gt;&lt;wsp:rsid wsp:val=&quot;00F33C84&quot;/&gt;&lt;wsp:rsid wsp:val=&quot;00F34990&quot;/&gt;&lt;wsp:rsid wsp:val=&quot;00F34B53&quot;/&gt;&lt;wsp:rsid wsp:val=&quot;00F34FA1&quot;/&gt;&lt;wsp:rsid wsp:val=&quot;00F372F1&quot;/&gt;&lt;wsp:rsid wsp:val=&quot;00F3753B&quot;/&gt;&lt;wsp:rsid wsp:val=&quot;00F37586&quot;/&gt;&lt;wsp:rsid wsp:val=&quot;00F37AA7&quot;/&gt;&lt;wsp:rsid wsp:val=&quot;00F37D99&quot;/&gt;&lt;wsp:rsid wsp:val=&quot;00F40002&quot;/&gt;&lt;wsp:rsid wsp:val=&quot;00F400F3&quot;/&gt;&lt;wsp:rsid wsp:val=&quot;00F40EB6&quot;/&gt;&lt;wsp:rsid wsp:val=&quot;00F40F58&quot;/&gt;&lt;wsp:rsid wsp:val=&quot;00F4174E&quot;/&gt;&lt;wsp:rsid wsp:val=&quot;00F42483&quot;/&gt;&lt;wsp:rsid wsp:val=&quot;00F42764&quot;/&gt;&lt;wsp:rsid wsp:val=&quot;00F429E7&quot;/&gt;&lt;wsp:rsid wsp:val=&quot;00F441CE&quot;/&gt;&lt;wsp:rsid wsp:val=&quot;00F448EB&quot;/&gt;&lt;wsp:rsid wsp:val=&quot;00F45B7A&quot;/&gt;&lt;wsp:rsid wsp:val=&quot;00F4664C&quot;/&gt;&lt;wsp:rsid wsp:val=&quot;00F476DF&quot;/&gt;&lt;wsp:rsid wsp:val=&quot;00F50152&quot;/&gt;&lt;wsp:rsid wsp:val=&quot;00F50459&quot;/&gt;&lt;wsp:rsid wsp:val=&quot;00F509DF&quot;/&gt;&lt;wsp:rsid wsp:val=&quot;00F5109D&quot;/&gt;&lt;wsp:rsid wsp:val=&quot;00F5189E&quot;/&gt;&lt;wsp:rsid wsp:val=&quot;00F52051&quot;/&gt;&lt;wsp:rsid wsp:val=&quot;00F5274A&quot;/&gt;&lt;wsp:rsid wsp:val=&quot;00F55870&quot;/&gt;&lt;wsp:rsid wsp:val=&quot;00F5610F&quot;/&gt;&lt;wsp:rsid wsp:val=&quot;00F561DB&quot;/&gt;&lt;wsp:rsid wsp:val=&quot;00F564AF&quot;/&gt;&lt;wsp:rsid wsp:val=&quot;00F56979&quot;/&gt;&lt;wsp:rsid wsp:val=&quot;00F5697F&quot;/&gt;&lt;wsp:rsid wsp:val=&quot;00F572F2&quot;/&gt;&lt;wsp:rsid wsp:val=&quot;00F574E4&quot;/&gt;&lt;wsp:rsid wsp:val=&quot;00F57796&quot;/&gt;&lt;wsp:rsid wsp:val=&quot;00F57977&quot;/&gt;&lt;wsp:rsid wsp:val=&quot;00F57C6D&quot;/&gt;&lt;wsp:rsid wsp:val=&quot;00F60B0C&quot;/&gt;&lt;wsp:rsid wsp:val=&quot;00F622AD&quot;/&gt;&lt;wsp:rsid wsp:val=&quot;00F63878&quot;/&gt;&lt;wsp:rsid wsp:val=&quot;00F6540B&quot;/&gt;&lt;wsp:rsid wsp:val=&quot;00F65810&quot;/&gt;&lt;wsp:rsid wsp:val=&quot;00F67332&quot;/&gt;&lt;wsp:rsid wsp:val=&quot;00F673AD&quot;/&gt;&lt;wsp:rsid wsp:val=&quot;00F674B3&quot;/&gt;&lt;wsp:rsid wsp:val=&quot;00F67692&quot;/&gt;&lt;wsp:rsid wsp:val=&quot;00F70135&quot;/&gt;&lt;wsp:rsid wsp:val=&quot;00F70385&quot;/&gt;&lt;wsp:rsid wsp:val=&quot;00F70B89&quot;/&gt;&lt;wsp:rsid wsp:val=&quot;00F72125&quot;/&gt;&lt;wsp:rsid wsp:val=&quot;00F7213D&quot;/&gt;&lt;wsp:rsid wsp:val=&quot;00F7231A&quot;/&gt;&lt;wsp:rsid wsp:val=&quot;00F72ECA&quot;/&gt;&lt;wsp:rsid wsp:val=&quot;00F735EC&quot;/&gt;&lt;wsp:rsid wsp:val=&quot;00F73DE4&quot;/&gt;&lt;wsp:rsid wsp:val=&quot;00F7419C&quot;/&gt;&lt;wsp:rsid wsp:val=&quot;00F74A6C&quot;/&gt;&lt;wsp:rsid wsp:val=&quot;00F750EE&quot;/&gt;&lt;wsp:rsid wsp:val=&quot;00F75A43&quot;/&gt;&lt;wsp:rsid wsp:val=&quot;00F75EED&quot;/&gt;&lt;wsp:rsid wsp:val=&quot;00F76AC5&quot;/&gt;&lt;wsp:rsid wsp:val=&quot;00F7775D&quot;/&gt;&lt;wsp:rsid wsp:val=&quot;00F777DE&quot;/&gt;&lt;wsp:rsid wsp:val=&quot;00F8003A&quot;/&gt;&lt;wsp:rsid wsp:val=&quot;00F80613&quot;/&gt;&lt;wsp:rsid wsp:val=&quot;00F815BA&quot;/&gt;&lt;wsp:rsid wsp:val=&quot;00F817BE&quot;/&gt;&lt;wsp:rsid wsp:val=&quot;00F81E96&quot;/&gt;&lt;wsp:rsid wsp:val=&quot;00F8277F&quot;/&gt;&lt;wsp:rsid wsp:val=&quot;00F827EA&quot;/&gt;&lt;wsp:rsid wsp:val=&quot;00F828D4&quot;/&gt;&lt;wsp:rsid wsp:val=&quot;00F82BC7&quot;/&gt;&lt;wsp:rsid wsp:val=&quot;00F83131&quot;/&gt;&lt;wsp:rsid wsp:val=&quot;00F838B5&quot;/&gt;&lt;wsp:rsid wsp:val=&quot;00F83FDF&quot;/&gt;&lt;wsp:rsid wsp:val=&quot;00F843C7&quot;/&gt;&lt;wsp:rsid wsp:val=&quot;00F84530&quot;/&gt;&lt;wsp:rsid wsp:val=&quot;00F846E3&quot;/&gt;&lt;wsp:rsid wsp:val=&quot;00F84917&quot;/&gt;&lt;wsp:rsid wsp:val=&quot;00F84D6F&quot;/&gt;&lt;wsp:rsid wsp:val=&quot;00F861AD&quot;/&gt;&lt;wsp:rsid wsp:val=&quot;00F86A52&quot;/&gt;&lt;wsp:rsid wsp:val=&quot;00F870F1&quot;/&gt;&lt;wsp:rsid wsp:val=&quot;00F87283&quot;/&gt;&lt;wsp:rsid wsp:val=&quot;00F901E1&quot;/&gt;&lt;wsp:rsid wsp:val=&quot;00F90EE8&quot;/&gt;&lt;wsp:rsid wsp:val=&quot;00F91314&quot;/&gt;&lt;wsp:rsid wsp:val=&quot;00F91BEB&quot;/&gt;&lt;wsp:rsid wsp:val=&quot;00F921B0&quot;/&gt;&lt;wsp:rsid wsp:val=&quot;00F92B7F&quot;/&gt;&lt;wsp:rsid wsp:val=&quot;00F93421&quot;/&gt;&lt;wsp:rsid wsp:val=&quot;00F938E3&quot;/&gt;&lt;wsp:rsid wsp:val=&quot;00F9596C&quot;/&gt;&lt;wsp:rsid wsp:val=&quot;00F95F82&quot;/&gt;&lt;wsp:rsid wsp:val=&quot;00F97415&quot;/&gt;&lt;wsp:rsid wsp:val=&quot;00F978CE&quot;/&gt;&lt;wsp:rsid wsp:val=&quot;00FA02A4&quot;/&gt;&lt;wsp:rsid wsp:val=&quot;00FA1177&quot;/&gt;&lt;wsp:rsid wsp:val=&quot;00FA17EE&quot;/&gt;&lt;wsp:rsid wsp:val=&quot;00FA2308&quot;/&gt;&lt;wsp:rsid wsp:val=&quot;00FA25CE&quot;/&gt;&lt;wsp:rsid wsp:val=&quot;00FA2686&quot;/&gt;&lt;wsp:rsid wsp:val=&quot;00FA2D3F&quot;/&gt;&lt;wsp:rsid wsp:val=&quot;00FA4908&quot;/&gt;&lt;wsp:rsid wsp:val=&quot;00FA5719&quot;/&gt;&lt;wsp:rsid wsp:val=&quot;00FA5B25&quot;/&gt;&lt;wsp:rsid wsp:val=&quot;00FA6B2D&quot;/&gt;&lt;wsp:rsid wsp:val=&quot;00FA7463&quot;/&gt;&lt;wsp:rsid wsp:val=&quot;00FA790F&quot;/&gt;&lt;wsp:rsid wsp:val=&quot;00FA7AD1&quot;/&gt;&lt;wsp:rsid wsp:val=&quot;00FB0CD7&quot;/&gt;&lt;wsp:rsid wsp:val=&quot;00FB162B&quot;/&gt;&lt;wsp:rsid wsp:val=&quot;00FB1888&quot;/&gt;&lt;wsp:rsid wsp:val=&quot;00FB1D0F&quot;/&gt;&lt;wsp:rsid wsp:val=&quot;00FB2CF1&quot;/&gt;&lt;wsp:rsid wsp:val=&quot;00FB488C&quot;/&gt;&lt;wsp:rsid wsp:val=&quot;00FB5D36&quot;/&gt;&lt;wsp:rsid wsp:val=&quot;00FB67D3&quot;/&gt;&lt;wsp:rsid wsp:val=&quot;00FB6FF5&quot;/&gt;&lt;wsp:rsid wsp:val=&quot;00FC0CDE&quot;/&gt;&lt;wsp:rsid wsp:val=&quot;00FC0E8A&quot;/&gt;&lt;wsp:rsid wsp:val=&quot;00FC1CBD&quot;/&gt;&lt;wsp:rsid wsp:val=&quot;00FC2AA4&quot;/&gt;&lt;wsp:rsid wsp:val=&quot;00FC320D&quot;/&gt;&lt;wsp:rsid wsp:val=&quot;00FC464B&quot;/&gt;&lt;wsp:rsid wsp:val=&quot;00FC57BA&quot;/&gt;&lt;wsp:rsid wsp:val=&quot;00FC5D38&quot;/&gt;&lt;wsp:rsid wsp:val=&quot;00FC675B&quot;/&gt;&lt;wsp:rsid wsp:val=&quot;00FC6908&quot;/&gt;&lt;wsp:rsid wsp:val=&quot;00FC6DC0&quot;/&gt;&lt;wsp:rsid wsp:val=&quot;00FC78CC&quot;/&gt;&lt;wsp:rsid wsp:val=&quot;00FD09E4&quot;/&gt;&lt;wsp:rsid wsp:val=&quot;00FD0B68&quot;/&gt;&lt;wsp:rsid wsp:val=&quot;00FD0D22&quot;/&gt;&lt;wsp:rsid wsp:val=&quot;00FD0D38&quot;/&gt;&lt;wsp:rsid wsp:val=&quot;00FD1FF5&quot;/&gt;&lt;wsp:rsid wsp:val=&quot;00FD2274&quot;/&gt;&lt;wsp:rsid wsp:val=&quot;00FD40D3&quot;/&gt;&lt;wsp:rsid wsp:val=&quot;00FD4180&quot;/&gt;&lt;wsp:rsid wsp:val=&quot;00FD41DB&quot;/&gt;&lt;wsp:rsid wsp:val=&quot;00FD64E7&quot;/&gt;&lt;wsp:rsid wsp:val=&quot;00FD784B&quot;/&gt;&lt;wsp:rsid wsp:val=&quot;00FD7C68&quot;/&gt;&lt;wsp:rsid wsp:val=&quot;00FE051D&quot;/&gt;&lt;wsp:rsid wsp:val=&quot;00FE2B58&quot;/&gt;&lt;wsp:rsid wsp:val=&quot;00FE2E0D&quot;/&gt;&lt;wsp:rsid wsp:val=&quot;00FE3339&quot;/&gt;&lt;wsp:rsid wsp:val=&quot;00FE355F&quot;/&gt;&lt;wsp:rsid wsp:val=&quot;00FE3C26&quot;/&gt;&lt;wsp:rsid wsp:val=&quot;00FE3C54&quot;/&gt;&lt;wsp:rsid wsp:val=&quot;00FE3D50&quot;/&gt;&lt;wsp:rsid wsp:val=&quot;00FE598C&quot;/&gt;&lt;wsp:rsid wsp:val=&quot;00FE5DD6&quot;/&gt;&lt;wsp:rsid wsp:val=&quot;00FE760C&quot;/&gt;&lt;wsp:rsid wsp:val=&quot;00FE76AF&quot;/&gt;&lt;wsp:rsid wsp:val=&quot;00FE77C1&quot;/&gt;&lt;wsp:rsid wsp:val=&quot;00FE7D1B&quot;/&gt;&lt;wsp:rsid wsp:val=&quot;00FF069E&quot;/&gt;&lt;wsp:rsid wsp:val=&quot;00FF1F02&quot;/&gt;&lt;wsp:rsid wsp:val=&quot;00FF2E22&quot;/&gt;&lt;wsp:rsid wsp:val=&quot;00FF3F2F&quot;/&gt;&lt;wsp:rsid wsp:val=&quot;00FF4174&quot;/&gt;&lt;wsp:rsid wsp:val=&quot;00FF4A09&quot;/&gt;&lt;wsp:rsid wsp:val=&quot;00FF4CE1&quot;/&gt;&lt;wsp:rsid wsp:val=&quot;00FF4EAA&quot;/&gt;&lt;wsp:rsid wsp:val=&quot;00FF58D0&quot;/&gt;&lt;wsp:rsid wsp:val=&quot;00FF5BBF&quot;/&gt;&lt;wsp:rsid wsp:val=&quot;00FF62C2&quot;/&gt;&lt;wsp:rsid wsp:val=&quot;00FF6D49&quot;/&gt;&lt;wsp:rsid wsp:val=&quot;00FF6FE7&quot;/&gt;&lt;wsp:rsid wsp:val=&quot;0235485F&quot;/&gt;&lt;wsp:rsid wsp:val=&quot;03697BFD&quot;/&gt;&lt;wsp:rsid wsp:val=&quot;03FD66AC&quot;/&gt;&lt;wsp:rsid wsp:val=&quot;045B70AB&quot;/&gt;&lt;wsp:rsid wsp:val=&quot;04846E71&quot;/&gt;&lt;wsp:rsid wsp:val=&quot;059960DD&quot;/&gt;&lt;wsp:rsid wsp:val=&quot;05B71C8D&quot;/&gt;&lt;wsp:rsid wsp:val=&quot;06E0184A&quot;/&gt;&lt;wsp:rsid wsp:val=&quot;071714BF&quot;/&gt;&lt;wsp:rsid wsp:val=&quot;071A60B0&quot;/&gt;&lt;wsp:rsid wsp:val=&quot;07282C7E&quot;/&gt;&lt;wsp:rsid wsp:val=&quot;07673CB7&quot;/&gt;&lt;wsp:rsid wsp:val=&quot;081262DD&quot;/&gt;&lt;wsp:rsid wsp:val=&quot;08DB257C&quot;/&gt;&lt;wsp:rsid wsp:val=&quot;097D00A7&quot;/&gt;&lt;wsp:rsid wsp:val=&quot;098225F0&quot;/&gt;&lt;wsp:rsid wsp:val=&quot;0A3E4216&quot;/&gt;&lt;wsp:rsid wsp:val=&quot;0A9D247F&quot;/&gt;&lt;wsp:rsid wsp:val=&quot;0C0E7282&quot;/&gt;&lt;wsp:rsid wsp:val=&quot;0C260CA9&quot;/&gt;&lt;wsp:rsid wsp:val=&quot;0DFC7303&quot;/&gt;&lt;wsp:rsid wsp:val=&quot;0ED43E7F&quot;/&gt;&lt;wsp:rsid wsp:val=&quot;0F870D5D&quot;/&gt;&lt;wsp:rsid wsp:val=&quot;0FC93A62&quot;/&gt;&lt;wsp:rsid wsp:val=&quot;11A00946&quot;/&gt;&lt;wsp:rsid wsp:val=&quot;13180B09&quot;/&gt;&lt;wsp:rsid wsp:val=&quot;17BB1DF6&quot;/&gt;&lt;wsp:rsid wsp:val=&quot;18E11EC0&quot;/&gt;&lt;wsp:rsid wsp:val=&quot;191E183D&quot;/&gt;&lt;wsp:rsid wsp:val=&quot;1BFA6D66&quot;/&gt;&lt;wsp:rsid wsp:val=&quot;1BFD6601&quot;/&gt;&lt;wsp:rsid wsp:val=&quot;1C4B24C6&quot;/&gt;&lt;wsp:rsid wsp:val=&quot;1E276F5B&quot;/&gt;&lt;wsp:rsid wsp:val=&quot;20915166&quot;/&gt;&lt;wsp:rsid wsp:val=&quot;212C2F22&quot;/&gt;&lt;wsp:rsid wsp:val=&quot;25554388&quot;/&gt;&lt;wsp:rsid wsp:val=&quot;25570AC3&quot;/&gt;&lt;wsp:rsid wsp:val=&quot;25716796&quot;/&gt;&lt;wsp:rsid wsp:val=&quot;25D51B9B&quot;/&gt;&lt;wsp:rsid wsp:val=&quot;27F01C38&quot;/&gt;&lt;wsp:rsid wsp:val=&quot;29D62BAC&quot;/&gt;&lt;wsp:rsid wsp:val=&quot;2A573728&quot;/&gt;&lt;wsp:rsid wsp:val=&quot;2B423B01&quot;/&gt;&lt;wsp:rsid wsp:val=&quot;2BFD5A59&quot;/&gt;&lt;wsp:rsid wsp:val=&quot;2C085C29&quot;/&gt;&lt;wsp:rsid wsp:val=&quot;2CC71B66&quot;/&gt;&lt;wsp:rsid wsp:val=&quot;2CEA709A&quot;/&gt;&lt;wsp:rsid wsp:val=&quot;2E984EEC&quot;/&gt;&lt;wsp:rsid wsp:val=&quot;2F864D09&quot;/&gt;&lt;wsp:rsid wsp:val=&quot;30054DF8&quot;/&gt;&lt;wsp:rsid wsp:val=&quot;311173B8&quot;/&gt;&lt;wsp:rsid wsp:val=&quot;3164321B&quot;/&gt;&lt;wsp:rsid wsp:val=&quot;320816E9&quot;/&gt;&lt;wsp:rsid wsp:val=&quot;34F25E44&quot;/&gt;&lt;wsp:rsid wsp:val=&quot;35040631&quot;/&gt;&lt;wsp:rsid wsp:val=&quot;356F3BC3&quot;/&gt;&lt;wsp:rsid wsp:val=&quot;389879C3&quot;/&gt;&lt;wsp:rsid wsp:val=&quot;3978161E&quot;/&gt;&lt;wsp:rsid wsp:val=&quot;3C597CF8&quot;/&gt;&lt;wsp:rsid wsp:val=&quot;3CEA2FD5&quot;/&gt;&lt;wsp:rsid wsp:val=&quot;3D4F3D00&quot;/&gt;&lt;wsp:rsid wsp:val=&quot;3D8E534A&quot;/&gt;&lt;wsp:rsid wsp:val=&quot;3DD2229E&quot;/&gt;&lt;wsp:rsid wsp:val=&quot;44415E48&quot;/&gt;&lt;wsp:rsid wsp:val=&quot;447375B4&quot;/&gt;&lt;wsp:rsid wsp:val=&quot;44A343C8&quot;/&gt;&lt;wsp:rsid wsp:val=&quot;44C8231B&quot;/&gt;&lt;wsp:rsid wsp:val=&quot;45916230&quot;/&gt;&lt;wsp:rsid wsp:val=&quot;463E0C35&quot;/&gt;&lt;wsp:rsid wsp:val=&quot;46687557&quot;/&gt;&lt;wsp:rsid wsp:val=&quot;483A4554&quot;/&gt;&lt;wsp:rsid wsp:val=&quot;483F1305&quot;/&gt;&lt;wsp:rsid wsp:val=&quot;48B605EF&quot;/&gt;&lt;wsp:rsid wsp:val=&quot;49C113FF&quot;/&gt;&lt;wsp:rsid wsp:val=&quot;4AD71FB5&quot;/&gt;&lt;wsp:rsid wsp:val=&quot;4B6F3695&quot;/&gt;&lt;wsp:rsid wsp:val=&quot;4B983876&quot;/&gt;&lt;wsp:rsid wsp:val=&quot;4D1A7E8A&quot;/&gt;&lt;wsp:rsid wsp:val=&quot;4DA418BA&quot;/&gt;&lt;wsp:rsid wsp:val=&quot;4E876A8B&quot;/&gt;&lt;wsp:rsid wsp:val=&quot;4F0D6B55&quot;/&gt;&lt;wsp:rsid wsp:val=&quot;4F992EE3&quot;/&gt;&lt;wsp:rsid wsp:val=&quot;4FF92864&quot;/&gt;&lt;wsp:rsid wsp:val=&quot;50795C52&quot;/&gt;&lt;wsp:rsid wsp:val=&quot;51581C64&quot;/&gt;&lt;wsp:rsid wsp:val=&quot;52977EB7&quot;/&gt;&lt;wsp:rsid wsp:val=&quot;53721CD6&quot;/&gt;&lt;wsp:rsid wsp:val=&quot;53C7394A&quot;/&gt;&lt;wsp:rsid wsp:val=&quot;5522413C&quot;/&gt;&lt;wsp:rsid wsp:val=&quot;55720B8E&quot;/&gt;&lt;wsp:rsid wsp:val=&quot;55FB6408&quot;/&gt;&lt;wsp:rsid wsp:val=&quot;566B1E32&quot;/&gt;&lt;wsp:rsid wsp:val=&quot;57387B6B&quot;/&gt;&lt;wsp:rsid wsp:val=&quot;5773022F&quot;/&gt;&lt;wsp:rsid wsp:val=&quot;58E9297A&quot;/&gt;&lt;wsp:rsid wsp:val=&quot;58E94320&quot;/&gt;&lt;wsp:rsid wsp:val=&quot;5CFE21B3&quot;/&gt;&lt;wsp:rsid wsp:val=&quot;5D0C5E2E&quot;/&gt;&lt;wsp:rsid wsp:val=&quot;5DFC0162&quot;/&gt;&lt;wsp:rsid wsp:val=&quot;5E543CA3&quot;/&gt;&lt;wsp:rsid wsp:val=&quot;5EB23941&quot;/&gt;&lt;wsp:rsid wsp:val=&quot;5FC4581F&quot;/&gt;&lt;wsp:rsid wsp:val=&quot;5FDB5F8D&quot;/&gt;&lt;wsp:rsid wsp:val=&quot;613315A8&quot;/&gt;&lt;wsp:rsid wsp:val=&quot;62462BD1&quot;/&gt;&lt;wsp:rsid wsp:val=&quot;627A4288&quot;/&gt;&lt;wsp:rsid wsp:val=&quot;6328246D&quot;/&gt;&lt;wsp:rsid wsp:val=&quot;63A74C03&quot;/&gt;&lt;wsp:rsid wsp:val=&quot;642C1952&quot;/&gt;&lt;wsp:rsid wsp:val=&quot;64970F01&quot;/&gt;&lt;wsp:rsid wsp:val=&quot;64A22A05&quot;/&gt;&lt;wsp:rsid wsp:val=&quot;65E34872&quot;/&gt;&lt;wsp:rsid wsp:val=&quot;679631B0&quot;/&gt;&lt;wsp:rsid wsp:val=&quot;68EF546C&quot;/&gt;&lt;wsp:rsid wsp:val=&quot;69170032&quot;/&gt;&lt;wsp:rsid wsp:val=&quot;694B4271&quot;/&gt;&lt;wsp:rsid wsp:val=&quot;6B6524EF&quot;/&gt;&lt;wsp:rsid wsp:val=&quot;6BF1213E&quot;/&gt;&lt;wsp:rsid wsp:val=&quot;6D7A376E&quot;/&gt;&lt;wsp:rsid wsp:val=&quot;6EDD143D&quot;/&gt;&lt;wsp:rsid wsp:val=&quot;7013271D&quot;/&gt;&lt;wsp:rsid wsp:val=&quot;7127542B&quot;/&gt;&lt;wsp:rsid wsp:val=&quot;719E2CF2&quot;/&gt;&lt;wsp:rsid wsp:val=&quot;72AC27FE&quot;/&gt;&lt;wsp:rsid wsp:val=&quot;73524F49&quot;/&gt;&lt;wsp:rsid wsp:val=&quot;73AD1719&quot;/&gt;&lt;wsp:rsid wsp:val=&quot;74D33D47&quot;/&gt;&lt;wsp:rsid wsp:val=&quot;759C1D5F&quot;/&gt;&lt;wsp:rsid wsp:val=&quot;76A47E0A&quot;/&gt;&lt;wsp:rsid wsp:val=&quot;76C8622B&quot;/&gt;&lt;wsp:rsid wsp:val=&quot;776747E6&quot;/&gt;&lt;wsp:rsid wsp:val=&quot;78086CC4&quot;/&gt;&lt;wsp:rsid wsp:val=&quot;7C4918F5&quot;/&gt;&lt;wsp:rsid wsp:val=&quot;7D365B35&quot;/&gt;&lt;wsp:rsid wsp:val=&quot;7F3F6262&quot;/&gt;&lt;/wsp:rsids&gt;&lt;/w:docPr&gt;&lt;w:body&gt;&lt;wx:sect&gt;&lt;w:p wsp:rsidR=&quot;000E115C&quot; wsp:rsidRDefault=&quot;000E115C&quot; wsp:rsidP=&quot;000E115C&quot;&gt;&lt;m:oMathPara&gt;&lt;m:oMath&gt;&lt;m:r&gt;&lt;m:rPr&gt;&lt;m:sty m:val=&quot;p&quot;/&gt;&lt;/m:rPr&gt;&lt;w:rPr&gt;&lt;w:rFonts w:ascii=&quot;Cambria Math&quot; w:h-ansi=&quot;Cambria Math&quot;/&gt;&lt;wx:font wx:val=&quot;Cambria Math&quot;/&gt;&lt;w:sz w:val=&quot;28&quot;/&gt;&lt;w:sz-cs w:val=&quot;28&quot;/&gt;&lt;w:lang w:val=&quot;ZH-CN&quot;/&gt;&lt;/w:rPr&gt;&lt;m:t&gt;10S&lt;/m:t&gt;&lt;/m:r&gt;&lt;m:rad&gt;&lt;m:radPr&gt;&lt;m:degHide m:val=&quot;1&quot;/&gt;&lt;m:ctrlPr&gt;&lt;w:rPr&gt;&lt;w:rFonts w:ascii=&quot;Cambria Math&quot; w:h-ansi=&quot;Cambria Math&quot;/&gt;&lt;wx:font wx:val=&quot;Cambria Math&quot;/&gt;&lt;w:sz w:val=&quot;28&quot;/&gt;&lt;w:sz-cs w:val=&quot;28&quot;/&gt;&lt;w:lang w:val=&quot;ZH-CN&quot;/&gt;&lt;/w:rPr&gt;&lt;/m:ctrlPr&gt;&lt;/m:radPr&gt;&lt;m:deg/&gt;&lt;m:e&gt;&lt;m:r&gt;&lt;m:rPr&gt;&lt;m:sty m:val=&quot;p&quot;/&gt;&lt;/m:rPr&gt;&lt;w:rPr&gt;&lt;w:rFonts w:ascii=&quot;Cambria Math&quot; w:h-ansi=&quot;Cambria Math&quot;/&gt;&lt;wx:font wx:val=&quot;Cambria Math&quot;/&gt;&lt;w:sz w:val=&quot;28&quot;/&gt;&lt;w:sz-cs w:val=&quot;28&quot;/&gt;&lt;w:lang w:val=&quot;ZH-CN&quot;/&gt;&lt;/w:rPr&gt;&lt;m:t&gt;K&lt;/m:t&gt;&lt;/m:r&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6" chromakey="#FFFFFF" o:title=""/>
            <o:lock v:ext="edit" aspectratio="t"/>
            <w10:wrap type="none"/>
            <w10:anchorlock/>
          </v:shape>
        </w:pict>
      </w:r>
      <w:r>
        <w:rPr>
          <w:highlight w:val="black"/>
          <w:lang w:val="zh-CN"/>
        </w:rPr>
        <w:fldChar w:fldCharType="end"/>
      </w:r>
      <w:r>
        <w:rPr>
          <w:highlight w:val="black"/>
          <w:lang w:val="zh-CN"/>
        </w:rPr>
        <w:t>。计算结果渗透系数K=2.5628m/d，影响半径R=178.81m。</w:t>
      </w:r>
    </w:p>
    <w:p w14:paraId="4F660347">
      <w:pPr>
        <w:ind w:firstLine="583"/>
        <w:rPr>
          <w:highlight w:val="black"/>
        </w:rPr>
      </w:pPr>
      <w:r>
        <w:rPr>
          <w:rFonts w:hint="eastAsia"/>
          <w:highlight w:val="black"/>
        </w:rPr>
        <w:t>3）</w:t>
      </w:r>
      <w:r>
        <w:rPr>
          <w:highlight w:val="black"/>
        </w:rPr>
        <w:t>断裂破碎带</w:t>
      </w:r>
    </w:p>
    <w:p w14:paraId="1798A0EC">
      <w:pPr>
        <w:ind w:firstLine="583"/>
        <w:rPr>
          <w:highlight w:val="black"/>
        </w:rPr>
      </w:pPr>
      <w:r>
        <w:rPr>
          <w:rFonts w:hint="eastAsia"/>
          <w:highlight w:val="black"/>
        </w:rPr>
        <w:t>在矿区南部发现1条逆断层，并该断层底板附近发现2处J5、J6机民井，因此推测该断层次一级裂隙较发育，含水性较强</w:t>
      </w:r>
      <w:r>
        <w:rPr>
          <w:highlight w:val="black"/>
        </w:rPr>
        <w:t>。</w:t>
      </w:r>
    </w:p>
    <w:p w14:paraId="55624750">
      <w:pPr>
        <w:ind w:firstLine="583"/>
        <w:rPr>
          <w:highlight w:val="black"/>
        </w:rPr>
      </w:pPr>
      <w:r>
        <w:rPr>
          <w:rFonts w:hint="eastAsia"/>
          <w:highlight w:val="black"/>
        </w:rPr>
        <w:t>（2）</w:t>
      </w:r>
      <w:r>
        <w:rPr>
          <w:highlight w:val="black"/>
        </w:rPr>
        <w:t>区域隔水层</w:t>
      </w:r>
    </w:p>
    <w:p w14:paraId="3656B024">
      <w:pPr>
        <w:ind w:firstLine="583"/>
        <w:rPr>
          <w:highlight w:val="black"/>
        </w:rPr>
      </w:pPr>
      <w:r>
        <w:rPr>
          <w:rFonts w:hint="eastAsia"/>
          <w:highlight w:val="black"/>
        </w:rPr>
        <w:t>1）</w:t>
      </w:r>
      <w:r>
        <w:rPr>
          <w:highlight w:val="black"/>
        </w:rPr>
        <w:t>第四系松散层粘土层、亚粘土与粉质粘土层，呈层状或透镜状，发育规模不大。其厚度、产状与松散层发育的地形、地势有关，在河漫滩与沟谷的中部呈层状发育。稳定性不好，隔水程度较差。</w:t>
      </w:r>
    </w:p>
    <w:p w14:paraId="36B01405">
      <w:pPr>
        <w:ind w:firstLine="583"/>
        <w:rPr>
          <w:highlight w:val="black"/>
        </w:rPr>
      </w:pPr>
      <w:r>
        <w:rPr>
          <w:rFonts w:hint="eastAsia"/>
          <w:highlight w:val="black"/>
        </w:rPr>
        <w:t>2）</w:t>
      </w:r>
      <w:r>
        <w:rPr>
          <w:highlight w:val="black"/>
        </w:rPr>
        <w:t>新太古代古元古界的片岩、变粒岩及新元古界、古生界的页岩，稳定性较好，隔水性强。</w:t>
      </w:r>
    </w:p>
    <w:p w14:paraId="1BFCCD79">
      <w:pPr>
        <w:ind w:firstLine="583"/>
        <w:rPr>
          <w:highlight w:val="black"/>
        </w:rPr>
      </w:pPr>
      <w:r>
        <w:rPr>
          <w:rFonts w:hint="eastAsia"/>
          <w:highlight w:val="black"/>
        </w:rPr>
        <w:t>3）</w:t>
      </w:r>
      <w:r>
        <w:rPr>
          <w:highlight w:val="black"/>
        </w:rPr>
        <w:t>新太古代二长花岗片麻岩。构成了本套地层的隔水层。厚度在几米到几十米，产状与含水层基本相同，稳定性较好，具有很好的隔水性。</w:t>
      </w:r>
    </w:p>
    <w:p w14:paraId="4C6363A3">
      <w:pPr>
        <w:ind w:firstLine="583"/>
        <w:rPr>
          <w:highlight w:val="black"/>
        </w:rPr>
      </w:pPr>
      <w:bookmarkStart w:id="130" w:name="_Toc142639482"/>
      <w:bookmarkStart w:id="131" w:name="_Toc136868948"/>
      <w:bookmarkStart w:id="132" w:name="_Toc144365378"/>
      <w:r>
        <w:rPr>
          <w:rFonts w:hint="eastAsia"/>
          <w:highlight w:val="black"/>
        </w:rPr>
        <w:t>（3）</w:t>
      </w:r>
      <w:r>
        <w:rPr>
          <w:highlight w:val="black"/>
        </w:rPr>
        <w:t>河水与地下水的水力联系</w:t>
      </w:r>
      <w:bookmarkEnd w:id="130"/>
      <w:bookmarkEnd w:id="131"/>
      <w:bookmarkEnd w:id="132"/>
    </w:p>
    <w:p w14:paraId="1BF24566">
      <w:pPr>
        <w:ind w:firstLine="583"/>
        <w:rPr>
          <w:highlight w:val="black"/>
        </w:rPr>
      </w:pPr>
      <w:bookmarkStart w:id="133" w:name="_Toc144365379"/>
      <w:bookmarkStart w:id="134" w:name="_Toc142639483"/>
      <w:bookmarkStart w:id="135" w:name="_Toc136868949"/>
      <w:r>
        <w:rPr>
          <w:rFonts w:hint="eastAsia"/>
          <w:highlight w:val="black"/>
        </w:rPr>
        <w:t>矿区南侧有1条地表浑河支流，水面高程136m，距离3到4号矿界拐点85m，由东北向南西流过，常年流水，平常河水深0.2～0.5m，雨季河水暴涨，最高河水深能达1m，干旱季节河水水位下降。除河流外，各沟谷中有季节性水流。</w:t>
      </w:r>
    </w:p>
    <w:p w14:paraId="385D2416">
      <w:pPr>
        <w:ind w:firstLine="583"/>
        <w:rPr>
          <w:highlight w:val="black"/>
        </w:rPr>
      </w:pPr>
      <w:r>
        <w:rPr>
          <w:rFonts w:hint="eastAsia"/>
          <w:highlight w:val="black"/>
        </w:rPr>
        <w:t>通过实地调查走访，河水未见断流、水位陡降、流量骤减现象，河床底部为砂卵石，局部基岩出露，岩性为斜长角闪岩，岩体完整，裂隙不发育，地表河流与深部矿床无构造联系，河水通过基岩风化裂隙渗入补给地下水水量极小，对矿床充水条件影响微弱。不会对下一步地下生产系统产生影响。</w:t>
      </w:r>
    </w:p>
    <w:p w14:paraId="683E2526">
      <w:pPr>
        <w:ind w:firstLine="583"/>
        <w:rPr>
          <w:highlight w:val="black"/>
        </w:rPr>
      </w:pPr>
      <w:r>
        <w:rPr>
          <w:rFonts w:hint="eastAsia"/>
          <w:highlight w:val="black"/>
        </w:rPr>
        <w:t>（4）</w:t>
      </w:r>
      <w:r>
        <w:rPr>
          <w:highlight w:val="black"/>
        </w:rPr>
        <w:t>充水因素分析</w:t>
      </w:r>
      <w:bookmarkEnd w:id="133"/>
      <w:bookmarkEnd w:id="134"/>
      <w:bookmarkEnd w:id="135"/>
    </w:p>
    <w:p w14:paraId="332415BF">
      <w:pPr>
        <w:ind w:firstLine="583"/>
        <w:rPr>
          <w:highlight w:val="black"/>
        </w:rPr>
      </w:pPr>
      <w:r>
        <w:rPr>
          <w:highlight w:val="black"/>
        </w:rPr>
        <w:t>矿体顶、底板围岩主要为斜长角闪片麻岩和二长花岗片麻岩，含有基岩裂隙水，其风化裂隙含水层富水性中等。基岩裂隙水的补给来源主要为大气降水渗入和上覆的孔隙水渗流。因此矿坑直接充水因素为基岩裂隙水，间接充水因素为大气降水和第四系松散岩类孔隙水，矿山是以基岩裂隙水充水为主的矿床，简称裂隙充水矿床</w:t>
      </w:r>
    </w:p>
    <w:p w14:paraId="0A630C4B">
      <w:pPr>
        <w:ind w:firstLine="583"/>
        <w:rPr>
          <w:highlight w:val="black"/>
        </w:rPr>
      </w:pPr>
      <w:r>
        <w:rPr>
          <w:highlight w:val="black"/>
        </w:rPr>
        <w:t>矿坑的充水因素有如下：</w:t>
      </w:r>
    </w:p>
    <w:p w14:paraId="14DB4CCD">
      <w:pPr>
        <w:ind w:firstLine="583"/>
        <w:rPr>
          <w:highlight w:val="black"/>
        </w:rPr>
      </w:pPr>
      <w:r>
        <w:rPr>
          <w:rFonts w:hint="eastAsia"/>
          <w:highlight w:val="black"/>
        </w:rPr>
        <w:t>1）</w:t>
      </w:r>
      <w:r>
        <w:rPr>
          <w:highlight w:val="black"/>
        </w:rPr>
        <w:t>基岩风化裂隙水渗入矿井。</w:t>
      </w:r>
    </w:p>
    <w:p w14:paraId="3C1E06C0">
      <w:pPr>
        <w:ind w:firstLine="583"/>
        <w:rPr>
          <w:highlight w:val="black"/>
        </w:rPr>
      </w:pPr>
      <w:r>
        <w:rPr>
          <w:rFonts w:hint="eastAsia"/>
          <w:highlight w:val="black"/>
        </w:rPr>
        <w:t>2）</w:t>
      </w:r>
      <w:r>
        <w:rPr>
          <w:highlight w:val="black"/>
        </w:rPr>
        <w:t>基岩构造裂隙水渗入矿井。</w:t>
      </w:r>
    </w:p>
    <w:p w14:paraId="66F5C904">
      <w:pPr>
        <w:ind w:firstLine="583"/>
        <w:rPr>
          <w:highlight w:val="black"/>
        </w:rPr>
      </w:pPr>
      <w:bookmarkStart w:id="136" w:name="_Toc144365380"/>
      <w:bookmarkStart w:id="137" w:name="_Toc136868950"/>
      <w:bookmarkStart w:id="138" w:name="_Toc142639484"/>
      <w:r>
        <w:rPr>
          <w:rFonts w:hint="eastAsia"/>
          <w:highlight w:val="black"/>
        </w:rPr>
        <w:t>（5）</w:t>
      </w:r>
      <w:r>
        <w:rPr>
          <w:highlight w:val="black"/>
        </w:rPr>
        <w:t>矿坑涌水量预测计算</w:t>
      </w:r>
      <w:bookmarkEnd w:id="136"/>
      <w:bookmarkEnd w:id="137"/>
      <w:bookmarkEnd w:id="138"/>
    </w:p>
    <w:p w14:paraId="7E2D936A">
      <w:pPr>
        <w:ind w:firstLine="583"/>
        <w:rPr>
          <w:highlight w:val="black"/>
          <w:lang w:val="zh-CN"/>
        </w:rPr>
      </w:pPr>
      <w:r>
        <w:rPr>
          <w:highlight w:val="black"/>
          <w:lang w:val="zh-CN"/>
        </w:rPr>
        <w:t>矿区未来开采方式采用地下开采，因此本次矿坑涌水量预测采用“大井”法</w:t>
      </w:r>
      <w:r>
        <w:rPr>
          <w:rFonts w:hint="eastAsia"/>
          <w:highlight w:val="black"/>
          <w:lang w:val="zh-CN"/>
        </w:rPr>
        <w:t>以及比拟法</w:t>
      </w:r>
      <w:r>
        <w:rPr>
          <w:highlight w:val="black"/>
          <w:lang w:val="zh-CN"/>
        </w:rPr>
        <w:t>。</w:t>
      </w:r>
    </w:p>
    <w:p w14:paraId="357D381A">
      <w:pPr>
        <w:ind w:firstLine="583"/>
        <w:rPr>
          <w:highlight w:val="black"/>
          <w:lang w:val="zh-CN"/>
        </w:rPr>
      </w:pPr>
      <w:r>
        <w:rPr>
          <w:rFonts w:hint="eastAsia"/>
          <w:highlight w:val="black"/>
        </w:rPr>
        <w:t>1）</w:t>
      </w:r>
      <w:r>
        <w:rPr>
          <w:rFonts w:hint="eastAsia"/>
          <w:highlight w:val="black"/>
          <w:lang w:val="zh-CN"/>
        </w:rPr>
        <w:t>“大井”法</w:t>
      </w:r>
    </w:p>
    <w:p w14:paraId="1FDE1B2F">
      <w:pPr>
        <w:ind w:firstLine="583"/>
        <w:rPr>
          <w:highlight w:val="black"/>
          <w:lang w:val="zh-CN"/>
        </w:rPr>
      </w:pPr>
      <w:r>
        <w:rPr>
          <w:highlight w:val="black"/>
          <w:lang w:val="zh-CN"/>
        </w:rPr>
        <w:t>本次矿坑涌水量预测采用“大井”法。矿坑涌水量预测主要是针对主井，计算公式采用一侧有河流补给的计算公式，具体如下：</w:t>
      </w:r>
    </w:p>
    <w:p w14:paraId="26C59678">
      <w:pPr>
        <w:ind w:firstLine="583"/>
        <w:rPr>
          <w:highlight w:val="black"/>
        </w:rPr>
      </w:pPr>
      <w:r>
        <w:rPr>
          <w:highlight w:val="black"/>
        </w:rPr>
        <w:t>Q＝KMS</w:t>
      </w:r>
      <w:r>
        <w:rPr>
          <w:highlight w:val="black"/>
          <w:vertAlign w:val="subscript"/>
        </w:rPr>
        <w:t>w</w:t>
      </w:r>
      <w:r>
        <w:rPr>
          <w:highlight w:val="black"/>
        </w:rPr>
        <w:t>/(0.366×Lg</w:t>
      </w:r>
      <w:r>
        <w:rPr>
          <w:highlight w:val="black"/>
          <w:vertAlign w:val="superscript"/>
        </w:rPr>
        <w:t>2B/Rw</w:t>
      </w:r>
      <w:r>
        <w:rPr>
          <w:highlight w:val="black"/>
        </w:rPr>
        <w:t>)，</w:t>
      </w:r>
      <w:r>
        <w:rPr>
          <w:rFonts w:hint="eastAsia"/>
          <w:highlight w:val="black"/>
        </w:rPr>
        <w:t>（</w:t>
      </w:r>
      <w:r>
        <w:rPr>
          <w:highlight w:val="black"/>
          <w:lang w:val="zh-CN"/>
        </w:rPr>
        <w:t>供水水文地质手册</w:t>
      </w:r>
      <w:r>
        <w:rPr>
          <w:highlight w:val="black"/>
        </w:rPr>
        <w:t>，P7.</w:t>
      </w:r>
      <w:r>
        <w:rPr>
          <w:highlight w:val="black"/>
          <w:lang w:val="zh-CN"/>
        </w:rPr>
        <w:t>公式</w:t>
      </w:r>
      <w:r>
        <w:rPr>
          <w:highlight w:val="black"/>
        </w:rPr>
        <w:t>1-1-12</w:t>
      </w:r>
      <w:r>
        <w:rPr>
          <w:rFonts w:hint="eastAsia"/>
          <w:highlight w:val="black"/>
        </w:rPr>
        <w:t>）</w:t>
      </w:r>
      <w:r>
        <w:rPr>
          <w:highlight w:val="black"/>
          <w:lang w:val="zh-CN"/>
        </w:rPr>
        <w:t>。</w:t>
      </w:r>
    </w:p>
    <w:p w14:paraId="052A3C82">
      <w:pPr>
        <w:ind w:firstLine="583"/>
        <w:rPr>
          <w:highlight w:val="black"/>
        </w:rPr>
      </w:pPr>
      <w:r>
        <w:rPr>
          <w:highlight w:val="black"/>
        </w:rPr>
        <w:t>式中：K—渗透系数</w:t>
      </w:r>
      <w:r>
        <w:rPr>
          <w:rFonts w:hint="eastAsia"/>
          <w:highlight w:val="black"/>
        </w:rPr>
        <w:t>，</w:t>
      </w:r>
      <w:r>
        <w:rPr>
          <w:highlight w:val="black"/>
        </w:rPr>
        <w:t>m/d；</w:t>
      </w:r>
    </w:p>
    <w:p w14:paraId="40600292">
      <w:pPr>
        <w:ind w:firstLine="583"/>
        <w:rPr>
          <w:highlight w:val="black"/>
        </w:rPr>
      </w:pPr>
      <w:r>
        <w:rPr>
          <w:highlight w:val="black"/>
        </w:rPr>
        <w:t>Q—</w:t>
      </w:r>
      <w:r>
        <w:rPr>
          <w:highlight w:val="black"/>
          <w:lang w:val="zh-CN"/>
        </w:rPr>
        <w:t>涌水量</w:t>
      </w:r>
      <w:r>
        <w:rPr>
          <w:rFonts w:hint="eastAsia"/>
          <w:highlight w:val="black"/>
        </w:rPr>
        <w:t>，</w:t>
      </w:r>
      <w:r>
        <w:rPr>
          <w:highlight w:val="black"/>
        </w:rPr>
        <w:t>m</w:t>
      </w:r>
      <w:r>
        <w:rPr>
          <w:highlight w:val="black"/>
          <w:vertAlign w:val="superscript"/>
        </w:rPr>
        <w:t>3</w:t>
      </w:r>
      <w:r>
        <w:rPr>
          <w:highlight w:val="black"/>
        </w:rPr>
        <w:t>/d；</w:t>
      </w:r>
    </w:p>
    <w:p w14:paraId="3E4F6F7C">
      <w:pPr>
        <w:ind w:firstLine="583"/>
        <w:rPr>
          <w:highlight w:val="black"/>
        </w:rPr>
      </w:pPr>
      <w:r>
        <w:rPr>
          <w:highlight w:val="black"/>
        </w:rPr>
        <w:t>B—</w:t>
      </w:r>
      <w:r>
        <w:rPr>
          <w:highlight w:val="black"/>
          <w:lang w:val="zh-CN"/>
        </w:rPr>
        <w:t>抽水孔至河岸边的距离</w:t>
      </w:r>
      <w:r>
        <w:rPr>
          <w:rFonts w:hint="eastAsia"/>
          <w:highlight w:val="black"/>
        </w:rPr>
        <w:t>，</w:t>
      </w:r>
      <w:r>
        <w:rPr>
          <w:highlight w:val="black"/>
        </w:rPr>
        <w:t>m；</w:t>
      </w:r>
    </w:p>
    <w:p w14:paraId="0874B6BA">
      <w:pPr>
        <w:ind w:firstLine="583"/>
        <w:rPr>
          <w:highlight w:val="black"/>
        </w:rPr>
      </w:pPr>
      <w:r>
        <w:rPr>
          <w:highlight w:val="black"/>
        </w:rPr>
        <w:t>R</w:t>
      </w:r>
      <w:r>
        <w:rPr>
          <w:highlight w:val="black"/>
          <w:vertAlign w:val="subscript"/>
        </w:rPr>
        <w:t>W</w:t>
      </w:r>
      <w:r>
        <w:rPr>
          <w:highlight w:val="black"/>
        </w:rPr>
        <w:t>—抽水孔径</w:t>
      </w:r>
      <w:r>
        <w:rPr>
          <w:rFonts w:hint="eastAsia"/>
          <w:highlight w:val="black"/>
        </w:rPr>
        <w:t>，</w:t>
      </w:r>
      <w:r>
        <w:rPr>
          <w:highlight w:val="black"/>
        </w:rPr>
        <w:t>m；</w:t>
      </w:r>
    </w:p>
    <w:p w14:paraId="0092A669">
      <w:pPr>
        <w:ind w:firstLine="583"/>
        <w:rPr>
          <w:highlight w:val="black"/>
        </w:rPr>
      </w:pPr>
      <w:r>
        <w:rPr>
          <w:highlight w:val="black"/>
        </w:rPr>
        <w:t>S</w:t>
      </w:r>
      <w:r>
        <w:rPr>
          <w:highlight w:val="black"/>
          <w:vertAlign w:val="subscript"/>
        </w:rPr>
        <w:t>W</w:t>
      </w:r>
      <w:r>
        <w:rPr>
          <w:highlight w:val="black"/>
        </w:rPr>
        <w:t>—</w:t>
      </w:r>
      <w:r>
        <w:rPr>
          <w:highlight w:val="black"/>
          <w:lang w:val="zh-CN"/>
        </w:rPr>
        <w:t>降深</w:t>
      </w:r>
      <w:r>
        <w:rPr>
          <w:rFonts w:hint="eastAsia"/>
          <w:highlight w:val="black"/>
          <w:lang w:val="zh-CN"/>
        </w:rPr>
        <w:t>，</w:t>
      </w:r>
      <w:r>
        <w:rPr>
          <w:highlight w:val="black"/>
        </w:rPr>
        <w:t>m；</w:t>
      </w:r>
    </w:p>
    <w:p w14:paraId="1506BD66">
      <w:pPr>
        <w:ind w:firstLine="583"/>
        <w:rPr>
          <w:highlight w:val="black"/>
        </w:rPr>
      </w:pPr>
      <w:r>
        <w:rPr>
          <w:highlight w:val="black"/>
          <w:lang w:val="zh-CN"/>
        </w:rPr>
        <w:t>M</w:t>
      </w:r>
      <w:r>
        <w:rPr>
          <w:highlight w:val="black"/>
        </w:rPr>
        <w:t>—</w:t>
      </w:r>
      <w:r>
        <w:rPr>
          <w:highlight w:val="black"/>
          <w:lang w:val="zh-CN"/>
        </w:rPr>
        <w:t>含水层厚度</w:t>
      </w:r>
      <w:r>
        <w:rPr>
          <w:rFonts w:hint="eastAsia"/>
          <w:highlight w:val="black"/>
          <w:lang w:val="zh-CN"/>
        </w:rPr>
        <w:t>，</w:t>
      </w:r>
      <w:r>
        <w:rPr>
          <w:highlight w:val="black"/>
          <w:lang w:val="zh-CN"/>
        </w:rPr>
        <w:t>m</w:t>
      </w:r>
      <w:r>
        <w:rPr>
          <w:rFonts w:hint="eastAsia"/>
          <w:highlight w:val="black"/>
          <w:lang w:val="zh-CN"/>
        </w:rPr>
        <w:t>。</w:t>
      </w:r>
    </w:p>
    <w:p w14:paraId="3E9CAED3">
      <w:pPr>
        <w:ind w:firstLine="583"/>
        <w:rPr>
          <w:highlight w:val="black"/>
          <w:lang w:val="zh-CN"/>
        </w:rPr>
      </w:pPr>
      <w:r>
        <w:rPr>
          <w:highlight w:val="black"/>
        </w:rPr>
        <w:t>根据已掌握资料，本矿区矿体产于磁铁石英岩中，开采设计需要在该岩体中打一竖井，</w:t>
      </w:r>
      <w:r>
        <w:rPr>
          <w:rFonts w:hint="eastAsia"/>
          <w:highlight w:val="black"/>
        </w:rPr>
        <w:t>直径</w:t>
      </w:r>
      <w:r>
        <w:rPr>
          <w:highlight w:val="black"/>
        </w:rPr>
        <w:t>为3m，井深240m；</w:t>
      </w:r>
      <w:r>
        <w:rPr>
          <w:highlight w:val="black"/>
          <w:lang w:val="zh-CN"/>
        </w:rPr>
        <w:t>含水层厚度取断裂破碎带最大宽度，即</w:t>
      </w:r>
      <w:r>
        <w:rPr>
          <w:highlight w:val="black"/>
        </w:rPr>
        <w:t>4</w:t>
      </w:r>
      <w:r>
        <w:rPr>
          <w:highlight w:val="black"/>
          <w:lang w:val="zh-CN"/>
        </w:rPr>
        <w:t>m。水位埋深</w:t>
      </w:r>
      <w:r>
        <w:rPr>
          <w:highlight w:val="black"/>
        </w:rPr>
        <w:t>46</w:t>
      </w:r>
      <w:r>
        <w:rPr>
          <w:highlight w:val="black"/>
          <w:lang w:val="zh-CN"/>
        </w:rPr>
        <w:t>m，断层埋深</w:t>
      </w:r>
      <w:r>
        <w:rPr>
          <w:highlight w:val="black"/>
        </w:rPr>
        <w:t>采用未来设计主巷道深度240</w:t>
      </w:r>
      <w:r>
        <w:rPr>
          <w:highlight w:val="black"/>
          <w:lang w:val="zh-CN"/>
        </w:rPr>
        <w:t>m，参数情况如下：</w:t>
      </w:r>
    </w:p>
    <w:p w14:paraId="1BEB9F8C">
      <w:pPr>
        <w:ind w:firstLine="583"/>
        <w:rPr>
          <w:highlight w:val="black"/>
          <w:lang w:val="zh-CN"/>
        </w:rPr>
      </w:pPr>
      <w:r>
        <w:rPr>
          <w:highlight w:val="black"/>
          <w:lang w:val="zh-CN"/>
        </w:rPr>
        <w:t>含水层厚度M＝</w:t>
      </w:r>
      <w:r>
        <w:rPr>
          <w:highlight w:val="black"/>
        </w:rPr>
        <w:t>4</w:t>
      </w:r>
      <w:r>
        <w:rPr>
          <w:highlight w:val="black"/>
          <w:lang w:val="zh-CN"/>
        </w:rPr>
        <w:t>m，抽水孔径R</w:t>
      </w:r>
      <w:r>
        <w:rPr>
          <w:highlight w:val="black"/>
          <w:vertAlign w:val="subscript"/>
          <w:lang w:val="zh-CN"/>
        </w:rPr>
        <w:t>W</w:t>
      </w:r>
      <w:r>
        <w:rPr>
          <w:highlight w:val="black"/>
          <w:lang w:val="zh-CN"/>
        </w:rPr>
        <w:t>＝3m，降深S</w:t>
      </w:r>
      <w:r>
        <w:rPr>
          <w:highlight w:val="black"/>
          <w:vertAlign w:val="subscript"/>
          <w:lang w:val="zh-CN"/>
        </w:rPr>
        <w:t>W</w:t>
      </w:r>
      <w:r>
        <w:rPr>
          <w:highlight w:val="black"/>
          <w:lang w:val="zh-CN"/>
        </w:rPr>
        <w:t>＝240-46=</w:t>
      </w:r>
      <w:r>
        <w:rPr>
          <w:highlight w:val="black"/>
        </w:rPr>
        <w:t>194</w:t>
      </w:r>
      <w:r>
        <w:rPr>
          <w:highlight w:val="black"/>
          <w:lang w:val="zh-CN"/>
        </w:rPr>
        <w:t>m，抽水孔至河岸边的距离B＝380m。</w:t>
      </w:r>
      <w:r>
        <w:rPr>
          <w:highlight w:val="black"/>
        </w:rPr>
        <w:t>渗透系数K=2.5628m/d</w:t>
      </w:r>
    </w:p>
    <w:p w14:paraId="39547336">
      <w:pPr>
        <w:ind w:firstLine="583"/>
        <w:rPr>
          <w:highlight w:val="black"/>
        </w:rPr>
      </w:pPr>
      <w:r>
        <w:rPr>
          <w:highlight w:val="black"/>
        </w:rPr>
        <w:t>将数据代入公式，则得：</w:t>
      </w:r>
      <w:r>
        <w:rPr>
          <w:highlight w:val="black"/>
          <w:lang w:val="zh-CN"/>
        </w:rPr>
        <w:t>Q=</w:t>
      </w:r>
      <w:r>
        <w:rPr>
          <w:highlight w:val="black"/>
        </w:rPr>
        <w:t>827.36</w:t>
      </w:r>
      <w:r>
        <w:rPr>
          <w:highlight w:val="black"/>
          <w:lang w:val="zh-CN"/>
        </w:rPr>
        <w:t>m</w:t>
      </w:r>
      <w:r>
        <w:rPr>
          <w:highlight w:val="black"/>
          <w:vertAlign w:val="superscript"/>
          <w:lang w:val="zh-CN"/>
        </w:rPr>
        <w:t>3</w:t>
      </w:r>
      <w:r>
        <w:rPr>
          <w:highlight w:val="black"/>
          <w:lang w:val="zh-CN"/>
        </w:rPr>
        <w:t>/d。</w:t>
      </w:r>
    </w:p>
    <w:p w14:paraId="77D49EAE">
      <w:pPr>
        <w:ind w:firstLine="583"/>
        <w:rPr>
          <w:highlight w:val="black"/>
          <w:lang w:val="zh-CN"/>
        </w:rPr>
      </w:pPr>
      <w:r>
        <w:rPr>
          <w:highlight w:val="black"/>
          <w:lang w:val="zh-CN"/>
        </w:rPr>
        <w:t>以上涌水量预测标高为-</w:t>
      </w:r>
      <w:r>
        <w:rPr>
          <w:highlight w:val="black"/>
        </w:rPr>
        <w:t>50</w:t>
      </w:r>
      <w:r>
        <w:rPr>
          <w:highlight w:val="black"/>
          <w:lang w:val="zh-CN"/>
        </w:rPr>
        <w:t>m，埋深为</w:t>
      </w:r>
      <w:r>
        <w:rPr>
          <w:highlight w:val="black"/>
        </w:rPr>
        <w:t>240</w:t>
      </w:r>
      <w:r>
        <w:rPr>
          <w:highlight w:val="black"/>
          <w:lang w:val="zh-CN"/>
        </w:rPr>
        <w:t>m，未考虑断裂破碎带的静储量，采矿施工时应采取预防措施，防止矿坑突水。</w:t>
      </w:r>
    </w:p>
    <w:p w14:paraId="32D85EAA">
      <w:pPr>
        <w:ind w:firstLine="583"/>
        <w:rPr>
          <w:highlight w:val="black"/>
          <w:lang w:val="zh-CN"/>
        </w:rPr>
      </w:pPr>
      <w:r>
        <w:rPr>
          <w:rFonts w:hint="eastAsia"/>
          <w:highlight w:val="black"/>
        </w:rPr>
        <w:t>2）</w:t>
      </w:r>
      <w:r>
        <w:rPr>
          <w:rFonts w:hint="eastAsia"/>
          <w:highlight w:val="black"/>
          <w:lang w:val="zh-CN"/>
        </w:rPr>
        <w:t>比拟法</w:t>
      </w:r>
    </w:p>
    <w:p w14:paraId="31B47780">
      <w:pPr>
        <w:ind w:firstLine="583"/>
        <w:rPr>
          <w:highlight w:val="black"/>
          <w:lang w:val="zh-CN"/>
        </w:rPr>
      </w:pPr>
      <w:r>
        <w:rPr>
          <w:highlight w:val="black"/>
          <w:lang w:val="zh-CN"/>
        </w:rPr>
        <w:t>矿区未来开采方式采用地下开采，通过收集</w:t>
      </w:r>
      <w:r>
        <w:rPr>
          <w:rFonts w:hint="eastAsia"/>
          <w:highlight w:val="black"/>
          <w:lang w:val="zh-CN"/>
        </w:rPr>
        <w:t>矿</w:t>
      </w:r>
      <w:r>
        <w:rPr>
          <w:highlight w:val="black"/>
          <w:lang w:val="zh-CN"/>
        </w:rPr>
        <w:t>区西部临近矿山本溪市宏鹏矿业有限责任公司坑道涌水量数据，据矿山介绍+7m中段开采时，日涌水量30m</w:t>
      </w:r>
      <w:r>
        <w:rPr>
          <w:highlight w:val="black"/>
          <w:vertAlign w:val="superscript"/>
          <w:lang w:val="zh-CN"/>
        </w:rPr>
        <w:t>3</w:t>
      </w:r>
      <w:r>
        <w:rPr>
          <w:highlight w:val="black"/>
          <w:lang w:val="zh-CN"/>
        </w:rPr>
        <w:t>/h，雨季时可达40m</w:t>
      </w:r>
      <w:r>
        <w:rPr>
          <w:highlight w:val="black"/>
          <w:vertAlign w:val="superscript"/>
          <w:lang w:val="zh-CN"/>
        </w:rPr>
        <w:t>3</w:t>
      </w:r>
      <w:r>
        <w:rPr>
          <w:highlight w:val="black"/>
          <w:lang w:val="zh-CN"/>
        </w:rPr>
        <w:t>/h。其涌水量最大可达960m</w:t>
      </w:r>
      <w:r>
        <w:rPr>
          <w:highlight w:val="black"/>
          <w:vertAlign w:val="superscript"/>
          <w:lang w:val="zh-CN"/>
        </w:rPr>
        <w:t>3</w:t>
      </w:r>
      <w:r>
        <w:rPr>
          <w:highlight w:val="black"/>
          <w:lang w:val="zh-CN"/>
        </w:rPr>
        <w:t>/d，</w:t>
      </w:r>
      <w:r>
        <w:rPr>
          <w:rFonts w:hint="eastAsia"/>
          <w:highlight w:val="black"/>
          <w:lang w:val="zh-CN"/>
        </w:rPr>
        <w:t>该矿山距离本矿距离较近，根据两矿山的《储量核实报告》，两矿山矿体赋存条件、水文地质特征均相似，故可以</w:t>
      </w:r>
      <w:r>
        <w:rPr>
          <w:highlight w:val="black"/>
          <w:lang w:val="zh-CN"/>
        </w:rPr>
        <w:t>采用</w:t>
      </w:r>
      <w:r>
        <w:rPr>
          <w:rFonts w:hint="eastAsia"/>
          <w:highlight w:val="black"/>
          <w:lang w:val="zh-CN"/>
        </w:rPr>
        <w:t>本溪市宏鹏矿业有限责任公司的坑道涌水量进行</w:t>
      </w:r>
      <w:r>
        <w:rPr>
          <w:highlight w:val="black"/>
          <w:lang w:val="zh-CN"/>
        </w:rPr>
        <w:t>水文地质比拟法估算</w:t>
      </w:r>
      <w:r>
        <w:rPr>
          <w:rFonts w:hint="eastAsia"/>
          <w:highlight w:val="black"/>
          <w:lang w:val="zh-CN"/>
        </w:rPr>
        <w:t>本矿山未来的涌水量</w:t>
      </w:r>
      <w:r>
        <w:rPr>
          <w:highlight w:val="black"/>
          <w:lang w:val="zh-CN"/>
        </w:rPr>
        <w:t>。选用哲才-克拉斯诺波里斯基公式计算，即：</w:t>
      </w:r>
    </w:p>
    <w:p w14:paraId="735937DF">
      <w:pPr>
        <w:snapToGrid w:val="0"/>
        <w:spacing w:line="520" w:lineRule="atLeast"/>
        <w:ind w:firstLine="543"/>
        <w:jc w:val="center"/>
        <w:rPr>
          <w:sz w:val="26"/>
          <w:szCs w:val="26"/>
          <w:highlight w:val="black"/>
        </w:rPr>
      </w:pPr>
      <w:r>
        <w:rPr>
          <w:sz w:val="26"/>
          <w:szCs w:val="26"/>
          <w:highlight w:val="black"/>
        </w:rPr>
        <w:drawing>
          <wp:inline distT="0" distB="0" distL="114300" distR="114300">
            <wp:extent cx="995045" cy="475615"/>
            <wp:effectExtent l="0" t="0" r="10795" b="1206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7"/>
                    <a:stretch>
                      <a:fillRect/>
                    </a:stretch>
                  </pic:blipFill>
                  <pic:spPr>
                    <a:xfrm>
                      <a:off x="0" y="0"/>
                      <a:ext cx="995045" cy="475615"/>
                    </a:xfrm>
                    <a:prstGeom prst="rect">
                      <a:avLst/>
                    </a:prstGeom>
                    <a:noFill/>
                    <a:ln>
                      <a:noFill/>
                    </a:ln>
                  </pic:spPr>
                </pic:pic>
              </a:graphicData>
            </a:graphic>
          </wp:inline>
        </w:drawing>
      </w:r>
    </w:p>
    <w:p w14:paraId="40C16610">
      <w:pPr>
        <w:ind w:firstLine="583"/>
        <w:rPr>
          <w:highlight w:val="black"/>
        </w:rPr>
      </w:pPr>
      <w:r>
        <w:rPr>
          <w:highlight w:val="black"/>
        </w:rPr>
        <w:t>式中：Q—预测的矿坑涌水量</w:t>
      </w:r>
      <w:r>
        <w:rPr>
          <w:rFonts w:hint="eastAsia"/>
          <w:highlight w:val="black"/>
        </w:rPr>
        <w:t>，m</w:t>
      </w:r>
      <w:r>
        <w:rPr>
          <w:rFonts w:hint="eastAsia"/>
          <w:highlight w:val="black"/>
          <w:vertAlign w:val="superscript"/>
        </w:rPr>
        <w:t>3</w:t>
      </w:r>
      <w:r>
        <w:rPr>
          <w:highlight w:val="black"/>
        </w:rPr>
        <w:t>/</w:t>
      </w:r>
      <w:r>
        <w:rPr>
          <w:rFonts w:hint="eastAsia"/>
          <w:highlight w:val="black"/>
        </w:rPr>
        <w:t>d</w:t>
      </w:r>
      <w:r>
        <w:rPr>
          <w:highlight w:val="black"/>
        </w:rPr>
        <w:t>；</w:t>
      </w:r>
    </w:p>
    <w:p w14:paraId="56755DFC">
      <w:pPr>
        <w:ind w:firstLine="583"/>
        <w:rPr>
          <w:highlight w:val="black"/>
        </w:rPr>
      </w:pPr>
      <w:r>
        <w:rPr>
          <w:highlight w:val="black"/>
        </w:rPr>
        <w:t>Q</w:t>
      </w:r>
      <w:r>
        <w:rPr>
          <w:highlight w:val="black"/>
          <w:vertAlign w:val="subscript"/>
        </w:rPr>
        <w:t>0</w:t>
      </w:r>
      <w:r>
        <w:rPr>
          <w:highlight w:val="black"/>
        </w:rPr>
        <w:t>—选择比拟坑道的涌水量</w:t>
      </w:r>
      <w:r>
        <w:rPr>
          <w:rFonts w:hint="eastAsia"/>
          <w:highlight w:val="black"/>
        </w:rPr>
        <w:t>，m</w:t>
      </w:r>
      <w:r>
        <w:rPr>
          <w:rFonts w:hint="eastAsia"/>
          <w:highlight w:val="black"/>
          <w:vertAlign w:val="superscript"/>
        </w:rPr>
        <w:t>3</w:t>
      </w:r>
      <w:r>
        <w:rPr>
          <w:highlight w:val="black"/>
        </w:rPr>
        <w:t>/</w:t>
      </w:r>
      <w:r>
        <w:rPr>
          <w:rFonts w:hint="eastAsia"/>
          <w:highlight w:val="black"/>
        </w:rPr>
        <w:t>d</w:t>
      </w:r>
      <w:r>
        <w:rPr>
          <w:highlight w:val="black"/>
        </w:rPr>
        <w:t>；本次估算参考本溪市宏鹏矿业有限责任公司采矿区+7m中段涌水量</w:t>
      </w:r>
      <w:r>
        <w:rPr>
          <w:rFonts w:hint="eastAsia"/>
          <w:highlight w:val="black"/>
        </w:rPr>
        <w:t>；</w:t>
      </w:r>
    </w:p>
    <w:p w14:paraId="6FA37525">
      <w:pPr>
        <w:ind w:firstLine="583"/>
        <w:rPr>
          <w:highlight w:val="black"/>
        </w:rPr>
      </w:pPr>
      <w:r>
        <w:rPr>
          <w:highlight w:val="black"/>
        </w:rPr>
        <w:t>F—预测矿坑控制面积</w:t>
      </w:r>
      <w:r>
        <w:rPr>
          <w:rFonts w:hint="eastAsia"/>
          <w:highlight w:val="black"/>
        </w:rPr>
        <w:t>，</w:t>
      </w:r>
      <w:r>
        <w:rPr>
          <w:highlight w:val="black"/>
        </w:rPr>
        <w:t>m</w:t>
      </w:r>
      <w:r>
        <w:rPr>
          <w:highlight w:val="black"/>
          <w:vertAlign w:val="superscript"/>
        </w:rPr>
        <w:t>2</w:t>
      </w:r>
      <w:r>
        <w:rPr>
          <w:highlight w:val="black"/>
        </w:rPr>
        <w:t>；由于矿山未来只向深部开采，本次估算取值与选择比拟矿体面积相近，取值370600m</w:t>
      </w:r>
      <w:r>
        <w:rPr>
          <w:highlight w:val="black"/>
          <w:vertAlign w:val="superscript"/>
        </w:rPr>
        <w:t>2</w:t>
      </w:r>
      <w:r>
        <w:rPr>
          <w:rFonts w:hint="eastAsia"/>
          <w:highlight w:val="black"/>
        </w:rPr>
        <w:t>；</w:t>
      </w:r>
    </w:p>
    <w:p w14:paraId="6CD1FC28">
      <w:pPr>
        <w:ind w:firstLine="583"/>
        <w:rPr>
          <w:highlight w:val="black"/>
        </w:rPr>
      </w:pPr>
      <w:r>
        <w:rPr>
          <w:highlight w:val="black"/>
        </w:rPr>
        <w:t>F0—选择比拟坑道控制面积</w:t>
      </w:r>
      <w:r>
        <w:rPr>
          <w:rFonts w:hint="eastAsia"/>
          <w:highlight w:val="black"/>
        </w:rPr>
        <w:t>，m</w:t>
      </w:r>
      <w:r>
        <w:rPr>
          <w:highlight w:val="black"/>
          <w:vertAlign w:val="superscript"/>
        </w:rPr>
        <w:t>2</w:t>
      </w:r>
      <w:r>
        <w:rPr>
          <w:highlight w:val="black"/>
        </w:rPr>
        <w:t>，取值458000m</w:t>
      </w:r>
      <w:r>
        <w:rPr>
          <w:highlight w:val="black"/>
          <w:vertAlign w:val="superscript"/>
        </w:rPr>
        <w:t>2</w:t>
      </w:r>
      <w:r>
        <w:rPr>
          <w:rFonts w:hint="eastAsia"/>
          <w:highlight w:val="black"/>
        </w:rPr>
        <w:t>；</w:t>
      </w:r>
    </w:p>
    <w:p w14:paraId="4EC38424">
      <w:pPr>
        <w:ind w:firstLine="583"/>
        <w:rPr>
          <w:highlight w:val="black"/>
        </w:rPr>
      </w:pPr>
      <w:r>
        <w:rPr>
          <w:highlight w:val="black"/>
        </w:rPr>
        <w:t>S0—参考采矿区+7m中段矿坑的水位降深</w:t>
      </w:r>
      <w:r>
        <w:rPr>
          <w:rFonts w:hint="eastAsia"/>
          <w:highlight w:val="black"/>
        </w:rPr>
        <w:t>，m</w:t>
      </w:r>
      <w:r>
        <w:rPr>
          <w:highlight w:val="black"/>
        </w:rPr>
        <w:t>；按照矿区地下水</w:t>
      </w:r>
      <w:r>
        <w:rPr>
          <w:rFonts w:hint="eastAsia"/>
          <w:highlight w:val="black"/>
        </w:rPr>
        <w:t>一般为</w:t>
      </w:r>
      <w:r>
        <w:rPr>
          <w:highlight w:val="black"/>
        </w:rPr>
        <w:t>140.65</w:t>
      </w:r>
      <w:r>
        <w:rPr>
          <w:rFonts w:hint="eastAsia"/>
          <w:highlight w:val="black"/>
        </w:rPr>
        <w:t>～</w:t>
      </w:r>
      <w:r>
        <w:rPr>
          <w:highlight w:val="black"/>
        </w:rPr>
        <w:t>177.07m，取最高+177.07m为计算水位，取值170.07m</w:t>
      </w:r>
      <w:r>
        <w:rPr>
          <w:rFonts w:hint="eastAsia"/>
          <w:highlight w:val="black"/>
        </w:rPr>
        <w:t>；</w:t>
      </w:r>
    </w:p>
    <w:p w14:paraId="3DB12B6D">
      <w:pPr>
        <w:ind w:firstLine="583"/>
        <w:rPr>
          <w:highlight w:val="black"/>
        </w:rPr>
      </w:pPr>
      <w:r>
        <w:rPr>
          <w:highlight w:val="black"/>
        </w:rPr>
        <w:t>S—预测矿坑的水位降深</w:t>
      </w:r>
      <w:r>
        <w:rPr>
          <w:rFonts w:hint="eastAsia"/>
          <w:highlight w:val="black"/>
        </w:rPr>
        <w:t>，m</w:t>
      </w:r>
      <w:r>
        <w:rPr>
          <w:highlight w:val="black"/>
        </w:rPr>
        <w:t>；本次估算按照最低开采标高-4</w:t>
      </w:r>
      <w:r>
        <w:rPr>
          <w:rFonts w:hint="eastAsia"/>
          <w:highlight w:val="black"/>
        </w:rPr>
        <w:t>0</w:t>
      </w:r>
      <w:r>
        <w:rPr>
          <w:highlight w:val="black"/>
        </w:rPr>
        <w:t>m，取值222.07m。</w:t>
      </w:r>
    </w:p>
    <w:p w14:paraId="50DBBFFA">
      <w:pPr>
        <w:ind w:firstLine="583"/>
        <w:rPr>
          <w:highlight w:val="black"/>
        </w:rPr>
      </w:pPr>
      <w:r>
        <w:rPr>
          <w:highlight w:val="black"/>
        </w:rPr>
        <w:t>计算未来矿山开采</w:t>
      </w:r>
      <w:r>
        <w:rPr>
          <w:rFonts w:hint="eastAsia"/>
          <w:highlight w:val="black"/>
        </w:rPr>
        <w:t>至最低中段时日正常涌水量为665.7</w:t>
      </w:r>
      <w:r>
        <w:rPr>
          <w:highlight w:val="black"/>
        </w:rPr>
        <w:t>m</w:t>
      </w:r>
      <w:r>
        <w:rPr>
          <w:highlight w:val="black"/>
          <w:vertAlign w:val="superscript"/>
        </w:rPr>
        <w:t>3</w:t>
      </w:r>
      <w:r>
        <w:rPr>
          <w:highlight w:val="black"/>
        </w:rPr>
        <w:t>/d</w:t>
      </w:r>
      <w:r>
        <w:rPr>
          <w:rFonts w:hint="eastAsia"/>
          <w:highlight w:val="black"/>
        </w:rPr>
        <w:t>，</w:t>
      </w:r>
      <w:r>
        <w:rPr>
          <w:highlight w:val="black"/>
        </w:rPr>
        <w:t>日最大涌水量为887.</w:t>
      </w:r>
      <w:r>
        <w:rPr>
          <w:rFonts w:hint="eastAsia"/>
          <w:highlight w:val="black"/>
        </w:rPr>
        <w:t>7</w:t>
      </w:r>
      <w:r>
        <w:rPr>
          <w:highlight w:val="black"/>
        </w:rPr>
        <w:t>m</w:t>
      </w:r>
      <w:r>
        <w:rPr>
          <w:highlight w:val="black"/>
          <w:vertAlign w:val="superscript"/>
        </w:rPr>
        <w:t>3</w:t>
      </w:r>
      <w:r>
        <w:rPr>
          <w:highlight w:val="black"/>
        </w:rPr>
        <w:t>/d。</w:t>
      </w:r>
    </w:p>
    <w:p w14:paraId="1960A952">
      <w:pPr>
        <w:ind w:firstLine="583"/>
        <w:rPr>
          <w:highlight w:val="black"/>
        </w:rPr>
      </w:pPr>
      <w:r>
        <w:rPr>
          <w:highlight w:val="black"/>
        </w:rPr>
        <w:t>本矿区水文地质条件</w:t>
      </w:r>
      <w:r>
        <w:rPr>
          <w:rFonts w:hint="eastAsia"/>
          <w:highlight w:val="black"/>
        </w:rPr>
        <w:t>中等</w:t>
      </w:r>
      <w:r>
        <w:rPr>
          <w:highlight w:val="black"/>
        </w:rPr>
        <w:t>，</w:t>
      </w:r>
      <w:r>
        <w:rPr>
          <w:rFonts w:hint="eastAsia"/>
          <w:highlight w:val="black"/>
        </w:rPr>
        <w:t>两种方法</w:t>
      </w:r>
      <w:r>
        <w:rPr>
          <w:highlight w:val="black"/>
        </w:rPr>
        <w:t>计算公式</w:t>
      </w:r>
      <w:r>
        <w:rPr>
          <w:rFonts w:hint="eastAsia"/>
          <w:highlight w:val="black"/>
        </w:rPr>
        <w:t>及参数选取</w:t>
      </w:r>
      <w:r>
        <w:rPr>
          <w:highlight w:val="black"/>
        </w:rPr>
        <w:t>基本合理，</w:t>
      </w:r>
      <w:r>
        <w:rPr>
          <w:rFonts w:hint="eastAsia"/>
          <w:highlight w:val="black"/>
        </w:rPr>
        <w:t>且两种方法计算结果较近，</w:t>
      </w:r>
      <w:r>
        <w:rPr>
          <w:highlight w:val="black"/>
        </w:rPr>
        <w:t>计算结果较为可靠。</w:t>
      </w:r>
      <w:r>
        <w:rPr>
          <w:rFonts w:hint="eastAsia"/>
          <w:highlight w:val="black"/>
        </w:rPr>
        <w:t>本次设计选取较大的作为未来开采至最低水平</w:t>
      </w:r>
      <w:r>
        <w:rPr>
          <w:highlight w:val="black"/>
        </w:rPr>
        <w:t>-</w:t>
      </w:r>
      <w:r>
        <w:rPr>
          <w:rFonts w:hint="eastAsia"/>
          <w:highlight w:val="black"/>
        </w:rPr>
        <w:t>4</w:t>
      </w:r>
      <w:r>
        <w:rPr>
          <w:highlight w:val="black"/>
        </w:rPr>
        <w:t>0</w:t>
      </w:r>
      <w:r>
        <w:rPr>
          <w:rFonts w:hint="eastAsia"/>
          <w:highlight w:val="black"/>
        </w:rPr>
        <w:t>m水平时的涌水量数据，正常涌水量为665.7</w:t>
      </w:r>
      <w:r>
        <w:rPr>
          <w:highlight w:val="black"/>
        </w:rPr>
        <w:t>m</w:t>
      </w:r>
      <w:r>
        <w:rPr>
          <w:highlight w:val="black"/>
          <w:vertAlign w:val="superscript"/>
        </w:rPr>
        <w:t>3</w:t>
      </w:r>
      <w:r>
        <w:rPr>
          <w:highlight w:val="black"/>
        </w:rPr>
        <w:t>/d</w:t>
      </w:r>
      <w:r>
        <w:rPr>
          <w:rFonts w:hint="eastAsia"/>
          <w:highlight w:val="black"/>
        </w:rPr>
        <w:t>，最大涌水量为887.7</w:t>
      </w:r>
      <w:r>
        <w:rPr>
          <w:highlight w:val="black"/>
        </w:rPr>
        <w:t>m</w:t>
      </w:r>
      <w:r>
        <w:rPr>
          <w:highlight w:val="black"/>
          <w:vertAlign w:val="superscript"/>
        </w:rPr>
        <w:t>3</w:t>
      </w:r>
      <w:r>
        <w:rPr>
          <w:highlight w:val="black"/>
        </w:rPr>
        <w:t>/d。</w:t>
      </w:r>
    </w:p>
    <w:p w14:paraId="2C4C7DEA">
      <w:pPr>
        <w:ind w:firstLine="583"/>
        <w:rPr>
          <w:highlight w:val="black"/>
        </w:rPr>
      </w:pPr>
      <w:bookmarkStart w:id="139" w:name="_Toc142639485"/>
      <w:bookmarkStart w:id="140" w:name="_Toc144365381"/>
      <w:r>
        <w:rPr>
          <w:rFonts w:hint="eastAsia"/>
          <w:highlight w:val="black"/>
        </w:rPr>
        <w:t>（6）</w:t>
      </w:r>
      <w:r>
        <w:rPr>
          <w:highlight w:val="black"/>
        </w:rPr>
        <w:t>涌</w:t>
      </w:r>
      <w:r>
        <w:rPr>
          <w:rFonts w:hint="eastAsia"/>
          <w:highlight w:val="black"/>
        </w:rPr>
        <w:t>（</w:t>
      </w:r>
      <w:r>
        <w:rPr>
          <w:highlight w:val="black"/>
        </w:rPr>
        <w:t>突</w:t>
      </w:r>
      <w:r>
        <w:rPr>
          <w:rFonts w:hint="eastAsia"/>
          <w:highlight w:val="black"/>
        </w:rPr>
        <w:t>）</w:t>
      </w:r>
      <w:r>
        <w:rPr>
          <w:highlight w:val="black"/>
        </w:rPr>
        <w:t>水危险性</w:t>
      </w:r>
      <w:bookmarkEnd w:id="139"/>
      <w:bookmarkEnd w:id="140"/>
    </w:p>
    <w:p w14:paraId="0D874CA8">
      <w:pPr>
        <w:ind w:firstLine="583"/>
        <w:rPr>
          <w:highlight w:val="black"/>
        </w:rPr>
      </w:pPr>
      <w:r>
        <w:rPr>
          <w:highlight w:val="black"/>
        </w:rPr>
        <w:t>矿体赋存标高部分在侵蚀基准面及潜水面之下，基岩裂隙水</w:t>
      </w:r>
      <w:r>
        <w:rPr>
          <w:rFonts w:hint="eastAsia"/>
          <w:highlight w:val="black"/>
        </w:rPr>
        <w:t>（</w:t>
      </w:r>
      <w:r>
        <w:rPr>
          <w:highlight w:val="black"/>
        </w:rPr>
        <w:t>风化裂隙水</w:t>
      </w:r>
      <w:r>
        <w:rPr>
          <w:rFonts w:hint="eastAsia"/>
          <w:highlight w:val="black"/>
        </w:rPr>
        <w:t>）</w:t>
      </w:r>
      <w:r>
        <w:rPr>
          <w:highlight w:val="black"/>
        </w:rPr>
        <w:t>富水性中等，且有河流穿越矿区，当井巷施工和采矿作业靠近河流，位于矿体浅埋地段，遇有断裂破碎带时，可能产生矿坑突水问题。矿山未来进行地下开采时，应制定坑道突水防治应急预案，配备必要的抽排水设备。对于靠近地表水坑道要仔细观测，防止产生地下坑道涌水，施工应采取明硐开挖，采取边开挖支护及时衬砌措施。在矿体浅埋地段和遇有断裂破碎带时，应加强坑道渗水观测，及时采取探水、放水、排水措施，将突水事故消灭在萌芽中。</w:t>
      </w:r>
    </w:p>
    <w:bookmarkEnd w:id="116"/>
    <w:bookmarkEnd w:id="117"/>
    <w:bookmarkEnd w:id="118"/>
    <w:bookmarkEnd w:id="119"/>
    <w:bookmarkEnd w:id="120"/>
    <w:p w14:paraId="1A9489EC">
      <w:pPr>
        <w:pStyle w:val="4"/>
        <w:ind w:firstLine="0" w:firstLineChars="0"/>
      </w:pPr>
      <w:r>
        <w:t>2.3.3工程地质概况</w:t>
      </w:r>
      <w:bookmarkEnd w:id="115"/>
    </w:p>
    <w:p w14:paraId="4F7BE1C0">
      <w:pPr>
        <w:ind w:firstLine="583"/>
        <w:rPr>
          <w:highlight w:val="black"/>
        </w:rPr>
      </w:pPr>
      <w:bookmarkStart w:id="141" w:name="_Toc422418754"/>
      <w:r>
        <w:rPr>
          <w:rFonts w:hint="eastAsia"/>
          <w:highlight w:val="black"/>
        </w:rPr>
        <w:t>1、工程地质岩组特征</w:t>
      </w:r>
    </w:p>
    <w:p w14:paraId="5E90535F">
      <w:pPr>
        <w:ind w:firstLine="583"/>
        <w:rPr>
          <w:highlight w:val="black"/>
        </w:rPr>
      </w:pPr>
      <w:r>
        <w:rPr>
          <w:highlight w:val="black"/>
        </w:rPr>
        <w:t>工程地质岩组划分是研究岩体结构和岩体稳定性的基础，岩组的划分是在地层划分的基础上，</w:t>
      </w:r>
      <w:r>
        <w:rPr>
          <w:rFonts w:hint="eastAsia"/>
          <w:highlight w:val="black"/>
        </w:rPr>
        <w:t>企业</w:t>
      </w:r>
      <w:r>
        <w:rPr>
          <w:highlight w:val="black"/>
        </w:rPr>
        <w:t>针对矿体围岩和铁矿体共采集9个样品进行岩石物理力学指标测试</w:t>
      </w:r>
      <w:r>
        <w:rPr>
          <w:rFonts w:hint="eastAsia"/>
          <w:highlight w:val="black"/>
        </w:rPr>
        <w:t>，取样主要来自主矿体Fe4号矿体以及其上下盘围岩</w:t>
      </w:r>
      <w:r>
        <w:rPr>
          <w:highlight w:val="black"/>
        </w:rPr>
        <w:t>。</w:t>
      </w:r>
    </w:p>
    <w:p w14:paraId="61DB4E6F">
      <w:pPr>
        <w:ind w:firstLine="583"/>
        <w:rPr>
          <w:highlight w:val="black"/>
        </w:rPr>
      </w:pPr>
      <w:r>
        <w:rPr>
          <w:highlight w:val="black"/>
        </w:rPr>
        <w:t>根据岩石力学试验结果按单轴抗压强度划分，二长花岗片麻岩抗压强度值为65.25MPa，岩石强度为坚硬岩，斜长角闪片麻岩抗压强度值为34.10MPa，岩石强度为较硬岩，磁铁石英岩平均抗压强度值为57.37MPa，岩石强度为较硬岩。以上说明矿区岩石强度较大，矿区范围内所见的矿体的稳定性较好。</w:t>
      </w:r>
    </w:p>
    <w:p w14:paraId="0B562D9E">
      <w:pPr>
        <w:spacing w:line="240" w:lineRule="auto"/>
        <w:ind w:firstLine="0" w:firstLineChars="0"/>
        <w:jc w:val="center"/>
        <w:rPr>
          <w:b/>
          <w:sz w:val="21"/>
          <w:szCs w:val="21"/>
        </w:rPr>
      </w:pPr>
    </w:p>
    <w:p w14:paraId="355CD9E2">
      <w:pPr>
        <w:spacing w:line="240" w:lineRule="auto"/>
        <w:ind w:firstLine="0" w:firstLineChars="0"/>
        <w:jc w:val="center"/>
        <w:rPr>
          <w:b/>
          <w:sz w:val="21"/>
          <w:szCs w:val="21"/>
        </w:rPr>
      </w:pPr>
      <w:r>
        <w:rPr>
          <w:b/>
          <w:sz w:val="21"/>
          <w:szCs w:val="21"/>
        </w:rPr>
        <w:t>表</w:t>
      </w:r>
      <w:r>
        <w:rPr>
          <w:rFonts w:hint="eastAsia"/>
          <w:b/>
          <w:sz w:val="21"/>
          <w:szCs w:val="21"/>
        </w:rPr>
        <w:t>2</w:t>
      </w:r>
      <w:r>
        <w:rPr>
          <w:b/>
          <w:sz w:val="21"/>
          <w:szCs w:val="21"/>
        </w:rPr>
        <w:t>-</w:t>
      </w:r>
      <w:r>
        <w:rPr>
          <w:rFonts w:hint="eastAsia"/>
          <w:b/>
          <w:sz w:val="21"/>
          <w:szCs w:val="21"/>
        </w:rPr>
        <w:t xml:space="preserve">4 </w:t>
      </w:r>
      <w:r>
        <w:rPr>
          <w:b/>
          <w:sz w:val="21"/>
          <w:szCs w:val="21"/>
        </w:rPr>
        <w:t>岩石物理力学试验表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2789"/>
        <w:gridCol w:w="1646"/>
        <w:gridCol w:w="1850"/>
        <w:gridCol w:w="1189"/>
      </w:tblGrid>
      <w:tr w14:paraId="79D0F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vMerge w:val="restart"/>
            <w:tcBorders>
              <w:tl2br w:val="nil"/>
              <w:tr2bl w:val="nil"/>
            </w:tcBorders>
            <w:noWrap/>
            <w:vAlign w:val="center"/>
          </w:tcPr>
          <w:p w14:paraId="461F799C">
            <w:pPr>
              <w:widowControl/>
              <w:spacing w:line="240" w:lineRule="auto"/>
              <w:ind w:firstLine="0" w:firstLineChars="0"/>
              <w:jc w:val="center"/>
              <w:rPr>
                <w:kern w:val="0"/>
                <w:sz w:val="21"/>
                <w:szCs w:val="21"/>
                <w:highlight w:val="black"/>
              </w:rPr>
            </w:pPr>
            <w:r>
              <w:rPr>
                <w:kern w:val="0"/>
                <w:sz w:val="21"/>
                <w:szCs w:val="21"/>
                <w:highlight w:val="black"/>
              </w:rPr>
              <w:t>化验编号</w:t>
            </w:r>
          </w:p>
        </w:tc>
        <w:tc>
          <w:tcPr>
            <w:tcW w:w="1610" w:type="pct"/>
            <w:vMerge w:val="restart"/>
            <w:tcBorders>
              <w:tl2br w:val="nil"/>
              <w:tr2bl w:val="nil"/>
            </w:tcBorders>
            <w:noWrap/>
            <w:vAlign w:val="center"/>
          </w:tcPr>
          <w:p w14:paraId="40892C97">
            <w:pPr>
              <w:widowControl/>
              <w:spacing w:line="240" w:lineRule="auto"/>
              <w:ind w:firstLine="0" w:firstLineChars="0"/>
              <w:jc w:val="center"/>
              <w:rPr>
                <w:kern w:val="0"/>
                <w:sz w:val="21"/>
                <w:szCs w:val="21"/>
                <w:highlight w:val="black"/>
              </w:rPr>
            </w:pPr>
            <w:r>
              <w:rPr>
                <w:kern w:val="0"/>
                <w:sz w:val="21"/>
                <w:szCs w:val="21"/>
                <w:highlight w:val="black"/>
              </w:rPr>
              <w:t>岩性</w:t>
            </w:r>
          </w:p>
        </w:tc>
        <w:tc>
          <w:tcPr>
            <w:tcW w:w="950" w:type="pct"/>
            <w:tcBorders>
              <w:tl2br w:val="nil"/>
              <w:tr2bl w:val="nil"/>
            </w:tcBorders>
            <w:vAlign w:val="center"/>
          </w:tcPr>
          <w:p w14:paraId="69806B4E">
            <w:pPr>
              <w:widowControl/>
              <w:spacing w:line="240" w:lineRule="auto"/>
              <w:ind w:firstLine="0" w:firstLineChars="0"/>
              <w:jc w:val="center"/>
              <w:rPr>
                <w:kern w:val="0"/>
                <w:sz w:val="21"/>
                <w:szCs w:val="21"/>
                <w:highlight w:val="black"/>
              </w:rPr>
            </w:pPr>
            <w:r>
              <w:rPr>
                <w:kern w:val="0"/>
                <w:sz w:val="21"/>
                <w:szCs w:val="21"/>
                <w:highlight w:val="black"/>
              </w:rPr>
              <w:t>单轴抗压强度</w:t>
            </w:r>
          </w:p>
        </w:tc>
        <w:tc>
          <w:tcPr>
            <w:tcW w:w="1068" w:type="pct"/>
            <w:tcBorders>
              <w:tl2br w:val="nil"/>
              <w:tr2bl w:val="nil"/>
            </w:tcBorders>
            <w:noWrap/>
            <w:vAlign w:val="center"/>
          </w:tcPr>
          <w:p w14:paraId="7EA16FFD">
            <w:pPr>
              <w:widowControl/>
              <w:spacing w:line="240" w:lineRule="auto"/>
              <w:ind w:firstLine="0" w:firstLineChars="0"/>
              <w:jc w:val="center"/>
              <w:rPr>
                <w:kern w:val="0"/>
                <w:sz w:val="21"/>
                <w:szCs w:val="21"/>
                <w:highlight w:val="black"/>
              </w:rPr>
            </w:pPr>
            <w:r>
              <w:rPr>
                <w:kern w:val="0"/>
                <w:sz w:val="21"/>
                <w:szCs w:val="21"/>
                <w:highlight w:val="black"/>
              </w:rPr>
              <w:t>抗剪强度</w:t>
            </w:r>
          </w:p>
        </w:tc>
        <w:tc>
          <w:tcPr>
            <w:tcW w:w="686" w:type="pct"/>
            <w:tcBorders>
              <w:tl2br w:val="nil"/>
              <w:tr2bl w:val="nil"/>
            </w:tcBorders>
            <w:vAlign w:val="center"/>
          </w:tcPr>
          <w:p w14:paraId="12524941">
            <w:pPr>
              <w:widowControl/>
              <w:spacing w:line="240" w:lineRule="auto"/>
              <w:ind w:firstLine="0" w:firstLineChars="0"/>
              <w:jc w:val="center"/>
              <w:rPr>
                <w:kern w:val="0"/>
                <w:sz w:val="21"/>
                <w:szCs w:val="21"/>
                <w:highlight w:val="black"/>
              </w:rPr>
            </w:pPr>
            <w:r>
              <w:rPr>
                <w:kern w:val="0"/>
                <w:sz w:val="21"/>
                <w:szCs w:val="21"/>
                <w:highlight w:val="black"/>
              </w:rPr>
              <w:t>抗拉强度</w:t>
            </w:r>
          </w:p>
        </w:tc>
      </w:tr>
      <w:tr w14:paraId="6A0B5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86" w:type="pct"/>
            <w:vMerge w:val="continue"/>
            <w:tcBorders>
              <w:tl2br w:val="nil"/>
              <w:tr2bl w:val="nil"/>
            </w:tcBorders>
            <w:vAlign w:val="center"/>
          </w:tcPr>
          <w:p w14:paraId="61B9D3CD">
            <w:pPr>
              <w:widowControl/>
              <w:spacing w:line="240" w:lineRule="auto"/>
              <w:ind w:firstLine="0" w:firstLineChars="0"/>
              <w:jc w:val="left"/>
              <w:rPr>
                <w:kern w:val="0"/>
                <w:sz w:val="21"/>
                <w:szCs w:val="21"/>
                <w:highlight w:val="black"/>
              </w:rPr>
            </w:pPr>
          </w:p>
        </w:tc>
        <w:tc>
          <w:tcPr>
            <w:tcW w:w="1610" w:type="pct"/>
            <w:vMerge w:val="continue"/>
            <w:tcBorders>
              <w:tl2br w:val="nil"/>
              <w:tr2bl w:val="nil"/>
            </w:tcBorders>
            <w:vAlign w:val="center"/>
          </w:tcPr>
          <w:p w14:paraId="30FF3FE8">
            <w:pPr>
              <w:widowControl/>
              <w:spacing w:line="240" w:lineRule="auto"/>
              <w:ind w:firstLine="0" w:firstLineChars="0"/>
              <w:jc w:val="left"/>
              <w:rPr>
                <w:kern w:val="0"/>
                <w:sz w:val="21"/>
                <w:szCs w:val="21"/>
                <w:highlight w:val="black"/>
              </w:rPr>
            </w:pPr>
          </w:p>
        </w:tc>
        <w:tc>
          <w:tcPr>
            <w:tcW w:w="950" w:type="pct"/>
            <w:tcBorders>
              <w:tl2br w:val="nil"/>
              <w:tr2bl w:val="nil"/>
            </w:tcBorders>
            <w:vAlign w:val="center"/>
          </w:tcPr>
          <w:p w14:paraId="4B43785A">
            <w:pPr>
              <w:widowControl/>
              <w:spacing w:line="240" w:lineRule="auto"/>
              <w:ind w:firstLine="0" w:firstLineChars="0"/>
              <w:jc w:val="center"/>
              <w:rPr>
                <w:kern w:val="0"/>
                <w:sz w:val="21"/>
                <w:szCs w:val="21"/>
                <w:highlight w:val="black"/>
              </w:rPr>
            </w:pPr>
            <w:r>
              <w:rPr>
                <w:kern w:val="0"/>
                <w:sz w:val="21"/>
                <w:szCs w:val="21"/>
                <w:highlight w:val="black"/>
              </w:rPr>
              <w:t>(MPa)</w:t>
            </w:r>
          </w:p>
        </w:tc>
        <w:tc>
          <w:tcPr>
            <w:tcW w:w="1068" w:type="pct"/>
            <w:tcBorders>
              <w:tl2br w:val="nil"/>
              <w:tr2bl w:val="nil"/>
            </w:tcBorders>
            <w:noWrap/>
            <w:vAlign w:val="center"/>
          </w:tcPr>
          <w:p w14:paraId="766D0310">
            <w:pPr>
              <w:widowControl/>
              <w:spacing w:line="240" w:lineRule="auto"/>
              <w:ind w:firstLine="0" w:firstLineChars="0"/>
              <w:jc w:val="center"/>
              <w:rPr>
                <w:kern w:val="0"/>
                <w:sz w:val="21"/>
                <w:szCs w:val="21"/>
                <w:highlight w:val="black"/>
              </w:rPr>
            </w:pPr>
            <w:r>
              <w:rPr>
                <w:kern w:val="0"/>
                <w:sz w:val="21"/>
                <w:szCs w:val="21"/>
                <w:highlight w:val="black"/>
              </w:rPr>
              <w:t>粘聚力</w:t>
            </w:r>
            <w:r>
              <w:rPr>
                <w:rFonts w:hint="eastAsia"/>
                <w:kern w:val="0"/>
                <w:sz w:val="21"/>
                <w:szCs w:val="21"/>
                <w:highlight w:val="black"/>
              </w:rPr>
              <w:t>（</w:t>
            </w:r>
            <w:r>
              <w:rPr>
                <w:kern w:val="0"/>
                <w:sz w:val="21"/>
                <w:szCs w:val="21"/>
                <w:highlight w:val="black"/>
              </w:rPr>
              <w:t>MPa</w:t>
            </w:r>
            <w:r>
              <w:rPr>
                <w:rFonts w:hint="eastAsia"/>
                <w:kern w:val="0"/>
                <w:sz w:val="21"/>
                <w:szCs w:val="21"/>
                <w:highlight w:val="black"/>
              </w:rPr>
              <w:t>）</w:t>
            </w:r>
          </w:p>
        </w:tc>
        <w:tc>
          <w:tcPr>
            <w:tcW w:w="686" w:type="pct"/>
            <w:tcBorders>
              <w:tl2br w:val="nil"/>
              <w:tr2bl w:val="nil"/>
            </w:tcBorders>
            <w:vAlign w:val="center"/>
          </w:tcPr>
          <w:p w14:paraId="4F1B6C01">
            <w:pPr>
              <w:widowControl/>
              <w:spacing w:line="240" w:lineRule="auto"/>
              <w:ind w:firstLine="0" w:firstLineChars="0"/>
              <w:jc w:val="center"/>
              <w:rPr>
                <w:kern w:val="0"/>
                <w:sz w:val="21"/>
                <w:szCs w:val="21"/>
                <w:highlight w:val="black"/>
              </w:rPr>
            </w:pPr>
            <w:r>
              <w:rPr>
                <w:kern w:val="0"/>
                <w:sz w:val="21"/>
                <w:szCs w:val="21"/>
                <w:highlight w:val="black"/>
              </w:rPr>
              <w:t>(MPa)</w:t>
            </w:r>
          </w:p>
        </w:tc>
      </w:tr>
      <w:tr w14:paraId="69DF5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4F41C3D5">
            <w:pPr>
              <w:widowControl/>
              <w:spacing w:line="240" w:lineRule="auto"/>
              <w:ind w:firstLine="0" w:firstLineChars="0"/>
              <w:jc w:val="center"/>
              <w:rPr>
                <w:kern w:val="0"/>
                <w:sz w:val="21"/>
                <w:szCs w:val="21"/>
                <w:highlight w:val="black"/>
              </w:rPr>
            </w:pPr>
            <w:r>
              <w:rPr>
                <w:kern w:val="0"/>
                <w:sz w:val="21"/>
                <w:szCs w:val="21"/>
                <w:highlight w:val="black"/>
              </w:rPr>
              <w:t>LX1</w:t>
            </w:r>
          </w:p>
        </w:tc>
        <w:tc>
          <w:tcPr>
            <w:tcW w:w="1610" w:type="pct"/>
            <w:tcBorders>
              <w:tl2br w:val="nil"/>
              <w:tr2bl w:val="nil"/>
            </w:tcBorders>
            <w:noWrap/>
            <w:vAlign w:val="center"/>
          </w:tcPr>
          <w:p w14:paraId="2902AEA7">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950" w:type="pct"/>
            <w:tcBorders>
              <w:tl2br w:val="nil"/>
              <w:tr2bl w:val="nil"/>
            </w:tcBorders>
            <w:noWrap/>
            <w:vAlign w:val="center"/>
          </w:tcPr>
          <w:p w14:paraId="66F30233">
            <w:pPr>
              <w:spacing w:line="240" w:lineRule="auto"/>
              <w:ind w:firstLine="0" w:firstLineChars="0"/>
              <w:jc w:val="center"/>
              <w:rPr>
                <w:sz w:val="21"/>
                <w:szCs w:val="21"/>
                <w:highlight w:val="black"/>
              </w:rPr>
            </w:pPr>
            <w:r>
              <w:rPr>
                <w:sz w:val="21"/>
                <w:szCs w:val="21"/>
                <w:highlight w:val="black"/>
              </w:rPr>
              <w:t xml:space="preserve">66.54 </w:t>
            </w:r>
          </w:p>
        </w:tc>
        <w:tc>
          <w:tcPr>
            <w:tcW w:w="1068" w:type="pct"/>
            <w:tcBorders>
              <w:tl2br w:val="nil"/>
              <w:tr2bl w:val="nil"/>
            </w:tcBorders>
            <w:noWrap/>
            <w:vAlign w:val="center"/>
          </w:tcPr>
          <w:p w14:paraId="13A84DF3">
            <w:pPr>
              <w:spacing w:line="240" w:lineRule="auto"/>
              <w:ind w:firstLine="0" w:firstLineChars="0"/>
              <w:jc w:val="center"/>
              <w:rPr>
                <w:sz w:val="21"/>
                <w:szCs w:val="21"/>
                <w:highlight w:val="black"/>
              </w:rPr>
            </w:pPr>
            <w:r>
              <w:rPr>
                <w:sz w:val="21"/>
                <w:szCs w:val="21"/>
                <w:highlight w:val="black"/>
              </w:rPr>
              <w:t xml:space="preserve">11.63 </w:t>
            </w:r>
          </w:p>
        </w:tc>
        <w:tc>
          <w:tcPr>
            <w:tcW w:w="686" w:type="pct"/>
            <w:tcBorders>
              <w:tl2br w:val="nil"/>
              <w:tr2bl w:val="nil"/>
            </w:tcBorders>
            <w:noWrap/>
            <w:vAlign w:val="center"/>
          </w:tcPr>
          <w:p w14:paraId="3AC31A93">
            <w:pPr>
              <w:spacing w:line="240" w:lineRule="auto"/>
              <w:ind w:firstLine="0" w:firstLineChars="0"/>
              <w:jc w:val="center"/>
              <w:rPr>
                <w:sz w:val="21"/>
                <w:szCs w:val="21"/>
                <w:highlight w:val="black"/>
              </w:rPr>
            </w:pPr>
            <w:r>
              <w:rPr>
                <w:sz w:val="21"/>
                <w:szCs w:val="21"/>
                <w:highlight w:val="black"/>
              </w:rPr>
              <w:t xml:space="preserve">13.05 </w:t>
            </w:r>
          </w:p>
        </w:tc>
      </w:tr>
      <w:tr w14:paraId="1D960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37D3FFD5">
            <w:pPr>
              <w:widowControl/>
              <w:spacing w:line="240" w:lineRule="auto"/>
              <w:ind w:firstLine="0" w:firstLineChars="0"/>
              <w:jc w:val="center"/>
              <w:rPr>
                <w:kern w:val="0"/>
                <w:sz w:val="21"/>
                <w:szCs w:val="21"/>
                <w:highlight w:val="black"/>
              </w:rPr>
            </w:pPr>
            <w:r>
              <w:rPr>
                <w:kern w:val="0"/>
                <w:sz w:val="21"/>
                <w:szCs w:val="21"/>
                <w:highlight w:val="black"/>
              </w:rPr>
              <w:t>LX2</w:t>
            </w:r>
          </w:p>
        </w:tc>
        <w:tc>
          <w:tcPr>
            <w:tcW w:w="1610" w:type="pct"/>
            <w:tcBorders>
              <w:tl2br w:val="nil"/>
              <w:tr2bl w:val="nil"/>
            </w:tcBorders>
            <w:noWrap/>
            <w:vAlign w:val="center"/>
          </w:tcPr>
          <w:p w14:paraId="5B0A6FB6">
            <w:pPr>
              <w:widowControl/>
              <w:spacing w:line="240" w:lineRule="auto"/>
              <w:ind w:firstLine="0" w:firstLineChars="0"/>
              <w:jc w:val="center"/>
              <w:rPr>
                <w:kern w:val="0"/>
                <w:sz w:val="21"/>
                <w:szCs w:val="21"/>
                <w:highlight w:val="black"/>
              </w:rPr>
            </w:pPr>
            <w:r>
              <w:rPr>
                <w:kern w:val="0"/>
                <w:sz w:val="21"/>
                <w:szCs w:val="21"/>
                <w:highlight w:val="black"/>
              </w:rPr>
              <w:t>磁铁石英岩</w:t>
            </w:r>
          </w:p>
        </w:tc>
        <w:tc>
          <w:tcPr>
            <w:tcW w:w="950" w:type="pct"/>
            <w:tcBorders>
              <w:tl2br w:val="nil"/>
              <w:tr2bl w:val="nil"/>
            </w:tcBorders>
            <w:noWrap/>
            <w:vAlign w:val="center"/>
          </w:tcPr>
          <w:p w14:paraId="3A6C7115">
            <w:pPr>
              <w:spacing w:line="240" w:lineRule="auto"/>
              <w:ind w:firstLine="0" w:firstLineChars="0"/>
              <w:jc w:val="center"/>
              <w:rPr>
                <w:sz w:val="21"/>
                <w:szCs w:val="21"/>
                <w:highlight w:val="black"/>
              </w:rPr>
            </w:pPr>
            <w:r>
              <w:rPr>
                <w:sz w:val="21"/>
                <w:szCs w:val="21"/>
                <w:highlight w:val="black"/>
              </w:rPr>
              <w:t xml:space="preserve">58.13 </w:t>
            </w:r>
          </w:p>
        </w:tc>
        <w:tc>
          <w:tcPr>
            <w:tcW w:w="1068" w:type="pct"/>
            <w:tcBorders>
              <w:tl2br w:val="nil"/>
              <w:tr2bl w:val="nil"/>
            </w:tcBorders>
            <w:noWrap/>
            <w:vAlign w:val="center"/>
          </w:tcPr>
          <w:p w14:paraId="6D3B15E8">
            <w:pPr>
              <w:spacing w:line="240" w:lineRule="auto"/>
              <w:ind w:firstLine="0" w:firstLineChars="0"/>
              <w:jc w:val="center"/>
              <w:rPr>
                <w:sz w:val="21"/>
                <w:szCs w:val="21"/>
                <w:highlight w:val="black"/>
              </w:rPr>
            </w:pPr>
            <w:r>
              <w:rPr>
                <w:sz w:val="21"/>
                <w:szCs w:val="21"/>
                <w:highlight w:val="black"/>
              </w:rPr>
              <w:t xml:space="preserve">10.72 </w:t>
            </w:r>
          </w:p>
        </w:tc>
        <w:tc>
          <w:tcPr>
            <w:tcW w:w="686" w:type="pct"/>
            <w:tcBorders>
              <w:tl2br w:val="nil"/>
              <w:tr2bl w:val="nil"/>
            </w:tcBorders>
            <w:noWrap/>
            <w:vAlign w:val="center"/>
          </w:tcPr>
          <w:p w14:paraId="0EC458F9">
            <w:pPr>
              <w:spacing w:line="240" w:lineRule="auto"/>
              <w:ind w:firstLine="0" w:firstLineChars="0"/>
              <w:jc w:val="center"/>
              <w:rPr>
                <w:sz w:val="21"/>
                <w:szCs w:val="21"/>
                <w:highlight w:val="black"/>
              </w:rPr>
            </w:pPr>
            <w:r>
              <w:rPr>
                <w:sz w:val="21"/>
                <w:szCs w:val="21"/>
                <w:highlight w:val="black"/>
              </w:rPr>
              <w:t xml:space="preserve">12.60 </w:t>
            </w:r>
          </w:p>
        </w:tc>
      </w:tr>
      <w:tr w14:paraId="4E26D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2089B37F">
            <w:pPr>
              <w:widowControl/>
              <w:spacing w:line="240" w:lineRule="auto"/>
              <w:ind w:firstLine="0" w:firstLineChars="0"/>
              <w:jc w:val="center"/>
              <w:rPr>
                <w:kern w:val="0"/>
                <w:sz w:val="21"/>
                <w:szCs w:val="21"/>
                <w:highlight w:val="black"/>
              </w:rPr>
            </w:pPr>
            <w:r>
              <w:rPr>
                <w:kern w:val="0"/>
                <w:sz w:val="21"/>
                <w:szCs w:val="21"/>
                <w:highlight w:val="black"/>
              </w:rPr>
              <w:t>LX3</w:t>
            </w:r>
          </w:p>
        </w:tc>
        <w:tc>
          <w:tcPr>
            <w:tcW w:w="1610" w:type="pct"/>
            <w:tcBorders>
              <w:tl2br w:val="nil"/>
              <w:tr2bl w:val="nil"/>
            </w:tcBorders>
            <w:noWrap/>
            <w:vAlign w:val="center"/>
          </w:tcPr>
          <w:p w14:paraId="5DB7C529">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950" w:type="pct"/>
            <w:tcBorders>
              <w:tl2br w:val="nil"/>
              <w:tr2bl w:val="nil"/>
            </w:tcBorders>
            <w:noWrap/>
            <w:vAlign w:val="center"/>
          </w:tcPr>
          <w:p w14:paraId="6E138E4F">
            <w:pPr>
              <w:spacing w:line="240" w:lineRule="auto"/>
              <w:ind w:firstLine="0" w:firstLineChars="0"/>
              <w:jc w:val="center"/>
              <w:rPr>
                <w:sz w:val="21"/>
                <w:szCs w:val="21"/>
                <w:highlight w:val="black"/>
              </w:rPr>
            </w:pPr>
            <w:r>
              <w:rPr>
                <w:sz w:val="21"/>
                <w:szCs w:val="21"/>
                <w:highlight w:val="black"/>
              </w:rPr>
              <w:t xml:space="preserve">63.97 </w:t>
            </w:r>
          </w:p>
        </w:tc>
        <w:tc>
          <w:tcPr>
            <w:tcW w:w="1068" w:type="pct"/>
            <w:tcBorders>
              <w:tl2br w:val="nil"/>
              <w:tr2bl w:val="nil"/>
            </w:tcBorders>
            <w:noWrap/>
            <w:vAlign w:val="center"/>
          </w:tcPr>
          <w:p w14:paraId="7F47536C">
            <w:pPr>
              <w:spacing w:line="240" w:lineRule="auto"/>
              <w:ind w:firstLine="0" w:firstLineChars="0"/>
              <w:jc w:val="center"/>
              <w:rPr>
                <w:sz w:val="21"/>
                <w:szCs w:val="21"/>
                <w:highlight w:val="black"/>
              </w:rPr>
            </w:pPr>
            <w:r>
              <w:rPr>
                <w:sz w:val="21"/>
                <w:szCs w:val="21"/>
                <w:highlight w:val="black"/>
              </w:rPr>
              <w:t xml:space="preserve">11.31 </w:t>
            </w:r>
          </w:p>
        </w:tc>
        <w:tc>
          <w:tcPr>
            <w:tcW w:w="686" w:type="pct"/>
            <w:tcBorders>
              <w:tl2br w:val="nil"/>
              <w:tr2bl w:val="nil"/>
            </w:tcBorders>
            <w:noWrap/>
            <w:vAlign w:val="center"/>
          </w:tcPr>
          <w:p w14:paraId="6E5857A2">
            <w:pPr>
              <w:spacing w:line="240" w:lineRule="auto"/>
              <w:ind w:firstLine="0" w:firstLineChars="0"/>
              <w:jc w:val="center"/>
              <w:rPr>
                <w:sz w:val="21"/>
                <w:szCs w:val="21"/>
                <w:highlight w:val="black"/>
              </w:rPr>
            </w:pPr>
            <w:r>
              <w:rPr>
                <w:sz w:val="21"/>
                <w:szCs w:val="21"/>
                <w:highlight w:val="black"/>
              </w:rPr>
              <w:t xml:space="preserve">12.70 </w:t>
            </w:r>
          </w:p>
        </w:tc>
      </w:tr>
      <w:tr w14:paraId="4651A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42FA9902">
            <w:pPr>
              <w:widowControl/>
              <w:spacing w:line="240" w:lineRule="auto"/>
              <w:ind w:firstLine="0" w:firstLineChars="0"/>
              <w:jc w:val="center"/>
              <w:rPr>
                <w:kern w:val="0"/>
                <w:sz w:val="21"/>
                <w:szCs w:val="21"/>
                <w:highlight w:val="black"/>
              </w:rPr>
            </w:pPr>
            <w:r>
              <w:rPr>
                <w:kern w:val="0"/>
                <w:sz w:val="21"/>
                <w:szCs w:val="21"/>
                <w:highlight w:val="black"/>
              </w:rPr>
              <w:t>LX4</w:t>
            </w:r>
          </w:p>
        </w:tc>
        <w:tc>
          <w:tcPr>
            <w:tcW w:w="1610" w:type="pct"/>
            <w:tcBorders>
              <w:tl2br w:val="nil"/>
              <w:tr2bl w:val="nil"/>
            </w:tcBorders>
            <w:noWrap/>
            <w:vAlign w:val="center"/>
          </w:tcPr>
          <w:p w14:paraId="22CCB8CC">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950" w:type="pct"/>
            <w:tcBorders>
              <w:tl2br w:val="nil"/>
              <w:tr2bl w:val="nil"/>
            </w:tcBorders>
            <w:noWrap/>
            <w:vAlign w:val="center"/>
          </w:tcPr>
          <w:p w14:paraId="22DA2023">
            <w:pPr>
              <w:spacing w:line="240" w:lineRule="auto"/>
              <w:ind w:firstLine="0" w:firstLineChars="0"/>
              <w:jc w:val="center"/>
              <w:rPr>
                <w:sz w:val="21"/>
                <w:szCs w:val="21"/>
                <w:highlight w:val="black"/>
              </w:rPr>
            </w:pPr>
            <w:r>
              <w:rPr>
                <w:sz w:val="21"/>
                <w:szCs w:val="21"/>
                <w:highlight w:val="black"/>
              </w:rPr>
              <w:t xml:space="preserve">38.03 </w:t>
            </w:r>
          </w:p>
        </w:tc>
        <w:tc>
          <w:tcPr>
            <w:tcW w:w="1068" w:type="pct"/>
            <w:tcBorders>
              <w:tl2br w:val="nil"/>
              <w:tr2bl w:val="nil"/>
            </w:tcBorders>
            <w:noWrap/>
            <w:vAlign w:val="center"/>
          </w:tcPr>
          <w:p w14:paraId="250F90C5">
            <w:pPr>
              <w:spacing w:line="240" w:lineRule="auto"/>
              <w:ind w:firstLine="0" w:firstLineChars="0"/>
              <w:jc w:val="center"/>
              <w:rPr>
                <w:sz w:val="21"/>
                <w:szCs w:val="21"/>
                <w:highlight w:val="black"/>
              </w:rPr>
            </w:pPr>
            <w:r>
              <w:rPr>
                <w:sz w:val="21"/>
                <w:szCs w:val="21"/>
                <w:highlight w:val="black"/>
              </w:rPr>
              <w:t xml:space="preserve">7.56 </w:t>
            </w:r>
          </w:p>
        </w:tc>
        <w:tc>
          <w:tcPr>
            <w:tcW w:w="686" w:type="pct"/>
            <w:tcBorders>
              <w:tl2br w:val="nil"/>
              <w:tr2bl w:val="nil"/>
            </w:tcBorders>
            <w:noWrap/>
            <w:vAlign w:val="center"/>
          </w:tcPr>
          <w:p w14:paraId="613195EE">
            <w:pPr>
              <w:spacing w:line="240" w:lineRule="auto"/>
              <w:ind w:firstLine="0" w:firstLineChars="0"/>
              <w:jc w:val="center"/>
              <w:rPr>
                <w:sz w:val="21"/>
                <w:szCs w:val="21"/>
                <w:highlight w:val="black"/>
              </w:rPr>
            </w:pPr>
            <w:r>
              <w:rPr>
                <w:sz w:val="21"/>
                <w:szCs w:val="21"/>
                <w:highlight w:val="black"/>
              </w:rPr>
              <w:t xml:space="preserve">11.33 </w:t>
            </w:r>
          </w:p>
        </w:tc>
      </w:tr>
      <w:tr w14:paraId="5352F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456A6AB4">
            <w:pPr>
              <w:widowControl/>
              <w:spacing w:line="240" w:lineRule="auto"/>
              <w:ind w:firstLine="0" w:firstLineChars="0"/>
              <w:jc w:val="center"/>
              <w:rPr>
                <w:kern w:val="0"/>
                <w:sz w:val="21"/>
                <w:szCs w:val="21"/>
                <w:highlight w:val="black"/>
              </w:rPr>
            </w:pPr>
            <w:r>
              <w:rPr>
                <w:kern w:val="0"/>
                <w:sz w:val="21"/>
                <w:szCs w:val="21"/>
                <w:highlight w:val="black"/>
              </w:rPr>
              <w:t>LX5</w:t>
            </w:r>
          </w:p>
        </w:tc>
        <w:tc>
          <w:tcPr>
            <w:tcW w:w="1610" w:type="pct"/>
            <w:tcBorders>
              <w:tl2br w:val="nil"/>
              <w:tr2bl w:val="nil"/>
            </w:tcBorders>
            <w:noWrap/>
            <w:vAlign w:val="center"/>
          </w:tcPr>
          <w:p w14:paraId="1E8C63B1">
            <w:pPr>
              <w:widowControl/>
              <w:spacing w:line="240" w:lineRule="auto"/>
              <w:ind w:firstLine="0" w:firstLineChars="0"/>
              <w:jc w:val="center"/>
              <w:rPr>
                <w:kern w:val="0"/>
                <w:sz w:val="21"/>
                <w:szCs w:val="21"/>
                <w:highlight w:val="black"/>
              </w:rPr>
            </w:pPr>
            <w:r>
              <w:rPr>
                <w:kern w:val="0"/>
                <w:sz w:val="21"/>
                <w:szCs w:val="21"/>
                <w:highlight w:val="black"/>
              </w:rPr>
              <w:t>磁铁石英岩</w:t>
            </w:r>
          </w:p>
        </w:tc>
        <w:tc>
          <w:tcPr>
            <w:tcW w:w="950" w:type="pct"/>
            <w:tcBorders>
              <w:tl2br w:val="nil"/>
              <w:tr2bl w:val="nil"/>
            </w:tcBorders>
            <w:noWrap/>
            <w:vAlign w:val="center"/>
          </w:tcPr>
          <w:p w14:paraId="0AD95126">
            <w:pPr>
              <w:spacing w:line="240" w:lineRule="auto"/>
              <w:ind w:firstLine="0" w:firstLineChars="0"/>
              <w:jc w:val="center"/>
              <w:rPr>
                <w:sz w:val="21"/>
                <w:szCs w:val="21"/>
                <w:highlight w:val="black"/>
              </w:rPr>
            </w:pPr>
            <w:r>
              <w:rPr>
                <w:sz w:val="21"/>
                <w:szCs w:val="21"/>
                <w:highlight w:val="black"/>
              </w:rPr>
              <w:t xml:space="preserve">54.08 </w:t>
            </w:r>
          </w:p>
        </w:tc>
        <w:tc>
          <w:tcPr>
            <w:tcW w:w="1068" w:type="pct"/>
            <w:tcBorders>
              <w:tl2br w:val="nil"/>
              <w:tr2bl w:val="nil"/>
            </w:tcBorders>
            <w:noWrap/>
            <w:vAlign w:val="center"/>
          </w:tcPr>
          <w:p w14:paraId="4E0ADC18">
            <w:pPr>
              <w:spacing w:line="240" w:lineRule="auto"/>
              <w:ind w:firstLine="0" w:firstLineChars="0"/>
              <w:jc w:val="center"/>
              <w:rPr>
                <w:sz w:val="21"/>
                <w:szCs w:val="21"/>
                <w:highlight w:val="black"/>
              </w:rPr>
            </w:pPr>
            <w:r>
              <w:rPr>
                <w:sz w:val="21"/>
                <w:szCs w:val="21"/>
                <w:highlight w:val="black"/>
              </w:rPr>
              <w:t xml:space="preserve">10.21 </w:t>
            </w:r>
          </w:p>
        </w:tc>
        <w:tc>
          <w:tcPr>
            <w:tcW w:w="686" w:type="pct"/>
            <w:tcBorders>
              <w:tl2br w:val="nil"/>
              <w:tr2bl w:val="nil"/>
            </w:tcBorders>
            <w:noWrap/>
            <w:vAlign w:val="center"/>
          </w:tcPr>
          <w:p w14:paraId="11AA74E4">
            <w:pPr>
              <w:spacing w:line="240" w:lineRule="auto"/>
              <w:ind w:firstLine="0" w:firstLineChars="0"/>
              <w:jc w:val="center"/>
              <w:rPr>
                <w:sz w:val="21"/>
                <w:szCs w:val="21"/>
                <w:highlight w:val="black"/>
              </w:rPr>
            </w:pPr>
            <w:r>
              <w:rPr>
                <w:sz w:val="21"/>
                <w:szCs w:val="21"/>
                <w:highlight w:val="black"/>
              </w:rPr>
              <w:t xml:space="preserve">11.32 </w:t>
            </w:r>
          </w:p>
        </w:tc>
      </w:tr>
      <w:tr w14:paraId="6ED75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3210A192">
            <w:pPr>
              <w:widowControl/>
              <w:spacing w:line="240" w:lineRule="auto"/>
              <w:ind w:firstLine="0" w:firstLineChars="0"/>
              <w:jc w:val="center"/>
              <w:rPr>
                <w:kern w:val="0"/>
                <w:sz w:val="21"/>
                <w:szCs w:val="21"/>
                <w:highlight w:val="black"/>
              </w:rPr>
            </w:pPr>
            <w:r>
              <w:rPr>
                <w:kern w:val="0"/>
                <w:sz w:val="21"/>
                <w:szCs w:val="21"/>
                <w:highlight w:val="black"/>
              </w:rPr>
              <w:t>LX6</w:t>
            </w:r>
          </w:p>
        </w:tc>
        <w:tc>
          <w:tcPr>
            <w:tcW w:w="1610" w:type="pct"/>
            <w:tcBorders>
              <w:tl2br w:val="nil"/>
              <w:tr2bl w:val="nil"/>
            </w:tcBorders>
            <w:noWrap/>
            <w:vAlign w:val="center"/>
          </w:tcPr>
          <w:p w14:paraId="431328D1">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950" w:type="pct"/>
            <w:tcBorders>
              <w:tl2br w:val="nil"/>
              <w:tr2bl w:val="nil"/>
            </w:tcBorders>
            <w:noWrap/>
            <w:vAlign w:val="center"/>
          </w:tcPr>
          <w:p w14:paraId="5111BE67">
            <w:pPr>
              <w:spacing w:line="240" w:lineRule="auto"/>
              <w:ind w:firstLine="0" w:firstLineChars="0"/>
              <w:jc w:val="center"/>
              <w:rPr>
                <w:sz w:val="21"/>
                <w:szCs w:val="21"/>
                <w:highlight w:val="black"/>
              </w:rPr>
            </w:pPr>
            <w:r>
              <w:rPr>
                <w:sz w:val="21"/>
                <w:szCs w:val="21"/>
                <w:highlight w:val="black"/>
              </w:rPr>
              <w:t xml:space="preserve">37.98 </w:t>
            </w:r>
          </w:p>
        </w:tc>
        <w:tc>
          <w:tcPr>
            <w:tcW w:w="1068" w:type="pct"/>
            <w:tcBorders>
              <w:tl2br w:val="nil"/>
              <w:tr2bl w:val="nil"/>
            </w:tcBorders>
            <w:noWrap/>
            <w:vAlign w:val="center"/>
          </w:tcPr>
          <w:p w14:paraId="30C26583">
            <w:pPr>
              <w:spacing w:line="240" w:lineRule="auto"/>
              <w:ind w:firstLine="0" w:firstLineChars="0"/>
              <w:jc w:val="center"/>
              <w:rPr>
                <w:sz w:val="21"/>
                <w:szCs w:val="21"/>
                <w:highlight w:val="black"/>
              </w:rPr>
            </w:pPr>
            <w:r>
              <w:rPr>
                <w:sz w:val="21"/>
                <w:szCs w:val="21"/>
                <w:highlight w:val="black"/>
              </w:rPr>
              <w:t xml:space="preserve">7.19 </w:t>
            </w:r>
          </w:p>
        </w:tc>
        <w:tc>
          <w:tcPr>
            <w:tcW w:w="686" w:type="pct"/>
            <w:tcBorders>
              <w:tl2br w:val="nil"/>
              <w:tr2bl w:val="nil"/>
            </w:tcBorders>
            <w:noWrap/>
            <w:vAlign w:val="center"/>
          </w:tcPr>
          <w:p w14:paraId="2CBD223D">
            <w:pPr>
              <w:spacing w:line="240" w:lineRule="auto"/>
              <w:ind w:firstLine="0" w:firstLineChars="0"/>
              <w:jc w:val="center"/>
              <w:rPr>
                <w:sz w:val="21"/>
                <w:szCs w:val="21"/>
                <w:highlight w:val="black"/>
              </w:rPr>
            </w:pPr>
            <w:r>
              <w:rPr>
                <w:sz w:val="21"/>
                <w:szCs w:val="21"/>
                <w:highlight w:val="black"/>
              </w:rPr>
              <w:t xml:space="preserve">11.97 </w:t>
            </w:r>
          </w:p>
        </w:tc>
      </w:tr>
      <w:tr w14:paraId="6177B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56D3641C">
            <w:pPr>
              <w:widowControl/>
              <w:spacing w:line="240" w:lineRule="auto"/>
              <w:ind w:firstLine="0" w:firstLineChars="0"/>
              <w:jc w:val="center"/>
              <w:rPr>
                <w:kern w:val="0"/>
                <w:sz w:val="21"/>
                <w:szCs w:val="21"/>
                <w:highlight w:val="black"/>
              </w:rPr>
            </w:pPr>
            <w:r>
              <w:rPr>
                <w:kern w:val="0"/>
                <w:sz w:val="21"/>
                <w:szCs w:val="21"/>
                <w:highlight w:val="black"/>
              </w:rPr>
              <w:t>LX7</w:t>
            </w:r>
          </w:p>
        </w:tc>
        <w:tc>
          <w:tcPr>
            <w:tcW w:w="1610" w:type="pct"/>
            <w:tcBorders>
              <w:tl2br w:val="nil"/>
              <w:tr2bl w:val="nil"/>
            </w:tcBorders>
            <w:noWrap/>
            <w:vAlign w:val="center"/>
          </w:tcPr>
          <w:p w14:paraId="06B46E40">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950" w:type="pct"/>
            <w:tcBorders>
              <w:tl2br w:val="nil"/>
              <w:tr2bl w:val="nil"/>
            </w:tcBorders>
            <w:noWrap/>
            <w:vAlign w:val="center"/>
          </w:tcPr>
          <w:p w14:paraId="52F64C30">
            <w:pPr>
              <w:spacing w:line="240" w:lineRule="auto"/>
              <w:ind w:firstLine="0" w:firstLineChars="0"/>
              <w:jc w:val="center"/>
              <w:rPr>
                <w:sz w:val="21"/>
                <w:szCs w:val="21"/>
                <w:highlight w:val="black"/>
              </w:rPr>
            </w:pPr>
            <w:r>
              <w:rPr>
                <w:sz w:val="21"/>
                <w:szCs w:val="21"/>
                <w:highlight w:val="black"/>
              </w:rPr>
              <w:t xml:space="preserve">22.18 </w:t>
            </w:r>
          </w:p>
        </w:tc>
        <w:tc>
          <w:tcPr>
            <w:tcW w:w="1068" w:type="pct"/>
            <w:tcBorders>
              <w:tl2br w:val="nil"/>
              <w:tr2bl w:val="nil"/>
            </w:tcBorders>
            <w:noWrap/>
            <w:vAlign w:val="center"/>
          </w:tcPr>
          <w:p w14:paraId="4DD5BD74">
            <w:pPr>
              <w:spacing w:line="240" w:lineRule="auto"/>
              <w:ind w:firstLine="0" w:firstLineChars="0"/>
              <w:jc w:val="center"/>
              <w:rPr>
                <w:sz w:val="21"/>
                <w:szCs w:val="21"/>
                <w:highlight w:val="black"/>
              </w:rPr>
            </w:pPr>
            <w:r>
              <w:rPr>
                <w:sz w:val="21"/>
                <w:szCs w:val="21"/>
                <w:highlight w:val="black"/>
              </w:rPr>
              <w:t xml:space="preserve">4.37 </w:t>
            </w:r>
          </w:p>
        </w:tc>
        <w:tc>
          <w:tcPr>
            <w:tcW w:w="686" w:type="pct"/>
            <w:tcBorders>
              <w:tl2br w:val="nil"/>
              <w:tr2bl w:val="nil"/>
            </w:tcBorders>
            <w:noWrap/>
            <w:vAlign w:val="center"/>
          </w:tcPr>
          <w:p w14:paraId="1BD1FA30">
            <w:pPr>
              <w:spacing w:line="240" w:lineRule="auto"/>
              <w:ind w:firstLine="0" w:firstLineChars="0"/>
              <w:jc w:val="center"/>
              <w:rPr>
                <w:sz w:val="21"/>
                <w:szCs w:val="21"/>
                <w:highlight w:val="black"/>
              </w:rPr>
            </w:pPr>
            <w:r>
              <w:rPr>
                <w:sz w:val="21"/>
                <w:szCs w:val="21"/>
                <w:highlight w:val="black"/>
              </w:rPr>
              <w:t xml:space="preserve">9.92 </w:t>
            </w:r>
          </w:p>
        </w:tc>
      </w:tr>
      <w:tr w14:paraId="14CD7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49CAB401">
            <w:pPr>
              <w:widowControl/>
              <w:spacing w:line="240" w:lineRule="auto"/>
              <w:ind w:firstLine="0" w:firstLineChars="0"/>
              <w:jc w:val="center"/>
              <w:rPr>
                <w:kern w:val="0"/>
                <w:sz w:val="21"/>
                <w:szCs w:val="21"/>
                <w:highlight w:val="black"/>
              </w:rPr>
            </w:pPr>
            <w:r>
              <w:rPr>
                <w:kern w:val="0"/>
                <w:sz w:val="21"/>
                <w:szCs w:val="21"/>
                <w:highlight w:val="black"/>
              </w:rPr>
              <w:t>LX8</w:t>
            </w:r>
          </w:p>
        </w:tc>
        <w:tc>
          <w:tcPr>
            <w:tcW w:w="1610" w:type="pct"/>
            <w:tcBorders>
              <w:tl2br w:val="nil"/>
              <w:tr2bl w:val="nil"/>
            </w:tcBorders>
            <w:noWrap/>
            <w:vAlign w:val="center"/>
          </w:tcPr>
          <w:p w14:paraId="006875E4">
            <w:pPr>
              <w:widowControl/>
              <w:spacing w:line="240" w:lineRule="auto"/>
              <w:ind w:firstLine="0" w:firstLineChars="0"/>
              <w:jc w:val="center"/>
              <w:rPr>
                <w:kern w:val="0"/>
                <w:sz w:val="21"/>
                <w:szCs w:val="21"/>
                <w:highlight w:val="black"/>
              </w:rPr>
            </w:pPr>
            <w:r>
              <w:rPr>
                <w:kern w:val="0"/>
                <w:sz w:val="21"/>
                <w:szCs w:val="21"/>
                <w:highlight w:val="black"/>
              </w:rPr>
              <w:t>磁铁石英岩</w:t>
            </w:r>
          </w:p>
        </w:tc>
        <w:tc>
          <w:tcPr>
            <w:tcW w:w="950" w:type="pct"/>
            <w:tcBorders>
              <w:tl2br w:val="nil"/>
              <w:tr2bl w:val="nil"/>
            </w:tcBorders>
            <w:noWrap/>
            <w:vAlign w:val="center"/>
          </w:tcPr>
          <w:p w14:paraId="427F520B">
            <w:pPr>
              <w:spacing w:line="240" w:lineRule="auto"/>
              <w:ind w:firstLine="0" w:firstLineChars="0"/>
              <w:jc w:val="center"/>
              <w:rPr>
                <w:sz w:val="21"/>
                <w:szCs w:val="21"/>
                <w:highlight w:val="black"/>
              </w:rPr>
            </w:pPr>
            <w:r>
              <w:rPr>
                <w:sz w:val="21"/>
                <w:szCs w:val="21"/>
                <w:highlight w:val="black"/>
              </w:rPr>
              <w:t xml:space="preserve">59.89 </w:t>
            </w:r>
          </w:p>
        </w:tc>
        <w:tc>
          <w:tcPr>
            <w:tcW w:w="1068" w:type="pct"/>
            <w:tcBorders>
              <w:tl2br w:val="nil"/>
              <w:tr2bl w:val="nil"/>
            </w:tcBorders>
            <w:noWrap/>
            <w:vAlign w:val="center"/>
          </w:tcPr>
          <w:p w14:paraId="297B3BE7">
            <w:pPr>
              <w:spacing w:line="240" w:lineRule="auto"/>
              <w:ind w:firstLine="0" w:firstLineChars="0"/>
              <w:jc w:val="center"/>
              <w:rPr>
                <w:sz w:val="21"/>
                <w:szCs w:val="21"/>
                <w:highlight w:val="black"/>
              </w:rPr>
            </w:pPr>
            <w:r>
              <w:rPr>
                <w:sz w:val="21"/>
                <w:szCs w:val="21"/>
                <w:highlight w:val="black"/>
              </w:rPr>
              <w:t xml:space="preserve">10.73 </w:t>
            </w:r>
          </w:p>
        </w:tc>
        <w:tc>
          <w:tcPr>
            <w:tcW w:w="686" w:type="pct"/>
            <w:tcBorders>
              <w:tl2br w:val="nil"/>
              <w:tr2bl w:val="nil"/>
            </w:tcBorders>
            <w:noWrap/>
            <w:vAlign w:val="center"/>
          </w:tcPr>
          <w:p w14:paraId="77B5CEDA">
            <w:pPr>
              <w:spacing w:line="240" w:lineRule="auto"/>
              <w:ind w:firstLine="0" w:firstLineChars="0"/>
              <w:jc w:val="center"/>
              <w:rPr>
                <w:sz w:val="21"/>
                <w:szCs w:val="21"/>
                <w:highlight w:val="black"/>
              </w:rPr>
            </w:pPr>
            <w:r>
              <w:rPr>
                <w:sz w:val="21"/>
                <w:szCs w:val="21"/>
                <w:highlight w:val="black"/>
              </w:rPr>
              <w:t xml:space="preserve">11.58 </w:t>
            </w:r>
          </w:p>
        </w:tc>
      </w:tr>
      <w:tr w14:paraId="6F362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noWrap/>
            <w:vAlign w:val="center"/>
          </w:tcPr>
          <w:p w14:paraId="2A040226">
            <w:pPr>
              <w:widowControl/>
              <w:spacing w:line="240" w:lineRule="auto"/>
              <w:ind w:firstLine="0" w:firstLineChars="0"/>
              <w:jc w:val="center"/>
              <w:rPr>
                <w:kern w:val="0"/>
                <w:sz w:val="21"/>
                <w:szCs w:val="21"/>
                <w:highlight w:val="black"/>
              </w:rPr>
            </w:pPr>
            <w:r>
              <w:rPr>
                <w:kern w:val="0"/>
                <w:sz w:val="21"/>
                <w:szCs w:val="21"/>
                <w:highlight w:val="black"/>
              </w:rPr>
              <w:t>LX9</w:t>
            </w:r>
          </w:p>
        </w:tc>
        <w:tc>
          <w:tcPr>
            <w:tcW w:w="1610" w:type="pct"/>
            <w:tcBorders>
              <w:tl2br w:val="nil"/>
              <w:tr2bl w:val="nil"/>
            </w:tcBorders>
            <w:noWrap/>
            <w:vAlign w:val="center"/>
          </w:tcPr>
          <w:p w14:paraId="76D33C93">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950" w:type="pct"/>
            <w:tcBorders>
              <w:tl2br w:val="nil"/>
              <w:tr2bl w:val="nil"/>
            </w:tcBorders>
            <w:noWrap/>
            <w:vAlign w:val="center"/>
          </w:tcPr>
          <w:p w14:paraId="20C7CC44">
            <w:pPr>
              <w:spacing w:line="240" w:lineRule="auto"/>
              <w:ind w:firstLine="0" w:firstLineChars="0"/>
              <w:jc w:val="center"/>
              <w:rPr>
                <w:sz w:val="21"/>
                <w:szCs w:val="21"/>
                <w:highlight w:val="black"/>
              </w:rPr>
            </w:pPr>
            <w:r>
              <w:rPr>
                <w:sz w:val="21"/>
                <w:szCs w:val="21"/>
                <w:highlight w:val="black"/>
              </w:rPr>
              <w:t xml:space="preserve">38.21 </w:t>
            </w:r>
          </w:p>
        </w:tc>
        <w:tc>
          <w:tcPr>
            <w:tcW w:w="1068" w:type="pct"/>
            <w:tcBorders>
              <w:tl2br w:val="nil"/>
              <w:tr2bl w:val="nil"/>
            </w:tcBorders>
            <w:noWrap/>
            <w:vAlign w:val="center"/>
          </w:tcPr>
          <w:p w14:paraId="2BF3FFBB">
            <w:pPr>
              <w:spacing w:line="240" w:lineRule="auto"/>
              <w:ind w:firstLine="0" w:firstLineChars="0"/>
              <w:jc w:val="center"/>
              <w:rPr>
                <w:sz w:val="21"/>
                <w:szCs w:val="21"/>
                <w:highlight w:val="black"/>
              </w:rPr>
            </w:pPr>
            <w:r>
              <w:rPr>
                <w:sz w:val="21"/>
                <w:szCs w:val="21"/>
                <w:highlight w:val="black"/>
              </w:rPr>
              <w:t xml:space="preserve">6.29 </w:t>
            </w:r>
          </w:p>
        </w:tc>
        <w:tc>
          <w:tcPr>
            <w:tcW w:w="686" w:type="pct"/>
            <w:tcBorders>
              <w:tl2br w:val="nil"/>
              <w:tr2bl w:val="nil"/>
            </w:tcBorders>
            <w:noWrap/>
            <w:vAlign w:val="center"/>
          </w:tcPr>
          <w:p w14:paraId="4AA67729">
            <w:pPr>
              <w:spacing w:line="240" w:lineRule="auto"/>
              <w:ind w:firstLine="0" w:firstLineChars="0"/>
              <w:jc w:val="center"/>
              <w:rPr>
                <w:sz w:val="21"/>
                <w:szCs w:val="21"/>
                <w:highlight w:val="black"/>
              </w:rPr>
            </w:pPr>
            <w:r>
              <w:rPr>
                <w:sz w:val="21"/>
                <w:szCs w:val="21"/>
                <w:highlight w:val="black"/>
              </w:rPr>
              <w:t xml:space="preserve">12.10 </w:t>
            </w:r>
          </w:p>
        </w:tc>
      </w:tr>
    </w:tbl>
    <w:p w14:paraId="0C354B49">
      <w:pPr>
        <w:ind w:firstLine="583"/>
        <w:rPr>
          <w:highlight w:val="black"/>
        </w:rPr>
      </w:pPr>
      <w:r>
        <w:rPr>
          <w:highlight w:val="black"/>
        </w:rPr>
        <w:t>根据岩石物理力学试验结果按单轴抗压强度划分见表</w:t>
      </w:r>
      <w:r>
        <w:rPr>
          <w:rFonts w:hint="eastAsia"/>
          <w:highlight w:val="black"/>
        </w:rPr>
        <w:t>2</w:t>
      </w:r>
      <w:r>
        <w:rPr>
          <w:highlight w:val="black"/>
        </w:rPr>
        <w:t>-</w:t>
      </w:r>
      <w:r>
        <w:rPr>
          <w:rFonts w:hint="eastAsia"/>
          <w:highlight w:val="black"/>
        </w:rPr>
        <w:t>5</w:t>
      </w:r>
      <w:r>
        <w:rPr>
          <w:highlight w:val="black"/>
        </w:rPr>
        <w:t>：</w:t>
      </w:r>
    </w:p>
    <w:tbl>
      <w:tblPr>
        <w:tblStyle w:val="25"/>
        <w:tblpPr w:leftFromText="180" w:rightFromText="180" w:vertAnchor="text" w:horzAnchor="page" w:tblpX="1991" w:tblpY="38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02"/>
        <w:gridCol w:w="1151"/>
        <w:gridCol w:w="1210"/>
        <w:gridCol w:w="1353"/>
        <w:gridCol w:w="1092"/>
        <w:gridCol w:w="1155"/>
      </w:tblGrid>
      <w:tr w14:paraId="2BF82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tcBorders>
              <w:tl2br w:val="nil"/>
              <w:tr2bl w:val="nil"/>
            </w:tcBorders>
            <w:noWrap/>
            <w:vAlign w:val="center"/>
          </w:tcPr>
          <w:p w14:paraId="436E4CA9">
            <w:pPr>
              <w:autoSpaceDE w:val="0"/>
              <w:autoSpaceDN w:val="0"/>
              <w:snapToGrid w:val="0"/>
              <w:spacing w:line="240" w:lineRule="atLeast"/>
              <w:ind w:firstLine="0" w:firstLineChars="0"/>
              <w:jc w:val="center"/>
              <w:rPr>
                <w:sz w:val="21"/>
                <w:szCs w:val="21"/>
                <w:highlight w:val="black"/>
              </w:rPr>
            </w:pPr>
            <w:r>
              <w:rPr>
                <w:sz w:val="21"/>
                <w:szCs w:val="21"/>
                <w:highlight w:val="black"/>
              </w:rPr>
              <w:t>坚硬程度</w:t>
            </w:r>
          </w:p>
        </w:tc>
        <w:tc>
          <w:tcPr>
            <w:tcW w:w="664" w:type="pct"/>
            <w:tcBorders>
              <w:tl2br w:val="nil"/>
              <w:tr2bl w:val="nil"/>
            </w:tcBorders>
            <w:noWrap/>
            <w:vAlign w:val="center"/>
          </w:tcPr>
          <w:p w14:paraId="7B657ED6">
            <w:pPr>
              <w:autoSpaceDE w:val="0"/>
              <w:autoSpaceDN w:val="0"/>
              <w:snapToGrid w:val="0"/>
              <w:spacing w:line="240" w:lineRule="atLeast"/>
              <w:ind w:firstLine="0" w:firstLineChars="0"/>
              <w:jc w:val="center"/>
              <w:rPr>
                <w:sz w:val="21"/>
                <w:szCs w:val="21"/>
                <w:highlight w:val="black"/>
              </w:rPr>
            </w:pPr>
            <w:r>
              <w:rPr>
                <w:sz w:val="21"/>
                <w:szCs w:val="21"/>
                <w:highlight w:val="black"/>
              </w:rPr>
              <w:t>坚硬岩</w:t>
            </w:r>
          </w:p>
        </w:tc>
        <w:tc>
          <w:tcPr>
            <w:tcW w:w="698" w:type="pct"/>
            <w:tcBorders>
              <w:tl2br w:val="nil"/>
              <w:tr2bl w:val="nil"/>
            </w:tcBorders>
            <w:noWrap/>
            <w:vAlign w:val="center"/>
          </w:tcPr>
          <w:p w14:paraId="11FA75C7">
            <w:pPr>
              <w:autoSpaceDE w:val="0"/>
              <w:autoSpaceDN w:val="0"/>
              <w:snapToGrid w:val="0"/>
              <w:spacing w:line="240" w:lineRule="atLeast"/>
              <w:ind w:firstLine="0" w:firstLineChars="0"/>
              <w:jc w:val="center"/>
              <w:rPr>
                <w:sz w:val="21"/>
                <w:szCs w:val="21"/>
                <w:highlight w:val="black"/>
              </w:rPr>
            </w:pPr>
            <w:r>
              <w:rPr>
                <w:sz w:val="21"/>
                <w:szCs w:val="21"/>
                <w:highlight w:val="black"/>
              </w:rPr>
              <w:t>较硬岩</w:t>
            </w:r>
          </w:p>
        </w:tc>
        <w:tc>
          <w:tcPr>
            <w:tcW w:w="780" w:type="pct"/>
            <w:tcBorders>
              <w:tl2br w:val="nil"/>
              <w:tr2bl w:val="nil"/>
            </w:tcBorders>
            <w:noWrap/>
            <w:vAlign w:val="center"/>
          </w:tcPr>
          <w:p w14:paraId="184BA292">
            <w:pPr>
              <w:autoSpaceDE w:val="0"/>
              <w:autoSpaceDN w:val="0"/>
              <w:snapToGrid w:val="0"/>
              <w:spacing w:line="240" w:lineRule="atLeast"/>
              <w:ind w:firstLine="0" w:firstLineChars="0"/>
              <w:jc w:val="center"/>
              <w:rPr>
                <w:sz w:val="21"/>
                <w:szCs w:val="21"/>
                <w:highlight w:val="black"/>
              </w:rPr>
            </w:pPr>
            <w:r>
              <w:rPr>
                <w:sz w:val="21"/>
                <w:szCs w:val="21"/>
                <w:highlight w:val="black"/>
              </w:rPr>
              <w:t>较软岩</w:t>
            </w:r>
          </w:p>
        </w:tc>
        <w:tc>
          <w:tcPr>
            <w:tcW w:w="630" w:type="pct"/>
            <w:tcBorders>
              <w:tl2br w:val="nil"/>
              <w:tr2bl w:val="nil"/>
            </w:tcBorders>
            <w:vAlign w:val="center"/>
          </w:tcPr>
          <w:p w14:paraId="77481275">
            <w:pPr>
              <w:autoSpaceDE w:val="0"/>
              <w:autoSpaceDN w:val="0"/>
              <w:snapToGrid w:val="0"/>
              <w:spacing w:line="240" w:lineRule="atLeast"/>
              <w:ind w:firstLine="0" w:firstLineChars="0"/>
              <w:jc w:val="center"/>
              <w:rPr>
                <w:sz w:val="21"/>
                <w:szCs w:val="21"/>
                <w:highlight w:val="black"/>
              </w:rPr>
            </w:pPr>
            <w:r>
              <w:rPr>
                <w:sz w:val="21"/>
                <w:szCs w:val="21"/>
                <w:highlight w:val="black"/>
              </w:rPr>
              <w:t>软岩</w:t>
            </w:r>
          </w:p>
        </w:tc>
        <w:tc>
          <w:tcPr>
            <w:tcW w:w="666" w:type="pct"/>
            <w:tcBorders>
              <w:tl2br w:val="nil"/>
              <w:tr2bl w:val="nil"/>
            </w:tcBorders>
            <w:vAlign w:val="center"/>
          </w:tcPr>
          <w:p w14:paraId="52FB6D73">
            <w:pPr>
              <w:autoSpaceDE w:val="0"/>
              <w:autoSpaceDN w:val="0"/>
              <w:snapToGrid w:val="0"/>
              <w:spacing w:line="240" w:lineRule="atLeast"/>
              <w:ind w:firstLine="0" w:firstLineChars="0"/>
              <w:jc w:val="center"/>
              <w:rPr>
                <w:sz w:val="21"/>
                <w:szCs w:val="21"/>
                <w:highlight w:val="black"/>
              </w:rPr>
            </w:pPr>
            <w:r>
              <w:rPr>
                <w:sz w:val="21"/>
                <w:szCs w:val="21"/>
                <w:highlight w:val="black"/>
              </w:rPr>
              <w:t>极软岩</w:t>
            </w:r>
          </w:p>
        </w:tc>
      </w:tr>
      <w:tr w14:paraId="36D81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tcBorders>
              <w:tl2br w:val="nil"/>
              <w:tr2bl w:val="nil"/>
            </w:tcBorders>
            <w:noWrap/>
            <w:vAlign w:val="center"/>
          </w:tcPr>
          <w:p w14:paraId="237AF58B">
            <w:pPr>
              <w:autoSpaceDE w:val="0"/>
              <w:autoSpaceDN w:val="0"/>
              <w:snapToGrid w:val="0"/>
              <w:spacing w:line="240" w:lineRule="atLeast"/>
              <w:ind w:firstLine="0" w:firstLineChars="0"/>
              <w:jc w:val="center"/>
              <w:rPr>
                <w:sz w:val="21"/>
                <w:szCs w:val="21"/>
                <w:highlight w:val="black"/>
              </w:rPr>
            </w:pPr>
            <w:r>
              <w:rPr>
                <w:sz w:val="21"/>
                <w:szCs w:val="21"/>
                <w:highlight w:val="black"/>
              </w:rPr>
              <w:t>饱和单轴抗压强度</w:t>
            </w:r>
            <w:r>
              <w:rPr>
                <w:rFonts w:hint="eastAsia"/>
                <w:sz w:val="21"/>
                <w:szCs w:val="21"/>
                <w:highlight w:val="black"/>
              </w:rPr>
              <w:t>（</w:t>
            </w:r>
            <w:r>
              <w:rPr>
                <w:sz w:val="21"/>
                <w:szCs w:val="21"/>
                <w:highlight w:val="black"/>
              </w:rPr>
              <w:t>Mpa</w:t>
            </w:r>
            <w:r>
              <w:rPr>
                <w:rFonts w:hint="eastAsia"/>
                <w:sz w:val="21"/>
                <w:szCs w:val="21"/>
                <w:highlight w:val="black"/>
              </w:rPr>
              <w:t>）</w:t>
            </w:r>
          </w:p>
        </w:tc>
        <w:tc>
          <w:tcPr>
            <w:tcW w:w="664" w:type="pct"/>
            <w:tcBorders>
              <w:tl2br w:val="nil"/>
              <w:tr2bl w:val="nil"/>
            </w:tcBorders>
            <w:noWrap/>
            <w:vAlign w:val="center"/>
          </w:tcPr>
          <w:p w14:paraId="5968BDD9">
            <w:pPr>
              <w:autoSpaceDE w:val="0"/>
              <w:autoSpaceDN w:val="0"/>
              <w:snapToGrid w:val="0"/>
              <w:spacing w:line="240" w:lineRule="atLeast"/>
              <w:ind w:firstLine="0" w:firstLineChars="0"/>
              <w:jc w:val="center"/>
              <w:rPr>
                <w:sz w:val="21"/>
                <w:szCs w:val="21"/>
                <w:highlight w:val="black"/>
              </w:rPr>
            </w:pPr>
            <w:r>
              <w:rPr>
                <w:i/>
                <w:sz w:val="21"/>
                <w:szCs w:val="21"/>
                <w:highlight w:val="black"/>
              </w:rPr>
              <w:t>fr</w:t>
            </w:r>
            <w:r>
              <w:rPr>
                <w:rFonts w:hint="eastAsia"/>
                <w:i/>
                <w:sz w:val="21"/>
                <w:szCs w:val="21"/>
                <w:highlight w:val="black"/>
              </w:rPr>
              <w:t>&gt;</w:t>
            </w:r>
            <w:r>
              <w:rPr>
                <w:sz w:val="21"/>
                <w:szCs w:val="21"/>
                <w:highlight w:val="black"/>
              </w:rPr>
              <w:t>60</w:t>
            </w:r>
          </w:p>
        </w:tc>
        <w:tc>
          <w:tcPr>
            <w:tcW w:w="698" w:type="pct"/>
            <w:tcBorders>
              <w:tl2br w:val="nil"/>
              <w:tr2bl w:val="nil"/>
            </w:tcBorders>
            <w:noWrap/>
            <w:vAlign w:val="center"/>
          </w:tcPr>
          <w:p w14:paraId="1CB775C8">
            <w:pPr>
              <w:autoSpaceDE w:val="0"/>
              <w:autoSpaceDN w:val="0"/>
              <w:snapToGrid w:val="0"/>
              <w:spacing w:line="240" w:lineRule="atLeast"/>
              <w:ind w:firstLine="0" w:firstLineChars="0"/>
              <w:jc w:val="center"/>
              <w:rPr>
                <w:sz w:val="21"/>
                <w:szCs w:val="21"/>
                <w:highlight w:val="black"/>
              </w:rPr>
            </w:pPr>
            <w:r>
              <w:rPr>
                <w:sz w:val="21"/>
                <w:szCs w:val="21"/>
                <w:highlight w:val="black"/>
              </w:rPr>
              <w:t>60≥</w:t>
            </w:r>
            <w:r>
              <w:rPr>
                <w:i/>
                <w:sz w:val="21"/>
                <w:szCs w:val="21"/>
                <w:highlight w:val="black"/>
              </w:rPr>
              <w:t>fr</w:t>
            </w:r>
            <w:r>
              <w:rPr>
                <w:rFonts w:hint="eastAsia"/>
                <w:i/>
                <w:sz w:val="21"/>
                <w:szCs w:val="21"/>
                <w:highlight w:val="black"/>
              </w:rPr>
              <w:t>&gt;</w:t>
            </w:r>
            <w:r>
              <w:rPr>
                <w:sz w:val="21"/>
                <w:szCs w:val="21"/>
                <w:highlight w:val="black"/>
              </w:rPr>
              <w:t>30</w:t>
            </w:r>
          </w:p>
        </w:tc>
        <w:tc>
          <w:tcPr>
            <w:tcW w:w="780" w:type="pct"/>
            <w:tcBorders>
              <w:tl2br w:val="nil"/>
              <w:tr2bl w:val="nil"/>
            </w:tcBorders>
            <w:vAlign w:val="center"/>
          </w:tcPr>
          <w:p w14:paraId="6CCB6185">
            <w:pPr>
              <w:autoSpaceDE w:val="0"/>
              <w:autoSpaceDN w:val="0"/>
              <w:snapToGrid w:val="0"/>
              <w:spacing w:line="240" w:lineRule="atLeast"/>
              <w:ind w:firstLine="0" w:firstLineChars="0"/>
              <w:jc w:val="center"/>
              <w:rPr>
                <w:sz w:val="21"/>
                <w:szCs w:val="21"/>
                <w:highlight w:val="black"/>
              </w:rPr>
            </w:pPr>
            <w:r>
              <w:rPr>
                <w:sz w:val="21"/>
                <w:szCs w:val="21"/>
                <w:highlight w:val="black"/>
              </w:rPr>
              <w:t>30≥</w:t>
            </w:r>
            <w:r>
              <w:rPr>
                <w:i/>
                <w:sz w:val="21"/>
                <w:szCs w:val="21"/>
                <w:highlight w:val="black"/>
              </w:rPr>
              <w:t>fr</w:t>
            </w:r>
            <w:r>
              <w:rPr>
                <w:rFonts w:hint="eastAsia"/>
                <w:i/>
                <w:sz w:val="21"/>
                <w:szCs w:val="21"/>
                <w:highlight w:val="black"/>
              </w:rPr>
              <w:t>&gt;</w:t>
            </w:r>
            <w:r>
              <w:rPr>
                <w:sz w:val="21"/>
                <w:szCs w:val="21"/>
                <w:highlight w:val="black"/>
              </w:rPr>
              <w:t>15</w:t>
            </w:r>
          </w:p>
        </w:tc>
        <w:tc>
          <w:tcPr>
            <w:tcW w:w="630" w:type="pct"/>
            <w:tcBorders>
              <w:tl2br w:val="nil"/>
              <w:tr2bl w:val="nil"/>
            </w:tcBorders>
            <w:vAlign w:val="center"/>
          </w:tcPr>
          <w:p w14:paraId="40B5D8DF">
            <w:pPr>
              <w:autoSpaceDE w:val="0"/>
              <w:autoSpaceDN w:val="0"/>
              <w:snapToGrid w:val="0"/>
              <w:spacing w:line="240" w:lineRule="atLeast"/>
              <w:ind w:firstLine="0" w:firstLineChars="0"/>
              <w:jc w:val="center"/>
              <w:rPr>
                <w:sz w:val="21"/>
                <w:szCs w:val="21"/>
                <w:highlight w:val="black"/>
              </w:rPr>
            </w:pPr>
            <w:r>
              <w:rPr>
                <w:sz w:val="21"/>
                <w:szCs w:val="21"/>
                <w:highlight w:val="black"/>
              </w:rPr>
              <w:t>15≥</w:t>
            </w:r>
            <w:r>
              <w:rPr>
                <w:i/>
                <w:sz w:val="21"/>
                <w:szCs w:val="21"/>
                <w:highlight w:val="black"/>
              </w:rPr>
              <w:t>fr</w:t>
            </w:r>
            <w:r>
              <w:rPr>
                <w:rFonts w:hint="eastAsia"/>
                <w:i/>
                <w:sz w:val="21"/>
                <w:szCs w:val="21"/>
                <w:highlight w:val="black"/>
              </w:rPr>
              <w:t>&gt;</w:t>
            </w:r>
            <w:r>
              <w:rPr>
                <w:sz w:val="21"/>
                <w:szCs w:val="21"/>
                <w:highlight w:val="black"/>
              </w:rPr>
              <w:t>5</w:t>
            </w:r>
          </w:p>
        </w:tc>
        <w:tc>
          <w:tcPr>
            <w:tcW w:w="666" w:type="pct"/>
            <w:tcBorders>
              <w:tl2br w:val="nil"/>
              <w:tr2bl w:val="nil"/>
            </w:tcBorders>
            <w:vAlign w:val="center"/>
          </w:tcPr>
          <w:p w14:paraId="3F584418">
            <w:pPr>
              <w:autoSpaceDE w:val="0"/>
              <w:autoSpaceDN w:val="0"/>
              <w:snapToGrid w:val="0"/>
              <w:spacing w:line="240" w:lineRule="atLeast"/>
              <w:ind w:firstLine="0" w:firstLineChars="0"/>
              <w:jc w:val="center"/>
              <w:rPr>
                <w:sz w:val="21"/>
                <w:szCs w:val="21"/>
                <w:highlight w:val="black"/>
              </w:rPr>
            </w:pPr>
            <w:r>
              <w:rPr>
                <w:i/>
                <w:sz w:val="21"/>
                <w:szCs w:val="21"/>
                <w:highlight w:val="black"/>
              </w:rPr>
              <w:t>fr</w:t>
            </w:r>
            <w:r>
              <w:rPr>
                <w:sz w:val="21"/>
                <w:szCs w:val="21"/>
                <w:highlight w:val="black"/>
              </w:rPr>
              <w:t>≤5</w:t>
            </w:r>
          </w:p>
        </w:tc>
      </w:tr>
    </w:tbl>
    <w:p w14:paraId="7395EA30">
      <w:pPr>
        <w:spacing w:line="240" w:lineRule="auto"/>
        <w:ind w:firstLine="0" w:firstLineChars="0"/>
        <w:jc w:val="center"/>
        <w:rPr>
          <w:b/>
          <w:sz w:val="21"/>
          <w:szCs w:val="21"/>
        </w:rPr>
      </w:pPr>
      <w:r>
        <w:rPr>
          <w:b/>
          <w:sz w:val="21"/>
          <w:szCs w:val="21"/>
        </w:rPr>
        <w:t>表</w:t>
      </w:r>
      <w:r>
        <w:rPr>
          <w:rFonts w:hint="eastAsia"/>
          <w:b/>
          <w:sz w:val="21"/>
          <w:szCs w:val="21"/>
        </w:rPr>
        <w:t>2</w:t>
      </w:r>
      <w:r>
        <w:rPr>
          <w:b/>
          <w:sz w:val="21"/>
          <w:szCs w:val="21"/>
        </w:rPr>
        <w:t>-</w:t>
      </w:r>
      <w:r>
        <w:rPr>
          <w:rFonts w:hint="eastAsia"/>
          <w:b/>
          <w:sz w:val="21"/>
          <w:szCs w:val="21"/>
        </w:rPr>
        <w:t xml:space="preserve">5 </w:t>
      </w:r>
      <w:r>
        <w:rPr>
          <w:b/>
          <w:sz w:val="21"/>
          <w:szCs w:val="21"/>
        </w:rPr>
        <w:t>岩石强度分类表</w:t>
      </w:r>
      <w:r>
        <w:rPr>
          <w:rFonts w:hint="eastAsia"/>
          <w:b/>
          <w:sz w:val="21"/>
          <w:szCs w:val="21"/>
        </w:rPr>
        <w:t>（</w:t>
      </w:r>
      <w:r>
        <w:rPr>
          <w:b/>
          <w:sz w:val="21"/>
          <w:szCs w:val="21"/>
        </w:rPr>
        <w:t>GB50021-2001</w:t>
      </w:r>
      <w:r>
        <w:rPr>
          <w:rFonts w:hint="eastAsia"/>
          <w:b/>
          <w:sz w:val="21"/>
          <w:szCs w:val="21"/>
        </w:rPr>
        <w:t>）</w:t>
      </w:r>
    </w:p>
    <w:p w14:paraId="76936446">
      <w:pPr>
        <w:ind w:firstLine="583"/>
        <w:rPr>
          <w:highlight w:val="black"/>
        </w:rPr>
      </w:pPr>
      <w:r>
        <w:rPr>
          <w:highlight w:val="black"/>
        </w:rPr>
        <w:t>根据地层条件，将工作区内工程地质划分为第四系松散碎石类岩组、较坚硬及坚硬岩组三种类型。</w:t>
      </w:r>
    </w:p>
    <w:p w14:paraId="0F7AC3B3">
      <w:pPr>
        <w:ind w:firstLine="583"/>
        <w:rPr>
          <w:highlight w:val="black"/>
        </w:rPr>
      </w:pPr>
      <w:r>
        <w:rPr>
          <w:rFonts w:hint="eastAsia"/>
          <w:highlight w:val="black"/>
        </w:rPr>
        <w:t>（1）</w:t>
      </w:r>
      <w:r>
        <w:rPr>
          <w:highlight w:val="black"/>
        </w:rPr>
        <w:t>第四系松散碎石类岩组</w:t>
      </w:r>
      <w:r>
        <w:rPr>
          <w:rFonts w:hint="eastAsia"/>
          <w:highlight w:val="black"/>
        </w:rPr>
        <w:t>（</w:t>
      </w:r>
      <w:r>
        <w:rPr>
          <w:highlight w:val="black"/>
        </w:rPr>
        <w:t>Qh</w:t>
      </w:r>
      <w:r>
        <w:rPr>
          <w:highlight w:val="black"/>
          <w:vertAlign w:val="superscript"/>
        </w:rPr>
        <w:t>1alp</w:t>
      </w:r>
      <w:r>
        <w:rPr>
          <w:rFonts w:hint="eastAsia"/>
          <w:highlight w:val="black"/>
          <w:vertAlign w:val="superscript"/>
        </w:rPr>
        <w:t>）</w:t>
      </w:r>
    </w:p>
    <w:p w14:paraId="73B25DA6">
      <w:pPr>
        <w:ind w:firstLine="583"/>
        <w:rPr>
          <w:highlight w:val="black"/>
        </w:rPr>
      </w:pPr>
      <w:r>
        <w:rPr>
          <w:highlight w:val="black"/>
        </w:rPr>
        <w:t>该类岩组可以细分为两个亚类岩组，即全新统冲洪积碎石和更新统残坡积碎石。前者为河流冲洪积的砂、砾、卵石，夹有粘土、砂质粘土等，分布在河谷平原地带，厚度1.8～45m；后者为残坡积碎石，分布在丘陵、山坡及山麓地带，厚度1～5m。该层多呈松散状，工程地质性质差，矿山为深部井下开采，故该岩组与矿山开采无直接关系。</w:t>
      </w:r>
    </w:p>
    <w:p w14:paraId="1CBFAF47">
      <w:pPr>
        <w:ind w:firstLine="583"/>
        <w:rPr>
          <w:highlight w:val="black"/>
        </w:rPr>
      </w:pPr>
      <w:r>
        <w:rPr>
          <w:rFonts w:hint="eastAsia"/>
          <w:highlight w:val="black"/>
        </w:rPr>
        <w:t>（2）</w:t>
      </w:r>
      <w:r>
        <w:rPr>
          <w:highlight w:val="black"/>
        </w:rPr>
        <w:t>坚硬-半坚硬工程地质岩组</w:t>
      </w:r>
    </w:p>
    <w:p w14:paraId="00B407F2">
      <w:pPr>
        <w:ind w:firstLine="583"/>
        <w:rPr>
          <w:highlight w:val="black"/>
        </w:rPr>
      </w:pPr>
      <w:r>
        <w:rPr>
          <w:highlight w:val="black"/>
        </w:rPr>
        <w:t>该类岩组由鞍山岩群茨沟组斜长角闪片麻岩、磁铁石英岩组成，广泛分布在矿区，该岩组多为块状岩类。</w:t>
      </w:r>
    </w:p>
    <w:p w14:paraId="15A17787">
      <w:pPr>
        <w:ind w:firstLine="583"/>
        <w:rPr>
          <w:highlight w:val="black"/>
        </w:rPr>
      </w:pPr>
      <w:r>
        <w:rPr>
          <w:rFonts w:hint="eastAsia"/>
          <w:highlight w:val="black"/>
        </w:rPr>
        <w:t>（3）</w:t>
      </w:r>
      <w:r>
        <w:rPr>
          <w:highlight w:val="black"/>
        </w:rPr>
        <w:t>坚硬块状岩类岩组</w:t>
      </w:r>
    </w:p>
    <w:p w14:paraId="6E733AC0">
      <w:pPr>
        <w:ind w:firstLine="583"/>
        <w:rPr>
          <w:highlight w:val="black"/>
        </w:rPr>
      </w:pPr>
      <w:r>
        <w:rPr>
          <w:highlight w:val="black"/>
        </w:rPr>
        <w:t>该类岩组为新太古代二长花岗片麻岩，广泛分布在矿区深部。</w:t>
      </w:r>
    </w:p>
    <w:p w14:paraId="55A1D2BE">
      <w:pPr>
        <w:ind w:firstLine="583"/>
        <w:rPr>
          <w:highlight w:val="black"/>
        </w:rPr>
      </w:pPr>
      <w:r>
        <w:rPr>
          <w:rFonts w:hint="eastAsia"/>
          <w:highlight w:val="black"/>
        </w:rPr>
        <w:t>2、结构面特征</w:t>
      </w:r>
    </w:p>
    <w:p w14:paraId="3C1EB657">
      <w:pPr>
        <w:ind w:firstLine="583"/>
        <w:rPr>
          <w:highlight w:val="black"/>
        </w:rPr>
      </w:pPr>
      <w:r>
        <w:rPr>
          <w:highlight w:val="black"/>
        </w:rPr>
        <w:t>矿区范围内结构面以断层、节理裂隙为主。根据这些结构面的规律，按规范要求，可划分出三个结构面类型，即Ⅲ、Ⅳ、Ⅴ级结构面，现分述如下：</w:t>
      </w:r>
    </w:p>
    <w:p w14:paraId="0145EFFE">
      <w:pPr>
        <w:ind w:firstLine="583"/>
        <w:rPr>
          <w:highlight w:val="black"/>
        </w:rPr>
      </w:pPr>
      <w:r>
        <w:rPr>
          <w:rFonts w:hint="eastAsia"/>
          <w:highlight w:val="black"/>
        </w:rPr>
        <w:t>（1）</w:t>
      </w:r>
      <w:r>
        <w:rPr>
          <w:highlight w:val="black"/>
        </w:rPr>
        <w:t>Ⅲ级结构面</w:t>
      </w:r>
    </w:p>
    <w:p w14:paraId="73148237">
      <w:pPr>
        <w:ind w:firstLine="583"/>
        <w:rPr>
          <w:highlight w:val="black"/>
        </w:rPr>
      </w:pPr>
      <w:r>
        <w:rPr>
          <w:highlight w:val="black"/>
        </w:rPr>
        <w:t>Ⅲ级结构面指矿区内断裂构造，共见有</w:t>
      </w:r>
      <w:r>
        <w:rPr>
          <w:rFonts w:hint="eastAsia"/>
          <w:highlight w:val="black"/>
        </w:rPr>
        <w:t>2</w:t>
      </w:r>
      <w:r>
        <w:rPr>
          <w:highlight w:val="black"/>
        </w:rPr>
        <w:t>条断裂构造，编号F1、F2。</w:t>
      </w:r>
    </w:p>
    <w:p w14:paraId="74D478DB">
      <w:pPr>
        <w:ind w:firstLine="583"/>
        <w:rPr>
          <w:highlight w:val="black"/>
        </w:rPr>
      </w:pPr>
      <w:r>
        <w:rPr>
          <w:highlight w:val="black"/>
        </w:rPr>
        <w:t>F1断裂构造呈北东向，在矿区内出露长约80m，宽约2～8m，产状156°∠83°。</w:t>
      </w:r>
    </w:p>
    <w:p w14:paraId="162D5F20">
      <w:pPr>
        <w:ind w:firstLine="583"/>
        <w:rPr>
          <w:highlight w:val="black"/>
        </w:rPr>
      </w:pPr>
      <w:r>
        <w:rPr>
          <w:highlight w:val="black"/>
        </w:rPr>
        <w:t>F2断裂构造呈北东向，在矿区内出露长约252m，宽约2～3m，产状161°∠60°。</w:t>
      </w:r>
    </w:p>
    <w:p w14:paraId="65A701F3">
      <w:pPr>
        <w:ind w:firstLine="583"/>
        <w:rPr>
          <w:highlight w:val="black"/>
        </w:rPr>
      </w:pPr>
      <w:r>
        <w:rPr>
          <w:rFonts w:hint="eastAsia"/>
          <w:highlight w:val="black"/>
        </w:rPr>
        <w:t>（2）</w:t>
      </w:r>
      <w:r>
        <w:rPr>
          <w:highlight w:val="black"/>
        </w:rPr>
        <w:t>Ⅳ、Ⅴ级结构面</w:t>
      </w:r>
    </w:p>
    <w:p w14:paraId="5302B160">
      <w:pPr>
        <w:ind w:firstLine="583"/>
        <w:rPr>
          <w:highlight w:val="black"/>
        </w:rPr>
      </w:pPr>
      <w:r>
        <w:rPr>
          <w:highlight w:val="black"/>
        </w:rPr>
        <w:t>矿区Ⅳ、Ⅴ级结构面主要是指大小不等的节理裂隙以及一些小型破碎带，节理裂隙多及小型破碎带多发于和茨沟岩组地层中，局部位置层间破碎带内岩石在多期强烈构造揉搓下均已成为断层泥，破坏了岩层的完整性和稳定性。</w:t>
      </w:r>
    </w:p>
    <w:p w14:paraId="295B9182">
      <w:pPr>
        <w:ind w:firstLine="583"/>
        <w:rPr>
          <w:highlight w:val="black"/>
        </w:rPr>
      </w:pPr>
      <w:r>
        <w:rPr>
          <w:rFonts w:hint="eastAsia"/>
          <w:highlight w:val="black"/>
        </w:rPr>
        <w:t>3、主要矿体（层）顶底板的稳定性</w:t>
      </w:r>
    </w:p>
    <w:p w14:paraId="38E9F5B4">
      <w:pPr>
        <w:ind w:firstLine="583"/>
        <w:rPr>
          <w:highlight w:val="black"/>
        </w:rPr>
      </w:pPr>
      <w:r>
        <w:rPr>
          <w:highlight w:val="black"/>
        </w:rPr>
        <w:t>矿体为磁铁石英岩，其顶、底板岩石围岩主要为斜长角闪片麻岩和二长花岗片麻岩，其岩石比较坚硬、稳固，因此矿区的工程地质条件良好。</w:t>
      </w:r>
    </w:p>
    <w:p w14:paraId="0283CD31">
      <w:pPr>
        <w:ind w:firstLine="583"/>
        <w:rPr>
          <w:highlight w:val="black"/>
        </w:rPr>
      </w:pPr>
      <w:r>
        <w:rPr>
          <w:highlight w:val="black"/>
        </w:rPr>
        <w:t>依据对矿区钻孔的工程地质编录，现分述如下：</w:t>
      </w:r>
    </w:p>
    <w:p w14:paraId="15637944">
      <w:pPr>
        <w:ind w:firstLine="583"/>
        <w:rPr>
          <w:highlight w:val="black"/>
        </w:rPr>
      </w:pPr>
      <w:r>
        <w:rPr>
          <w:highlight w:val="black"/>
        </w:rPr>
        <w:t>1) 斜长角闪片麻岩：为铁矿体主要组成岩石，RQD值为91％，岩石质量是极好的。</w:t>
      </w:r>
    </w:p>
    <w:p w14:paraId="242FDC7B">
      <w:pPr>
        <w:ind w:firstLine="583"/>
        <w:rPr>
          <w:highlight w:val="black"/>
        </w:rPr>
      </w:pPr>
      <w:r>
        <w:rPr>
          <w:highlight w:val="black"/>
        </w:rPr>
        <w:t>2) 二长花岗片麻岩：为铁矿体主要组成岩石，RQD值为95％，岩石质量是极好的。</w:t>
      </w:r>
    </w:p>
    <w:p w14:paraId="5B2A1CB2">
      <w:pPr>
        <w:ind w:firstLine="583"/>
        <w:rPr>
          <w:highlight w:val="black"/>
        </w:rPr>
      </w:pPr>
      <w:r>
        <w:rPr>
          <w:highlight w:val="black"/>
        </w:rPr>
        <w:t>3) 磁铁石英岩：为铁矿体主要组成岩石，RQD值为95％，岩石质量是极好的。</w:t>
      </w:r>
    </w:p>
    <w:p w14:paraId="799BB379">
      <w:pPr>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2</w:t>
      </w:r>
      <w:r>
        <w:rPr>
          <w:b/>
          <w:sz w:val="21"/>
          <w:szCs w:val="21"/>
          <w:highlight w:val="black"/>
        </w:rPr>
        <w:t>-</w:t>
      </w:r>
      <w:r>
        <w:rPr>
          <w:rFonts w:hint="eastAsia"/>
          <w:b/>
          <w:sz w:val="21"/>
          <w:szCs w:val="21"/>
          <w:highlight w:val="black"/>
        </w:rPr>
        <w:t>6</w:t>
      </w:r>
      <w:r>
        <w:rPr>
          <w:b/>
          <w:sz w:val="21"/>
          <w:szCs w:val="21"/>
          <w:highlight w:val="black"/>
        </w:rPr>
        <w:t xml:space="preserve"> 岩石质量等级表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2154"/>
        <w:gridCol w:w="2485"/>
        <w:gridCol w:w="2798"/>
      </w:tblGrid>
      <w:tr w14:paraId="0EC2A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8" w:type="pct"/>
            <w:tcBorders>
              <w:tl2br w:val="nil"/>
              <w:tr2bl w:val="nil"/>
            </w:tcBorders>
            <w:vAlign w:val="center"/>
          </w:tcPr>
          <w:p w14:paraId="65412EDA">
            <w:pPr>
              <w:spacing w:line="240" w:lineRule="auto"/>
              <w:ind w:firstLine="0" w:firstLineChars="0"/>
              <w:jc w:val="center"/>
              <w:rPr>
                <w:sz w:val="21"/>
                <w:highlight w:val="black"/>
              </w:rPr>
            </w:pPr>
            <w:r>
              <w:rPr>
                <w:sz w:val="21"/>
                <w:highlight w:val="black"/>
              </w:rPr>
              <w:t>岩石等级</w:t>
            </w:r>
          </w:p>
        </w:tc>
        <w:tc>
          <w:tcPr>
            <w:tcW w:w="1243" w:type="pct"/>
            <w:tcBorders>
              <w:tl2br w:val="nil"/>
              <w:tr2bl w:val="nil"/>
            </w:tcBorders>
            <w:vAlign w:val="center"/>
          </w:tcPr>
          <w:p w14:paraId="10AF51D1">
            <w:pPr>
              <w:spacing w:line="240" w:lineRule="auto"/>
              <w:ind w:firstLine="0" w:firstLineChars="0"/>
              <w:jc w:val="center"/>
              <w:rPr>
                <w:sz w:val="21"/>
                <w:highlight w:val="black"/>
              </w:rPr>
            </w:pPr>
            <w:r>
              <w:rPr>
                <w:sz w:val="21"/>
                <w:highlight w:val="black"/>
              </w:rPr>
              <w:t>RQD(%)</w:t>
            </w:r>
          </w:p>
        </w:tc>
        <w:tc>
          <w:tcPr>
            <w:tcW w:w="1434" w:type="pct"/>
            <w:tcBorders>
              <w:tl2br w:val="nil"/>
              <w:tr2bl w:val="nil"/>
            </w:tcBorders>
            <w:vAlign w:val="center"/>
          </w:tcPr>
          <w:p w14:paraId="30E272A1">
            <w:pPr>
              <w:spacing w:line="240" w:lineRule="auto"/>
              <w:ind w:firstLine="0" w:firstLineChars="0"/>
              <w:jc w:val="center"/>
              <w:rPr>
                <w:sz w:val="21"/>
                <w:highlight w:val="black"/>
              </w:rPr>
            </w:pPr>
            <w:r>
              <w:rPr>
                <w:sz w:val="21"/>
                <w:highlight w:val="black"/>
              </w:rPr>
              <w:t>岩石质量描述</w:t>
            </w:r>
          </w:p>
        </w:tc>
        <w:tc>
          <w:tcPr>
            <w:tcW w:w="1615" w:type="pct"/>
            <w:tcBorders>
              <w:tl2br w:val="nil"/>
              <w:tr2bl w:val="nil"/>
            </w:tcBorders>
            <w:vAlign w:val="center"/>
          </w:tcPr>
          <w:p w14:paraId="7A544AB3">
            <w:pPr>
              <w:spacing w:line="240" w:lineRule="auto"/>
              <w:ind w:firstLine="0" w:firstLineChars="0"/>
              <w:jc w:val="center"/>
              <w:rPr>
                <w:sz w:val="21"/>
                <w:highlight w:val="black"/>
              </w:rPr>
            </w:pPr>
            <w:r>
              <w:rPr>
                <w:sz w:val="21"/>
                <w:highlight w:val="black"/>
              </w:rPr>
              <w:t>岩体完整性评价</w:t>
            </w:r>
          </w:p>
        </w:tc>
      </w:tr>
      <w:tr w14:paraId="51805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tcBorders>
              <w:tl2br w:val="nil"/>
              <w:tr2bl w:val="nil"/>
            </w:tcBorders>
            <w:vAlign w:val="center"/>
          </w:tcPr>
          <w:p w14:paraId="5CC3E038">
            <w:pPr>
              <w:spacing w:line="240" w:lineRule="auto"/>
              <w:ind w:firstLine="0" w:firstLineChars="0"/>
              <w:jc w:val="center"/>
              <w:rPr>
                <w:sz w:val="21"/>
                <w:highlight w:val="black"/>
              </w:rPr>
            </w:pPr>
            <w:r>
              <w:rPr>
                <w:sz w:val="21"/>
                <w:highlight w:val="black"/>
              </w:rPr>
              <w:t>Ⅰ</w:t>
            </w:r>
          </w:p>
        </w:tc>
        <w:tc>
          <w:tcPr>
            <w:tcW w:w="1243" w:type="pct"/>
            <w:tcBorders>
              <w:tl2br w:val="nil"/>
              <w:tr2bl w:val="nil"/>
            </w:tcBorders>
            <w:vAlign w:val="center"/>
          </w:tcPr>
          <w:p w14:paraId="617DABE5">
            <w:pPr>
              <w:spacing w:line="240" w:lineRule="auto"/>
              <w:ind w:firstLine="0" w:firstLineChars="0"/>
              <w:jc w:val="center"/>
              <w:rPr>
                <w:sz w:val="21"/>
                <w:highlight w:val="black"/>
              </w:rPr>
            </w:pPr>
            <w:r>
              <w:rPr>
                <w:sz w:val="21"/>
                <w:highlight w:val="black"/>
              </w:rPr>
              <w:t>90</w:t>
            </w:r>
            <w:r>
              <w:rPr>
                <w:rFonts w:hint="eastAsia"/>
                <w:sz w:val="21"/>
                <w:highlight w:val="black"/>
              </w:rPr>
              <w:t>~</w:t>
            </w:r>
            <w:r>
              <w:rPr>
                <w:sz w:val="21"/>
                <w:highlight w:val="black"/>
              </w:rPr>
              <w:t>100</w:t>
            </w:r>
          </w:p>
        </w:tc>
        <w:tc>
          <w:tcPr>
            <w:tcW w:w="1434" w:type="pct"/>
            <w:tcBorders>
              <w:tl2br w:val="nil"/>
              <w:tr2bl w:val="nil"/>
            </w:tcBorders>
            <w:vAlign w:val="center"/>
          </w:tcPr>
          <w:p w14:paraId="2D384B15">
            <w:pPr>
              <w:spacing w:line="240" w:lineRule="auto"/>
              <w:ind w:firstLine="0" w:firstLineChars="0"/>
              <w:jc w:val="center"/>
              <w:rPr>
                <w:sz w:val="21"/>
                <w:highlight w:val="black"/>
              </w:rPr>
            </w:pPr>
            <w:r>
              <w:rPr>
                <w:sz w:val="21"/>
                <w:highlight w:val="black"/>
              </w:rPr>
              <w:t>极好的</w:t>
            </w:r>
          </w:p>
        </w:tc>
        <w:tc>
          <w:tcPr>
            <w:tcW w:w="1615" w:type="pct"/>
            <w:tcBorders>
              <w:tl2br w:val="nil"/>
              <w:tr2bl w:val="nil"/>
            </w:tcBorders>
            <w:vAlign w:val="center"/>
          </w:tcPr>
          <w:p w14:paraId="63A524C4">
            <w:pPr>
              <w:spacing w:line="240" w:lineRule="auto"/>
              <w:ind w:firstLine="0" w:firstLineChars="0"/>
              <w:jc w:val="center"/>
              <w:rPr>
                <w:sz w:val="21"/>
                <w:highlight w:val="black"/>
              </w:rPr>
            </w:pPr>
            <w:r>
              <w:rPr>
                <w:sz w:val="21"/>
                <w:highlight w:val="black"/>
              </w:rPr>
              <w:t>岩体完整</w:t>
            </w:r>
          </w:p>
        </w:tc>
      </w:tr>
      <w:tr w14:paraId="55422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tcBorders>
              <w:tl2br w:val="nil"/>
              <w:tr2bl w:val="nil"/>
            </w:tcBorders>
            <w:vAlign w:val="center"/>
          </w:tcPr>
          <w:p w14:paraId="44E15098">
            <w:pPr>
              <w:spacing w:line="240" w:lineRule="auto"/>
              <w:ind w:firstLine="0" w:firstLineChars="0"/>
              <w:jc w:val="center"/>
              <w:rPr>
                <w:sz w:val="21"/>
                <w:highlight w:val="black"/>
              </w:rPr>
            </w:pPr>
            <w:r>
              <w:rPr>
                <w:sz w:val="21"/>
                <w:highlight w:val="black"/>
              </w:rPr>
              <w:t>Ⅱ</w:t>
            </w:r>
          </w:p>
        </w:tc>
        <w:tc>
          <w:tcPr>
            <w:tcW w:w="1243" w:type="pct"/>
            <w:tcBorders>
              <w:tl2br w:val="nil"/>
              <w:tr2bl w:val="nil"/>
            </w:tcBorders>
            <w:vAlign w:val="center"/>
          </w:tcPr>
          <w:p w14:paraId="12DDBE66">
            <w:pPr>
              <w:spacing w:line="240" w:lineRule="auto"/>
              <w:ind w:firstLine="0" w:firstLineChars="0"/>
              <w:jc w:val="center"/>
              <w:rPr>
                <w:sz w:val="21"/>
                <w:highlight w:val="black"/>
              </w:rPr>
            </w:pPr>
            <w:r>
              <w:rPr>
                <w:sz w:val="21"/>
                <w:highlight w:val="black"/>
              </w:rPr>
              <w:t>75</w:t>
            </w:r>
            <w:r>
              <w:rPr>
                <w:rFonts w:hint="eastAsia"/>
                <w:sz w:val="21"/>
                <w:highlight w:val="black"/>
              </w:rPr>
              <w:t>~</w:t>
            </w:r>
            <w:r>
              <w:rPr>
                <w:sz w:val="21"/>
                <w:highlight w:val="black"/>
              </w:rPr>
              <w:t>90</w:t>
            </w:r>
          </w:p>
        </w:tc>
        <w:tc>
          <w:tcPr>
            <w:tcW w:w="1434" w:type="pct"/>
            <w:tcBorders>
              <w:tl2br w:val="nil"/>
              <w:tr2bl w:val="nil"/>
            </w:tcBorders>
            <w:vAlign w:val="center"/>
          </w:tcPr>
          <w:p w14:paraId="5FDE0719">
            <w:pPr>
              <w:spacing w:line="240" w:lineRule="auto"/>
              <w:ind w:firstLine="0" w:firstLineChars="0"/>
              <w:jc w:val="center"/>
              <w:rPr>
                <w:sz w:val="21"/>
                <w:highlight w:val="black"/>
              </w:rPr>
            </w:pPr>
            <w:r>
              <w:rPr>
                <w:sz w:val="21"/>
                <w:highlight w:val="black"/>
              </w:rPr>
              <w:t>好的</w:t>
            </w:r>
          </w:p>
        </w:tc>
        <w:tc>
          <w:tcPr>
            <w:tcW w:w="1615" w:type="pct"/>
            <w:tcBorders>
              <w:tl2br w:val="nil"/>
              <w:tr2bl w:val="nil"/>
            </w:tcBorders>
            <w:vAlign w:val="center"/>
          </w:tcPr>
          <w:p w14:paraId="63C34530">
            <w:pPr>
              <w:spacing w:line="240" w:lineRule="auto"/>
              <w:ind w:firstLine="0" w:firstLineChars="0"/>
              <w:jc w:val="center"/>
              <w:rPr>
                <w:sz w:val="21"/>
                <w:highlight w:val="black"/>
              </w:rPr>
            </w:pPr>
            <w:r>
              <w:rPr>
                <w:sz w:val="21"/>
                <w:highlight w:val="black"/>
              </w:rPr>
              <w:t>岩体较完整</w:t>
            </w:r>
          </w:p>
        </w:tc>
      </w:tr>
      <w:tr w14:paraId="28AA8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tcBorders>
              <w:tl2br w:val="nil"/>
              <w:tr2bl w:val="nil"/>
            </w:tcBorders>
            <w:vAlign w:val="center"/>
          </w:tcPr>
          <w:p w14:paraId="66C4A4A0">
            <w:pPr>
              <w:spacing w:line="240" w:lineRule="auto"/>
              <w:ind w:firstLine="0" w:firstLineChars="0"/>
              <w:jc w:val="center"/>
              <w:rPr>
                <w:sz w:val="21"/>
                <w:highlight w:val="black"/>
              </w:rPr>
            </w:pPr>
            <w:r>
              <w:rPr>
                <w:sz w:val="21"/>
                <w:highlight w:val="black"/>
              </w:rPr>
              <w:t>Ⅲ</w:t>
            </w:r>
          </w:p>
        </w:tc>
        <w:tc>
          <w:tcPr>
            <w:tcW w:w="1243" w:type="pct"/>
            <w:tcBorders>
              <w:tl2br w:val="nil"/>
              <w:tr2bl w:val="nil"/>
            </w:tcBorders>
            <w:vAlign w:val="center"/>
          </w:tcPr>
          <w:p w14:paraId="20EC693D">
            <w:pPr>
              <w:spacing w:line="240" w:lineRule="auto"/>
              <w:ind w:firstLine="0" w:firstLineChars="0"/>
              <w:jc w:val="center"/>
              <w:rPr>
                <w:sz w:val="21"/>
                <w:highlight w:val="black"/>
              </w:rPr>
            </w:pPr>
            <w:r>
              <w:rPr>
                <w:sz w:val="21"/>
                <w:highlight w:val="black"/>
              </w:rPr>
              <w:t>50</w:t>
            </w:r>
            <w:r>
              <w:rPr>
                <w:rFonts w:hint="eastAsia"/>
                <w:sz w:val="21"/>
                <w:highlight w:val="black"/>
              </w:rPr>
              <w:t>~</w:t>
            </w:r>
            <w:r>
              <w:rPr>
                <w:sz w:val="21"/>
                <w:highlight w:val="black"/>
              </w:rPr>
              <w:t>75</w:t>
            </w:r>
          </w:p>
        </w:tc>
        <w:tc>
          <w:tcPr>
            <w:tcW w:w="1434" w:type="pct"/>
            <w:tcBorders>
              <w:tl2br w:val="nil"/>
              <w:tr2bl w:val="nil"/>
            </w:tcBorders>
            <w:vAlign w:val="center"/>
          </w:tcPr>
          <w:p w14:paraId="288E1E35">
            <w:pPr>
              <w:spacing w:line="240" w:lineRule="auto"/>
              <w:ind w:firstLine="0" w:firstLineChars="0"/>
              <w:jc w:val="center"/>
              <w:rPr>
                <w:sz w:val="21"/>
                <w:highlight w:val="black"/>
              </w:rPr>
            </w:pPr>
            <w:r>
              <w:rPr>
                <w:sz w:val="21"/>
                <w:highlight w:val="black"/>
              </w:rPr>
              <w:t>中等的</w:t>
            </w:r>
          </w:p>
        </w:tc>
        <w:tc>
          <w:tcPr>
            <w:tcW w:w="1615" w:type="pct"/>
            <w:tcBorders>
              <w:tl2br w:val="nil"/>
              <w:tr2bl w:val="nil"/>
            </w:tcBorders>
            <w:vAlign w:val="center"/>
          </w:tcPr>
          <w:p w14:paraId="6F2990F2">
            <w:pPr>
              <w:spacing w:line="240" w:lineRule="auto"/>
              <w:ind w:firstLine="0" w:firstLineChars="0"/>
              <w:jc w:val="center"/>
              <w:rPr>
                <w:sz w:val="21"/>
                <w:highlight w:val="black"/>
              </w:rPr>
            </w:pPr>
            <w:r>
              <w:rPr>
                <w:sz w:val="21"/>
                <w:highlight w:val="black"/>
              </w:rPr>
              <w:t>岩体中等完整</w:t>
            </w:r>
          </w:p>
        </w:tc>
      </w:tr>
      <w:tr w14:paraId="4D1BA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tcBorders>
              <w:tl2br w:val="nil"/>
              <w:tr2bl w:val="nil"/>
            </w:tcBorders>
            <w:vAlign w:val="center"/>
          </w:tcPr>
          <w:p w14:paraId="3237DDB3">
            <w:pPr>
              <w:spacing w:line="240" w:lineRule="auto"/>
              <w:ind w:firstLine="0" w:firstLineChars="0"/>
              <w:jc w:val="center"/>
              <w:rPr>
                <w:sz w:val="21"/>
                <w:highlight w:val="black"/>
              </w:rPr>
            </w:pPr>
            <w:r>
              <w:rPr>
                <w:sz w:val="21"/>
                <w:highlight w:val="black"/>
              </w:rPr>
              <w:t>Ⅳ</w:t>
            </w:r>
          </w:p>
        </w:tc>
        <w:tc>
          <w:tcPr>
            <w:tcW w:w="1243" w:type="pct"/>
            <w:tcBorders>
              <w:tl2br w:val="nil"/>
              <w:tr2bl w:val="nil"/>
            </w:tcBorders>
            <w:vAlign w:val="center"/>
          </w:tcPr>
          <w:p w14:paraId="2440E9F4">
            <w:pPr>
              <w:spacing w:line="240" w:lineRule="auto"/>
              <w:ind w:firstLine="0" w:firstLineChars="0"/>
              <w:jc w:val="center"/>
              <w:rPr>
                <w:sz w:val="21"/>
                <w:highlight w:val="black"/>
              </w:rPr>
            </w:pPr>
            <w:r>
              <w:rPr>
                <w:sz w:val="21"/>
                <w:highlight w:val="black"/>
              </w:rPr>
              <w:t>25</w:t>
            </w:r>
            <w:r>
              <w:rPr>
                <w:rFonts w:hint="eastAsia"/>
                <w:sz w:val="21"/>
                <w:highlight w:val="black"/>
              </w:rPr>
              <w:t>~</w:t>
            </w:r>
            <w:r>
              <w:rPr>
                <w:sz w:val="21"/>
                <w:highlight w:val="black"/>
              </w:rPr>
              <w:t>50</w:t>
            </w:r>
          </w:p>
        </w:tc>
        <w:tc>
          <w:tcPr>
            <w:tcW w:w="1434" w:type="pct"/>
            <w:tcBorders>
              <w:tl2br w:val="nil"/>
              <w:tr2bl w:val="nil"/>
            </w:tcBorders>
            <w:vAlign w:val="center"/>
          </w:tcPr>
          <w:p w14:paraId="695C0BE2">
            <w:pPr>
              <w:spacing w:line="240" w:lineRule="auto"/>
              <w:ind w:firstLine="0" w:firstLineChars="0"/>
              <w:jc w:val="center"/>
              <w:rPr>
                <w:sz w:val="21"/>
                <w:highlight w:val="black"/>
              </w:rPr>
            </w:pPr>
            <w:r>
              <w:rPr>
                <w:sz w:val="21"/>
                <w:highlight w:val="black"/>
              </w:rPr>
              <w:t>劣的</w:t>
            </w:r>
          </w:p>
        </w:tc>
        <w:tc>
          <w:tcPr>
            <w:tcW w:w="1615" w:type="pct"/>
            <w:tcBorders>
              <w:tl2br w:val="nil"/>
              <w:tr2bl w:val="nil"/>
            </w:tcBorders>
            <w:vAlign w:val="center"/>
          </w:tcPr>
          <w:p w14:paraId="0B40B991">
            <w:pPr>
              <w:spacing w:line="240" w:lineRule="auto"/>
              <w:ind w:firstLine="0" w:firstLineChars="0"/>
              <w:jc w:val="center"/>
              <w:rPr>
                <w:sz w:val="21"/>
                <w:highlight w:val="black"/>
              </w:rPr>
            </w:pPr>
            <w:r>
              <w:rPr>
                <w:sz w:val="21"/>
                <w:highlight w:val="black"/>
              </w:rPr>
              <w:t>岩体完整性差</w:t>
            </w:r>
          </w:p>
        </w:tc>
      </w:tr>
      <w:tr w14:paraId="44D3F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tcBorders>
              <w:tl2br w:val="nil"/>
              <w:tr2bl w:val="nil"/>
            </w:tcBorders>
            <w:vAlign w:val="center"/>
          </w:tcPr>
          <w:p w14:paraId="39239745">
            <w:pPr>
              <w:spacing w:line="240" w:lineRule="auto"/>
              <w:ind w:firstLine="0" w:firstLineChars="0"/>
              <w:jc w:val="center"/>
              <w:rPr>
                <w:sz w:val="21"/>
                <w:highlight w:val="black"/>
              </w:rPr>
            </w:pPr>
            <w:r>
              <w:rPr>
                <w:sz w:val="21"/>
                <w:highlight w:val="black"/>
              </w:rPr>
              <w:t>Ⅴ</w:t>
            </w:r>
          </w:p>
        </w:tc>
        <w:tc>
          <w:tcPr>
            <w:tcW w:w="1243" w:type="pct"/>
            <w:tcBorders>
              <w:tl2br w:val="nil"/>
              <w:tr2bl w:val="nil"/>
            </w:tcBorders>
            <w:vAlign w:val="center"/>
          </w:tcPr>
          <w:p w14:paraId="256F0D68">
            <w:pPr>
              <w:spacing w:line="240" w:lineRule="auto"/>
              <w:ind w:firstLine="0" w:firstLineChars="0"/>
              <w:jc w:val="center"/>
              <w:rPr>
                <w:sz w:val="21"/>
                <w:highlight w:val="black"/>
              </w:rPr>
            </w:pPr>
            <w:r>
              <w:rPr>
                <w:sz w:val="21"/>
                <w:highlight w:val="black"/>
              </w:rPr>
              <w:t>&lt;25</w:t>
            </w:r>
          </w:p>
        </w:tc>
        <w:tc>
          <w:tcPr>
            <w:tcW w:w="1434" w:type="pct"/>
            <w:tcBorders>
              <w:tl2br w:val="nil"/>
              <w:tr2bl w:val="nil"/>
            </w:tcBorders>
            <w:vAlign w:val="center"/>
          </w:tcPr>
          <w:p w14:paraId="3062125E">
            <w:pPr>
              <w:spacing w:line="240" w:lineRule="auto"/>
              <w:ind w:firstLine="0" w:firstLineChars="0"/>
              <w:jc w:val="center"/>
              <w:rPr>
                <w:sz w:val="21"/>
                <w:highlight w:val="black"/>
              </w:rPr>
            </w:pPr>
            <w:r>
              <w:rPr>
                <w:sz w:val="21"/>
                <w:highlight w:val="black"/>
              </w:rPr>
              <w:t>极劣的</w:t>
            </w:r>
          </w:p>
        </w:tc>
        <w:tc>
          <w:tcPr>
            <w:tcW w:w="1615" w:type="pct"/>
            <w:tcBorders>
              <w:tl2br w:val="nil"/>
              <w:tr2bl w:val="nil"/>
            </w:tcBorders>
            <w:vAlign w:val="center"/>
          </w:tcPr>
          <w:p w14:paraId="3D6773D8">
            <w:pPr>
              <w:spacing w:line="240" w:lineRule="auto"/>
              <w:ind w:firstLine="0" w:firstLineChars="0"/>
              <w:jc w:val="center"/>
              <w:rPr>
                <w:sz w:val="21"/>
                <w:highlight w:val="black"/>
              </w:rPr>
            </w:pPr>
            <w:r>
              <w:rPr>
                <w:sz w:val="21"/>
                <w:highlight w:val="black"/>
              </w:rPr>
              <w:t>岩体破碎</w:t>
            </w:r>
          </w:p>
        </w:tc>
      </w:tr>
    </w:tbl>
    <w:p w14:paraId="1358327D">
      <w:pPr>
        <w:ind w:firstLine="583"/>
        <w:rPr>
          <w:highlight w:val="black"/>
        </w:rPr>
      </w:pPr>
      <w:r>
        <w:rPr>
          <w:highlight w:val="black"/>
        </w:rPr>
        <w:t>岩体质量指标、岩体完整性系数利用工程地质编录孔，分别统计不同岩石的RQD值，取其平均值。</w:t>
      </w:r>
    </w:p>
    <w:p w14:paraId="399594EA">
      <w:pPr>
        <w:ind w:firstLine="583"/>
        <w:rPr>
          <w:highlight w:val="black"/>
        </w:rPr>
      </w:pPr>
      <w:r>
        <w:rPr>
          <w:highlight w:val="black"/>
        </w:rPr>
        <w:t>a、岩体质量系数法：用下式求得，计算结果。</w:t>
      </w:r>
    </w:p>
    <w:p w14:paraId="3A7EB4FE">
      <w:pPr>
        <w:snapToGrid w:val="0"/>
        <w:spacing w:line="520" w:lineRule="atLeast"/>
        <w:ind w:firstLine="0" w:firstLineChars="0"/>
        <w:jc w:val="center"/>
        <w:rPr>
          <w:sz w:val="26"/>
          <w:szCs w:val="26"/>
          <w:highlight w:val="black"/>
        </w:rPr>
      </w:pPr>
      <w:r>
        <w:rPr>
          <w:sz w:val="26"/>
          <w:szCs w:val="26"/>
          <w:highlight w:val="black"/>
        </w:rPr>
        <w:t>Z=I×F×S</w:t>
      </w:r>
    </w:p>
    <w:p w14:paraId="29F241E7">
      <w:pPr>
        <w:ind w:firstLine="583"/>
        <w:rPr>
          <w:highlight w:val="black"/>
        </w:rPr>
      </w:pPr>
      <w:r>
        <w:rPr>
          <w:highlight w:val="black"/>
        </w:rPr>
        <w:t>式中：Z—岩体质量系数；</w:t>
      </w:r>
    </w:p>
    <w:p w14:paraId="4DD6F549">
      <w:pPr>
        <w:ind w:firstLine="583"/>
        <w:rPr>
          <w:highlight w:val="black"/>
        </w:rPr>
      </w:pPr>
      <w:r>
        <w:rPr>
          <w:highlight w:val="black"/>
        </w:rPr>
        <w:t>I—岩体完整性系数，用RQD值；</w:t>
      </w:r>
    </w:p>
    <w:p w14:paraId="4A8CDE77">
      <w:pPr>
        <w:ind w:firstLine="583"/>
        <w:rPr>
          <w:highlight w:val="black"/>
        </w:rPr>
      </w:pPr>
      <w:r>
        <w:rPr>
          <w:highlight w:val="black"/>
        </w:rPr>
        <w:t>F—经验系数，取0.60；</w:t>
      </w:r>
    </w:p>
    <w:p w14:paraId="193F591E">
      <w:pPr>
        <w:ind w:firstLine="583"/>
        <w:rPr>
          <w:highlight w:val="black"/>
        </w:rPr>
      </w:pPr>
      <w:r>
        <w:rPr>
          <w:highlight w:val="black"/>
        </w:rPr>
        <w:t>S—岩石坚硬系数，S=Rc/100kg/cm</w:t>
      </w:r>
      <w:r>
        <w:rPr>
          <w:highlight w:val="black"/>
          <w:vertAlign w:val="superscript"/>
        </w:rPr>
        <w:t>2</w:t>
      </w:r>
      <w:r>
        <w:rPr>
          <w:highlight w:val="black"/>
        </w:rPr>
        <w:t>；</w:t>
      </w:r>
    </w:p>
    <w:p w14:paraId="2E4A9E3B">
      <w:pPr>
        <w:ind w:firstLine="583"/>
        <w:rPr>
          <w:highlight w:val="black"/>
        </w:rPr>
      </w:pPr>
      <w:r>
        <w:rPr>
          <w:highlight w:val="black"/>
        </w:rPr>
        <w:t>Rc—岩块饱和轴向抗压强度，kg/cm</w:t>
      </w:r>
      <w:r>
        <w:rPr>
          <w:highlight w:val="black"/>
          <w:vertAlign w:val="superscript"/>
        </w:rPr>
        <w:t>2</w:t>
      </w:r>
      <w:r>
        <w:rPr>
          <w:highlight w:val="black"/>
        </w:rPr>
        <w:t>。</w:t>
      </w:r>
    </w:p>
    <w:p w14:paraId="7FA4F819">
      <w:pPr>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2</w:t>
      </w:r>
      <w:r>
        <w:rPr>
          <w:b/>
          <w:sz w:val="21"/>
          <w:szCs w:val="21"/>
          <w:highlight w:val="black"/>
        </w:rPr>
        <w:t>-</w:t>
      </w:r>
      <w:r>
        <w:rPr>
          <w:rFonts w:hint="eastAsia"/>
          <w:b/>
          <w:sz w:val="21"/>
          <w:szCs w:val="21"/>
          <w:highlight w:val="black"/>
        </w:rPr>
        <w:t>7</w:t>
      </w:r>
      <w:r>
        <w:rPr>
          <w:b/>
          <w:sz w:val="21"/>
          <w:szCs w:val="21"/>
          <w:highlight w:val="black"/>
        </w:rPr>
        <w:t xml:space="preserve"> 岩体质量系数</w:t>
      </w:r>
      <w:r>
        <w:rPr>
          <w:rFonts w:hint="eastAsia"/>
          <w:b/>
          <w:sz w:val="21"/>
          <w:szCs w:val="21"/>
          <w:highlight w:val="black"/>
        </w:rPr>
        <w:t>（</w:t>
      </w:r>
      <w:r>
        <w:rPr>
          <w:b/>
          <w:sz w:val="21"/>
          <w:szCs w:val="21"/>
          <w:highlight w:val="black"/>
        </w:rPr>
        <w:t>Z</w:t>
      </w:r>
      <w:r>
        <w:rPr>
          <w:rFonts w:hint="eastAsia"/>
          <w:b/>
          <w:sz w:val="21"/>
          <w:szCs w:val="21"/>
          <w:highlight w:val="black"/>
        </w:rPr>
        <w:t>）</w:t>
      </w:r>
      <w:r>
        <w:rPr>
          <w:b/>
          <w:sz w:val="21"/>
          <w:szCs w:val="21"/>
          <w:highlight w:val="black"/>
        </w:rPr>
        <w:t>计算结果表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833"/>
        <w:gridCol w:w="908"/>
        <w:gridCol w:w="982"/>
        <w:gridCol w:w="1171"/>
        <w:gridCol w:w="858"/>
        <w:gridCol w:w="1506"/>
      </w:tblGrid>
      <w:tr w14:paraId="756B3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8" w:type="pct"/>
            <w:vMerge w:val="restart"/>
            <w:tcBorders>
              <w:tl2br w:val="nil"/>
              <w:tr2bl w:val="nil"/>
            </w:tcBorders>
            <w:vAlign w:val="center"/>
          </w:tcPr>
          <w:p w14:paraId="76CEDFE6">
            <w:pPr>
              <w:snapToGrid w:val="0"/>
              <w:spacing w:line="240" w:lineRule="atLeast"/>
              <w:ind w:firstLine="0" w:firstLineChars="0"/>
              <w:jc w:val="center"/>
              <w:rPr>
                <w:sz w:val="21"/>
                <w:szCs w:val="21"/>
                <w:highlight w:val="black"/>
              </w:rPr>
            </w:pPr>
            <w:r>
              <w:rPr>
                <w:sz w:val="21"/>
                <w:szCs w:val="21"/>
                <w:highlight w:val="black"/>
              </w:rPr>
              <w:t>岩 性</w:t>
            </w:r>
          </w:p>
        </w:tc>
        <w:tc>
          <w:tcPr>
            <w:tcW w:w="2743" w:type="pct"/>
            <w:gridSpan w:val="5"/>
            <w:tcBorders>
              <w:tl2br w:val="nil"/>
              <w:tr2bl w:val="nil"/>
            </w:tcBorders>
            <w:vAlign w:val="center"/>
          </w:tcPr>
          <w:p w14:paraId="79706E77">
            <w:pPr>
              <w:snapToGrid w:val="0"/>
              <w:spacing w:line="240" w:lineRule="atLeast"/>
              <w:ind w:firstLine="0" w:firstLineChars="0"/>
              <w:jc w:val="center"/>
              <w:rPr>
                <w:sz w:val="21"/>
                <w:szCs w:val="21"/>
                <w:highlight w:val="black"/>
              </w:rPr>
            </w:pPr>
            <w:r>
              <w:rPr>
                <w:sz w:val="21"/>
                <w:szCs w:val="21"/>
                <w:highlight w:val="black"/>
              </w:rPr>
              <w:t>计算参数</w:t>
            </w:r>
          </w:p>
        </w:tc>
        <w:tc>
          <w:tcPr>
            <w:tcW w:w="869" w:type="pct"/>
            <w:vMerge w:val="restart"/>
            <w:tcBorders>
              <w:tl2br w:val="nil"/>
              <w:tr2bl w:val="nil"/>
            </w:tcBorders>
            <w:vAlign w:val="center"/>
          </w:tcPr>
          <w:p w14:paraId="694ACB6E">
            <w:pPr>
              <w:snapToGrid w:val="0"/>
              <w:spacing w:line="240" w:lineRule="atLeast"/>
              <w:ind w:firstLine="0" w:firstLineChars="0"/>
              <w:jc w:val="center"/>
              <w:rPr>
                <w:sz w:val="21"/>
                <w:szCs w:val="21"/>
                <w:highlight w:val="black"/>
              </w:rPr>
            </w:pPr>
            <w:r>
              <w:rPr>
                <w:sz w:val="21"/>
                <w:szCs w:val="21"/>
                <w:highlight w:val="black"/>
              </w:rPr>
              <w:t>质量等级</w:t>
            </w:r>
          </w:p>
        </w:tc>
      </w:tr>
      <w:tr w14:paraId="16F8F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8" w:type="pct"/>
            <w:vMerge w:val="continue"/>
            <w:tcBorders>
              <w:tl2br w:val="nil"/>
              <w:tr2bl w:val="nil"/>
            </w:tcBorders>
            <w:vAlign w:val="center"/>
          </w:tcPr>
          <w:p w14:paraId="2C9319E6">
            <w:pPr>
              <w:snapToGrid w:val="0"/>
              <w:spacing w:line="240" w:lineRule="atLeast"/>
              <w:ind w:firstLine="0" w:firstLineChars="0"/>
              <w:jc w:val="center"/>
              <w:rPr>
                <w:sz w:val="21"/>
                <w:szCs w:val="21"/>
                <w:highlight w:val="black"/>
              </w:rPr>
            </w:pPr>
          </w:p>
        </w:tc>
        <w:tc>
          <w:tcPr>
            <w:tcW w:w="481" w:type="pct"/>
            <w:tcBorders>
              <w:tl2br w:val="nil"/>
              <w:tr2bl w:val="nil"/>
            </w:tcBorders>
            <w:vAlign w:val="center"/>
          </w:tcPr>
          <w:p w14:paraId="225556D0">
            <w:pPr>
              <w:snapToGrid w:val="0"/>
              <w:spacing w:line="240" w:lineRule="atLeast"/>
              <w:ind w:firstLine="0" w:firstLineChars="0"/>
              <w:jc w:val="center"/>
              <w:rPr>
                <w:sz w:val="21"/>
                <w:szCs w:val="21"/>
                <w:highlight w:val="black"/>
              </w:rPr>
            </w:pPr>
            <w:r>
              <w:rPr>
                <w:sz w:val="21"/>
                <w:szCs w:val="21"/>
                <w:highlight w:val="black"/>
              </w:rPr>
              <w:t>I</w:t>
            </w:r>
          </w:p>
        </w:tc>
        <w:tc>
          <w:tcPr>
            <w:tcW w:w="524" w:type="pct"/>
            <w:tcBorders>
              <w:tl2br w:val="nil"/>
              <w:tr2bl w:val="nil"/>
            </w:tcBorders>
            <w:vAlign w:val="center"/>
          </w:tcPr>
          <w:p w14:paraId="3EF01D43">
            <w:pPr>
              <w:snapToGrid w:val="0"/>
              <w:spacing w:line="240" w:lineRule="atLeast"/>
              <w:ind w:firstLine="0" w:firstLineChars="0"/>
              <w:jc w:val="center"/>
              <w:rPr>
                <w:sz w:val="21"/>
                <w:szCs w:val="21"/>
                <w:highlight w:val="black"/>
              </w:rPr>
            </w:pPr>
            <w:r>
              <w:rPr>
                <w:sz w:val="21"/>
                <w:szCs w:val="21"/>
                <w:highlight w:val="black"/>
              </w:rPr>
              <w:t>f</w:t>
            </w:r>
          </w:p>
        </w:tc>
        <w:tc>
          <w:tcPr>
            <w:tcW w:w="567" w:type="pct"/>
            <w:tcBorders>
              <w:tl2br w:val="nil"/>
              <w:tr2bl w:val="nil"/>
            </w:tcBorders>
            <w:vAlign w:val="center"/>
          </w:tcPr>
          <w:p w14:paraId="1C9F79EB">
            <w:pPr>
              <w:snapToGrid w:val="0"/>
              <w:spacing w:line="240" w:lineRule="atLeast"/>
              <w:ind w:firstLine="0" w:firstLineChars="0"/>
              <w:jc w:val="center"/>
              <w:rPr>
                <w:sz w:val="21"/>
                <w:szCs w:val="21"/>
                <w:highlight w:val="black"/>
              </w:rPr>
            </w:pPr>
            <w:r>
              <w:rPr>
                <w:sz w:val="21"/>
                <w:szCs w:val="21"/>
                <w:highlight w:val="black"/>
              </w:rPr>
              <w:t>Rc</w:t>
            </w:r>
          </w:p>
        </w:tc>
        <w:tc>
          <w:tcPr>
            <w:tcW w:w="676" w:type="pct"/>
            <w:tcBorders>
              <w:tl2br w:val="nil"/>
              <w:tr2bl w:val="nil"/>
            </w:tcBorders>
            <w:vAlign w:val="center"/>
          </w:tcPr>
          <w:p w14:paraId="2D14F966">
            <w:pPr>
              <w:snapToGrid w:val="0"/>
              <w:spacing w:line="240" w:lineRule="atLeast"/>
              <w:ind w:firstLine="0" w:firstLineChars="0"/>
              <w:jc w:val="center"/>
              <w:rPr>
                <w:sz w:val="21"/>
                <w:szCs w:val="21"/>
                <w:highlight w:val="black"/>
              </w:rPr>
            </w:pPr>
            <w:r>
              <w:rPr>
                <w:sz w:val="21"/>
                <w:szCs w:val="21"/>
                <w:highlight w:val="black"/>
              </w:rPr>
              <w:t>S</w:t>
            </w:r>
          </w:p>
        </w:tc>
        <w:tc>
          <w:tcPr>
            <w:tcW w:w="495" w:type="pct"/>
            <w:tcBorders>
              <w:tl2br w:val="nil"/>
              <w:tr2bl w:val="nil"/>
            </w:tcBorders>
            <w:vAlign w:val="center"/>
          </w:tcPr>
          <w:p w14:paraId="18B08D68">
            <w:pPr>
              <w:snapToGrid w:val="0"/>
              <w:spacing w:line="240" w:lineRule="atLeast"/>
              <w:ind w:firstLine="0" w:firstLineChars="0"/>
              <w:jc w:val="center"/>
              <w:rPr>
                <w:sz w:val="21"/>
                <w:szCs w:val="21"/>
                <w:highlight w:val="black"/>
              </w:rPr>
            </w:pPr>
            <w:r>
              <w:rPr>
                <w:sz w:val="21"/>
                <w:szCs w:val="21"/>
                <w:highlight w:val="black"/>
              </w:rPr>
              <w:t>Z</w:t>
            </w:r>
          </w:p>
        </w:tc>
        <w:tc>
          <w:tcPr>
            <w:tcW w:w="869" w:type="pct"/>
            <w:vMerge w:val="continue"/>
            <w:tcBorders>
              <w:tl2br w:val="nil"/>
              <w:tr2bl w:val="nil"/>
            </w:tcBorders>
            <w:vAlign w:val="center"/>
          </w:tcPr>
          <w:p w14:paraId="482D8FF8">
            <w:pPr>
              <w:snapToGrid w:val="0"/>
              <w:spacing w:line="240" w:lineRule="atLeast"/>
              <w:ind w:firstLine="0" w:firstLineChars="0"/>
              <w:jc w:val="center"/>
              <w:rPr>
                <w:sz w:val="21"/>
                <w:szCs w:val="21"/>
                <w:highlight w:val="black"/>
              </w:rPr>
            </w:pPr>
          </w:p>
        </w:tc>
      </w:tr>
      <w:tr w14:paraId="10262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8" w:type="pct"/>
            <w:tcBorders>
              <w:tl2br w:val="nil"/>
              <w:tr2bl w:val="nil"/>
            </w:tcBorders>
            <w:vAlign w:val="center"/>
          </w:tcPr>
          <w:p w14:paraId="684E3EAF">
            <w:pPr>
              <w:snapToGrid w:val="0"/>
              <w:spacing w:line="240" w:lineRule="atLeast"/>
              <w:ind w:firstLine="0" w:firstLineChars="0"/>
              <w:jc w:val="center"/>
              <w:rPr>
                <w:kern w:val="0"/>
                <w:sz w:val="21"/>
                <w:szCs w:val="21"/>
                <w:highlight w:val="black"/>
              </w:rPr>
            </w:pPr>
            <w:r>
              <w:rPr>
                <w:kern w:val="0"/>
                <w:sz w:val="21"/>
                <w:szCs w:val="21"/>
                <w:highlight w:val="black"/>
              </w:rPr>
              <w:t>斜长角闪片麻岩</w:t>
            </w:r>
          </w:p>
        </w:tc>
        <w:tc>
          <w:tcPr>
            <w:tcW w:w="481" w:type="pct"/>
            <w:tcBorders>
              <w:tl2br w:val="nil"/>
              <w:tr2bl w:val="nil"/>
            </w:tcBorders>
            <w:vAlign w:val="center"/>
          </w:tcPr>
          <w:p w14:paraId="1CC7ABFF">
            <w:pPr>
              <w:snapToGrid w:val="0"/>
              <w:spacing w:line="240" w:lineRule="atLeast"/>
              <w:ind w:firstLine="0" w:firstLineChars="0"/>
              <w:jc w:val="center"/>
              <w:rPr>
                <w:kern w:val="0"/>
                <w:sz w:val="21"/>
                <w:szCs w:val="21"/>
                <w:highlight w:val="black"/>
              </w:rPr>
            </w:pPr>
            <w:r>
              <w:rPr>
                <w:kern w:val="0"/>
                <w:sz w:val="21"/>
                <w:szCs w:val="21"/>
                <w:highlight w:val="black"/>
              </w:rPr>
              <w:t>0.91</w:t>
            </w:r>
          </w:p>
        </w:tc>
        <w:tc>
          <w:tcPr>
            <w:tcW w:w="524" w:type="pct"/>
            <w:tcBorders>
              <w:tl2br w:val="nil"/>
              <w:tr2bl w:val="nil"/>
            </w:tcBorders>
            <w:vAlign w:val="center"/>
          </w:tcPr>
          <w:p w14:paraId="331E291C">
            <w:pPr>
              <w:snapToGrid w:val="0"/>
              <w:spacing w:line="240" w:lineRule="atLeast"/>
              <w:ind w:firstLine="0" w:firstLineChars="0"/>
              <w:jc w:val="center"/>
              <w:rPr>
                <w:sz w:val="21"/>
                <w:szCs w:val="21"/>
                <w:highlight w:val="black"/>
              </w:rPr>
            </w:pPr>
            <w:r>
              <w:rPr>
                <w:sz w:val="21"/>
                <w:szCs w:val="21"/>
                <w:highlight w:val="black"/>
              </w:rPr>
              <w:t>0.60</w:t>
            </w:r>
          </w:p>
        </w:tc>
        <w:tc>
          <w:tcPr>
            <w:tcW w:w="567" w:type="pct"/>
            <w:tcBorders>
              <w:tl2br w:val="nil"/>
              <w:tr2bl w:val="nil"/>
            </w:tcBorders>
            <w:vAlign w:val="center"/>
          </w:tcPr>
          <w:p w14:paraId="271BD7FD">
            <w:pPr>
              <w:snapToGrid w:val="0"/>
              <w:spacing w:line="240" w:lineRule="atLeast"/>
              <w:ind w:firstLine="0" w:firstLineChars="0"/>
              <w:jc w:val="center"/>
              <w:rPr>
                <w:kern w:val="0"/>
                <w:sz w:val="21"/>
                <w:szCs w:val="21"/>
                <w:highlight w:val="black"/>
              </w:rPr>
            </w:pPr>
            <w:r>
              <w:rPr>
                <w:kern w:val="0"/>
                <w:sz w:val="21"/>
                <w:szCs w:val="21"/>
                <w:highlight w:val="black"/>
              </w:rPr>
              <w:t>341.0</w:t>
            </w:r>
          </w:p>
        </w:tc>
        <w:tc>
          <w:tcPr>
            <w:tcW w:w="676" w:type="pct"/>
            <w:tcBorders>
              <w:tl2br w:val="nil"/>
              <w:tr2bl w:val="nil"/>
            </w:tcBorders>
            <w:vAlign w:val="center"/>
          </w:tcPr>
          <w:p w14:paraId="7239BCF4">
            <w:pPr>
              <w:snapToGrid w:val="0"/>
              <w:spacing w:line="240" w:lineRule="atLeast"/>
              <w:ind w:firstLine="0" w:firstLineChars="0"/>
              <w:jc w:val="center"/>
              <w:rPr>
                <w:sz w:val="21"/>
                <w:szCs w:val="21"/>
                <w:highlight w:val="black"/>
              </w:rPr>
            </w:pPr>
            <w:r>
              <w:rPr>
                <w:sz w:val="21"/>
                <w:szCs w:val="21"/>
                <w:highlight w:val="black"/>
              </w:rPr>
              <w:t>0.341</w:t>
            </w:r>
          </w:p>
        </w:tc>
        <w:tc>
          <w:tcPr>
            <w:tcW w:w="495" w:type="pct"/>
            <w:tcBorders>
              <w:tl2br w:val="nil"/>
              <w:tr2bl w:val="nil"/>
            </w:tcBorders>
            <w:vAlign w:val="center"/>
          </w:tcPr>
          <w:p w14:paraId="2C12D7C0">
            <w:pPr>
              <w:snapToGrid w:val="0"/>
              <w:spacing w:line="240" w:lineRule="atLeast"/>
              <w:ind w:firstLine="0" w:firstLineChars="0"/>
              <w:jc w:val="center"/>
              <w:rPr>
                <w:sz w:val="21"/>
                <w:szCs w:val="21"/>
                <w:highlight w:val="black"/>
              </w:rPr>
            </w:pPr>
            <w:r>
              <w:rPr>
                <w:sz w:val="21"/>
                <w:szCs w:val="21"/>
                <w:highlight w:val="black"/>
              </w:rPr>
              <w:t>1.86</w:t>
            </w:r>
          </w:p>
        </w:tc>
        <w:tc>
          <w:tcPr>
            <w:tcW w:w="869" w:type="pct"/>
            <w:tcBorders>
              <w:tl2br w:val="nil"/>
              <w:tr2bl w:val="nil"/>
            </w:tcBorders>
            <w:vAlign w:val="center"/>
          </w:tcPr>
          <w:p w14:paraId="69EBA502">
            <w:pPr>
              <w:snapToGrid w:val="0"/>
              <w:spacing w:line="240" w:lineRule="atLeast"/>
              <w:ind w:firstLine="0" w:firstLineChars="0"/>
              <w:jc w:val="center"/>
              <w:rPr>
                <w:sz w:val="21"/>
                <w:szCs w:val="21"/>
                <w:highlight w:val="black"/>
              </w:rPr>
            </w:pPr>
            <w:r>
              <w:rPr>
                <w:sz w:val="21"/>
                <w:szCs w:val="21"/>
                <w:highlight w:val="black"/>
              </w:rPr>
              <w:t>一般</w:t>
            </w:r>
          </w:p>
        </w:tc>
      </w:tr>
      <w:tr w14:paraId="1A790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8" w:type="pct"/>
            <w:tcBorders>
              <w:tl2br w:val="nil"/>
              <w:tr2bl w:val="nil"/>
            </w:tcBorders>
            <w:vAlign w:val="center"/>
          </w:tcPr>
          <w:p w14:paraId="231D67EC">
            <w:pPr>
              <w:snapToGrid w:val="0"/>
              <w:spacing w:line="240" w:lineRule="atLeast"/>
              <w:ind w:firstLine="0" w:firstLineChars="0"/>
              <w:jc w:val="center"/>
              <w:rPr>
                <w:kern w:val="0"/>
                <w:sz w:val="21"/>
                <w:szCs w:val="21"/>
                <w:highlight w:val="black"/>
              </w:rPr>
            </w:pPr>
            <w:r>
              <w:rPr>
                <w:kern w:val="0"/>
                <w:sz w:val="21"/>
                <w:szCs w:val="21"/>
                <w:highlight w:val="black"/>
              </w:rPr>
              <w:t>二长花岗片麻岩</w:t>
            </w:r>
          </w:p>
        </w:tc>
        <w:tc>
          <w:tcPr>
            <w:tcW w:w="481" w:type="pct"/>
            <w:tcBorders>
              <w:tl2br w:val="nil"/>
              <w:tr2bl w:val="nil"/>
            </w:tcBorders>
            <w:vAlign w:val="center"/>
          </w:tcPr>
          <w:p w14:paraId="3A289E27">
            <w:pPr>
              <w:snapToGrid w:val="0"/>
              <w:spacing w:line="240" w:lineRule="atLeast"/>
              <w:ind w:firstLine="0" w:firstLineChars="0"/>
              <w:jc w:val="center"/>
              <w:rPr>
                <w:kern w:val="0"/>
                <w:sz w:val="21"/>
                <w:szCs w:val="21"/>
                <w:highlight w:val="black"/>
              </w:rPr>
            </w:pPr>
            <w:r>
              <w:rPr>
                <w:kern w:val="0"/>
                <w:sz w:val="21"/>
                <w:szCs w:val="21"/>
                <w:highlight w:val="black"/>
              </w:rPr>
              <w:t>0.95</w:t>
            </w:r>
          </w:p>
        </w:tc>
        <w:tc>
          <w:tcPr>
            <w:tcW w:w="524" w:type="pct"/>
            <w:tcBorders>
              <w:tl2br w:val="nil"/>
              <w:tr2bl w:val="nil"/>
            </w:tcBorders>
            <w:vAlign w:val="center"/>
          </w:tcPr>
          <w:p w14:paraId="43481AB4">
            <w:pPr>
              <w:snapToGrid w:val="0"/>
              <w:spacing w:line="240" w:lineRule="atLeast"/>
              <w:ind w:firstLine="0" w:firstLineChars="0"/>
              <w:jc w:val="center"/>
              <w:rPr>
                <w:sz w:val="21"/>
                <w:szCs w:val="21"/>
                <w:highlight w:val="black"/>
              </w:rPr>
            </w:pPr>
            <w:r>
              <w:rPr>
                <w:sz w:val="21"/>
                <w:szCs w:val="21"/>
                <w:highlight w:val="black"/>
              </w:rPr>
              <w:t>0.60</w:t>
            </w:r>
          </w:p>
        </w:tc>
        <w:tc>
          <w:tcPr>
            <w:tcW w:w="567" w:type="pct"/>
            <w:tcBorders>
              <w:tl2br w:val="nil"/>
              <w:tr2bl w:val="nil"/>
            </w:tcBorders>
            <w:vAlign w:val="center"/>
          </w:tcPr>
          <w:p w14:paraId="403551BE">
            <w:pPr>
              <w:snapToGrid w:val="0"/>
              <w:spacing w:line="240" w:lineRule="atLeast"/>
              <w:ind w:firstLine="0" w:firstLineChars="0"/>
              <w:jc w:val="center"/>
              <w:rPr>
                <w:kern w:val="0"/>
                <w:sz w:val="21"/>
                <w:szCs w:val="21"/>
                <w:highlight w:val="black"/>
              </w:rPr>
            </w:pPr>
            <w:r>
              <w:rPr>
                <w:kern w:val="0"/>
                <w:sz w:val="21"/>
                <w:szCs w:val="21"/>
                <w:highlight w:val="black"/>
              </w:rPr>
              <w:t>652.5</w:t>
            </w:r>
          </w:p>
        </w:tc>
        <w:tc>
          <w:tcPr>
            <w:tcW w:w="676" w:type="pct"/>
            <w:tcBorders>
              <w:tl2br w:val="nil"/>
              <w:tr2bl w:val="nil"/>
            </w:tcBorders>
            <w:vAlign w:val="center"/>
          </w:tcPr>
          <w:p w14:paraId="588DC482">
            <w:pPr>
              <w:snapToGrid w:val="0"/>
              <w:spacing w:line="240" w:lineRule="atLeast"/>
              <w:ind w:firstLine="0" w:firstLineChars="0"/>
              <w:jc w:val="center"/>
              <w:rPr>
                <w:sz w:val="21"/>
                <w:szCs w:val="21"/>
                <w:highlight w:val="black"/>
              </w:rPr>
            </w:pPr>
            <w:r>
              <w:rPr>
                <w:sz w:val="21"/>
                <w:szCs w:val="21"/>
                <w:highlight w:val="black"/>
              </w:rPr>
              <w:t>0.6525</w:t>
            </w:r>
          </w:p>
        </w:tc>
        <w:tc>
          <w:tcPr>
            <w:tcW w:w="495" w:type="pct"/>
            <w:tcBorders>
              <w:tl2br w:val="nil"/>
              <w:tr2bl w:val="nil"/>
            </w:tcBorders>
            <w:vAlign w:val="center"/>
          </w:tcPr>
          <w:p w14:paraId="51B88AF0">
            <w:pPr>
              <w:snapToGrid w:val="0"/>
              <w:spacing w:line="240" w:lineRule="atLeast"/>
              <w:ind w:firstLine="0" w:firstLineChars="0"/>
              <w:jc w:val="center"/>
              <w:rPr>
                <w:sz w:val="21"/>
                <w:szCs w:val="21"/>
                <w:highlight w:val="black"/>
              </w:rPr>
            </w:pPr>
            <w:r>
              <w:rPr>
                <w:sz w:val="21"/>
                <w:szCs w:val="21"/>
                <w:highlight w:val="black"/>
              </w:rPr>
              <w:t>3.72</w:t>
            </w:r>
          </w:p>
        </w:tc>
        <w:tc>
          <w:tcPr>
            <w:tcW w:w="869" w:type="pct"/>
            <w:tcBorders>
              <w:tl2br w:val="nil"/>
              <w:tr2bl w:val="nil"/>
            </w:tcBorders>
            <w:vAlign w:val="center"/>
          </w:tcPr>
          <w:p w14:paraId="2FB6FF9E">
            <w:pPr>
              <w:snapToGrid w:val="0"/>
              <w:spacing w:line="240" w:lineRule="atLeast"/>
              <w:ind w:firstLine="0" w:firstLineChars="0"/>
              <w:jc w:val="center"/>
              <w:rPr>
                <w:sz w:val="21"/>
                <w:szCs w:val="21"/>
                <w:highlight w:val="black"/>
              </w:rPr>
            </w:pPr>
            <w:r>
              <w:rPr>
                <w:sz w:val="21"/>
                <w:szCs w:val="21"/>
                <w:highlight w:val="black"/>
              </w:rPr>
              <w:t>好</w:t>
            </w:r>
          </w:p>
        </w:tc>
      </w:tr>
      <w:tr w14:paraId="6F2B2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8" w:type="pct"/>
            <w:tcBorders>
              <w:tl2br w:val="nil"/>
              <w:tr2bl w:val="nil"/>
            </w:tcBorders>
            <w:vAlign w:val="center"/>
          </w:tcPr>
          <w:p w14:paraId="31540601">
            <w:pPr>
              <w:snapToGrid w:val="0"/>
              <w:spacing w:line="240" w:lineRule="atLeast"/>
              <w:ind w:firstLine="0" w:firstLineChars="0"/>
              <w:jc w:val="center"/>
              <w:rPr>
                <w:sz w:val="21"/>
                <w:szCs w:val="21"/>
                <w:highlight w:val="black"/>
              </w:rPr>
            </w:pPr>
            <w:r>
              <w:rPr>
                <w:kern w:val="0"/>
                <w:sz w:val="21"/>
                <w:szCs w:val="21"/>
                <w:highlight w:val="black"/>
              </w:rPr>
              <w:t>磁铁石英岩</w:t>
            </w:r>
          </w:p>
        </w:tc>
        <w:tc>
          <w:tcPr>
            <w:tcW w:w="481" w:type="pct"/>
            <w:tcBorders>
              <w:tl2br w:val="nil"/>
              <w:tr2bl w:val="nil"/>
            </w:tcBorders>
            <w:vAlign w:val="center"/>
          </w:tcPr>
          <w:p w14:paraId="7F7714CC">
            <w:pPr>
              <w:snapToGrid w:val="0"/>
              <w:spacing w:line="240" w:lineRule="atLeast"/>
              <w:ind w:firstLine="0" w:firstLineChars="0"/>
              <w:jc w:val="center"/>
              <w:rPr>
                <w:kern w:val="0"/>
                <w:sz w:val="21"/>
                <w:szCs w:val="21"/>
                <w:highlight w:val="black"/>
              </w:rPr>
            </w:pPr>
            <w:r>
              <w:rPr>
                <w:kern w:val="0"/>
                <w:sz w:val="21"/>
                <w:szCs w:val="21"/>
                <w:highlight w:val="black"/>
              </w:rPr>
              <w:t>0.95</w:t>
            </w:r>
          </w:p>
        </w:tc>
        <w:tc>
          <w:tcPr>
            <w:tcW w:w="524" w:type="pct"/>
            <w:tcBorders>
              <w:tl2br w:val="nil"/>
              <w:tr2bl w:val="nil"/>
            </w:tcBorders>
            <w:vAlign w:val="center"/>
          </w:tcPr>
          <w:p w14:paraId="1665DE68">
            <w:pPr>
              <w:snapToGrid w:val="0"/>
              <w:spacing w:line="240" w:lineRule="atLeast"/>
              <w:ind w:firstLine="0" w:firstLineChars="0"/>
              <w:jc w:val="center"/>
              <w:rPr>
                <w:sz w:val="21"/>
                <w:szCs w:val="21"/>
                <w:highlight w:val="black"/>
              </w:rPr>
            </w:pPr>
            <w:r>
              <w:rPr>
                <w:sz w:val="21"/>
                <w:szCs w:val="21"/>
                <w:highlight w:val="black"/>
              </w:rPr>
              <w:t>0.60</w:t>
            </w:r>
          </w:p>
        </w:tc>
        <w:tc>
          <w:tcPr>
            <w:tcW w:w="567" w:type="pct"/>
            <w:tcBorders>
              <w:tl2br w:val="nil"/>
              <w:tr2bl w:val="nil"/>
            </w:tcBorders>
            <w:vAlign w:val="center"/>
          </w:tcPr>
          <w:p w14:paraId="5D11FED7">
            <w:pPr>
              <w:snapToGrid w:val="0"/>
              <w:spacing w:line="240" w:lineRule="atLeast"/>
              <w:ind w:firstLine="0" w:firstLineChars="0"/>
              <w:jc w:val="center"/>
              <w:rPr>
                <w:kern w:val="0"/>
                <w:sz w:val="21"/>
                <w:szCs w:val="21"/>
                <w:highlight w:val="black"/>
              </w:rPr>
            </w:pPr>
            <w:r>
              <w:rPr>
                <w:kern w:val="0"/>
                <w:sz w:val="21"/>
                <w:szCs w:val="21"/>
                <w:highlight w:val="black"/>
              </w:rPr>
              <w:t>573.7</w:t>
            </w:r>
          </w:p>
        </w:tc>
        <w:tc>
          <w:tcPr>
            <w:tcW w:w="676" w:type="pct"/>
            <w:tcBorders>
              <w:tl2br w:val="nil"/>
              <w:tr2bl w:val="nil"/>
            </w:tcBorders>
            <w:vAlign w:val="center"/>
          </w:tcPr>
          <w:p w14:paraId="166A6DC0">
            <w:pPr>
              <w:snapToGrid w:val="0"/>
              <w:spacing w:line="240" w:lineRule="atLeast"/>
              <w:ind w:firstLine="0" w:firstLineChars="0"/>
              <w:jc w:val="center"/>
              <w:rPr>
                <w:sz w:val="21"/>
                <w:szCs w:val="21"/>
                <w:highlight w:val="black"/>
              </w:rPr>
            </w:pPr>
            <w:r>
              <w:rPr>
                <w:sz w:val="21"/>
                <w:szCs w:val="21"/>
                <w:highlight w:val="black"/>
              </w:rPr>
              <w:t>0.5737</w:t>
            </w:r>
          </w:p>
        </w:tc>
        <w:tc>
          <w:tcPr>
            <w:tcW w:w="495" w:type="pct"/>
            <w:tcBorders>
              <w:tl2br w:val="nil"/>
              <w:tr2bl w:val="nil"/>
            </w:tcBorders>
            <w:vAlign w:val="center"/>
          </w:tcPr>
          <w:p w14:paraId="0C012AF5">
            <w:pPr>
              <w:snapToGrid w:val="0"/>
              <w:spacing w:line="240" w:lineRule="atLeast"/>
              <w:ind w:firstLine="0" w:firstLineChars="0"/>
              <w:jc w:val="center"/>
              <w:rPr>
                <w:sz w:val="21"/>
                <w:szCs w:val="21"/>
                <w:highlight w:val="black"/>
              </w:rPr>
            </w:pPr>
            <w:r>
              <w:rPr>
                <w:sz w:val="21"/>
                <w:szCs w:val="21"/>
                <w:highlight w:val="black"/>
              </w:rPr>
              <w:t>3.27</w:t>
            </w:r>
          </w:p>
        </w:tc>
        <w:tc>
          <w:tcPr>
            <w:tcW w:w="869" w:type="pct"/>
            <w:tcBorders>
              <w:tl2br w:val="nil"/>
              <w:tr2bl w:val="nil"/>
            </w:tcBorders>
            <w:vAlign w:val="center"/>
          </w:tcPr>
          <w:p w14:paraId="23D9A211">
            <w:pPr>
              <w:snapToGrid w:val="0"/>
              <w:spacing w:line="240" w:lineRule="atLeast"/>
              <w:ind w:firstLine="0" w:firstLineChars="0"/>
              <w:jc w:val="center"/>
              <w:rPr>
                <w:sz w:val="21"/>
                <w:szCs w:val="21"/>
                <w:highlight w:val="black"/>
              </w:rPr>
            </w:pPr>
            <w:r>
              <w:rPr>
                <w:sz w:val="21"/>
                <w:szCs w:val="21"/>
                <w:highlight w:val="black"/>
              </w:rPr>
              <w:t>好</w:t>
            </w:r>
          </w:p>
        </w:tc>
      </w:tr>
    </w:tbl>
    <w:p w14:paraId="669D49A5">
      <w:pPr>
        <w:ind w:firstLine="583"/>
        <w:rPr>
          <w:highlight w:val="black"/>
        </w:rPr>
      </w:pPr>
      <w:r>
        <w:rPr>
          <w:highlight w:val="black"/>
        </w:rPr>
        <w:t>b、依据相关规范，采用岩体质量指标</w:t>
      </w:r>
      <w:r>
        <w:rPr>
          <w:rFonts w:hint="eastAsia"/>
          <w:highlight w:val="black"/>
        </w:rPr>
        <w:t>（</w:t>
      </w:r>
      <w:r>
        <w:rPr>
          <w:highlight w:val="black"/>
        </w:rPr>
        <w:t>M</w:t>
      </w:r>
      <w:r>
        <w:rPr>
          <w:rFonts w:hint="eastAsia"/>
          <w:highlight w:val="black"/>
        </w:rPr>
        <w:t>）</w:t>
      </w:r>
      <w:r>
        <w:rPr>
          <w:highlight w:val="black"/>
        </w:rPr>
        <w:t>进行岩体质量分级评价。公式如下：</w:t>
      </w:r>
    </w:p>
    <w:p w14:paraId="3B1F25F8">
      <w:pPr>
        <w:ind w:firstLine="583"/>
        <w:rPr>
          <w:highlight w:val="black"/>
        </w:rPr>
      </w:pPr>
      <w:r>
        <w:rPr>
          <w:highlight w:val="black"/>
        </w:rPr>
        <w:t>M=fr/30×RQD</w:t>
      </w:r>
    </w:p>
    <w:p w14:paraId="35006B91">
      <w:pPr>
        <w:ind w:firstLine="583"/>
        <w:rPr>
          <w:highlight w:val="black"/>
        </w:rPr>
      </w:pPr>
      <w:r>
        <w:rPr>
          <w:highlight w:val="black"/>
        </w:rPr>
        <w:t>式中：fr为岩石平均单轴抗压强度</w:t>
      </w:r>
      <w:r>
        <w:rPr>
          <w:rFonts w:hint="eastAsia"/>
          <w:highlight w:val="black"/>
        </w:rPr>
        <w:t>（</w:t>
      </w:r>
      <w:r>
        <w:rPr>
          <w:highlight w:val="black"/>
        </w:rPr>
        <w:t>Mpa</w:t>
      </w:r>
      <w:r>
        <w:rPr>
          <w:rFonts w:hint="eastAsia"/>
          <w:highlight w:val="black"/>
        </w:rPr>
        <w:t>）</w:t>
      </w:r>
      <w:r>
        <w:rPr>
          <w:highlight w:val="black"/>
        </w:rPr>
        <w:t>，各类岩性取平均值。</w:t>
      </w:r>
    </w:p>
    <w:p w14:paraId="6C2B76A9">
      <w:pPr>
        <w:ind w:firstLine="583"/>
        <w:rPr>
          <w:highlight w:val="black"/>
        </w:rPr>
      </w:pPr>
      <w:r>
        <w:rPr>
          <w:highlight w:val="black"/>
        </w:rPr>
        <w:t>RQD值利用本次及以往所编录钻孔统计不同岩组的平均RQD值进行计算所得。</w:t>
      </w:r>
    </w:p>
    <w:p w14:paraId="5A741B31">
      <w:pPr>
        <w:ind w:firstLine="583"/>
        <w:rPr>
          <w:highlight w:val="black"/>
        </w:rPr>
      </w:pPr>
      <w:r>
        <w:rPr>
          <w:highlight w:val="black"/>
        </w:rPr>
        <w:t>依据对矿区钻孔的工程地质编录，现分述如下：</w:t>
      </w:r>
    </w:p>
    <w:p w14:paraId="334412EC">
      <w:pPr>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2</w:t>
      </w:r>
      <w:r>
        <w:rPr>
          <w:b/>
          <w:sz w:val="21"/>
          <w:szCs w:val="21"/>
          <w:highlight w:val="black"/>
        </w:rPr>
        <w:t>-</w:t>
      </w:r>
      <w:r>
        <w:rPr>
          <w:rFonts w:hint="eastAsia"/>
          <w:b/>
          <w:sz w:val="21"/>
          <w:szCs w:val="21"/>
          <w:highlight w:val="black"/>
        </w:rPr>
        <w:t>8</w:t>
      </w:r>
      <w:r>
        <w:rPr>
          <w:b/>
          <w:sz w:val="21"/>
          <w:szCs w:val="21"/>
          <w:highlight w:val="black"/>
        </w:rPr>
        <w:t xml:space="preserve"> 岩体质量指标M统计表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947"/>
        <w:gridCol w:w="1299"/>
        <w:gridCol w:w="1085"/>
        <w:gridCol w:w="1085"/>
        <w:gridCol w:w="1516"/>
      </w:tblGrid>
      <w:tr w14:paraId="77B5B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5596C5B2">
            <w:pPr>
              <w:spacing w:line="240" w:lineRule="auto"/>
              <w:ind w:firstLine="0" w:firstLineChars="0"/>
              <w:jc w:val="center"/>
              <w:rPr>
                <w:sz w:val="21"/>
                <w:szCs w:val="21"/>
                <w:highlight w:val="black"/>
              </w:rPr>
            </w:pPr>
            <w:r>
              <w:rPr>
                <w:sz w:val="21"/>
                <w:szCs w:val="21"/>
                <w:highlight w:val="black"/>
              </w:rPr>
              <w:t>地层岩性</w:t>
            </w:r>
          </w:p>
        </w:tc>
        <w:tc>
          <w:tcPr>
            <w:tcW w:w="1124" w:type="pct"/>
            <w:tcBorders>
              <w:tl2br w:val="nil"/>
              <w:tr2bl w:val="nil"/>
            </w:tcBorders>
            <w:vAlign w:val="center"/>
          </w:tcPr>
          <w:p w14:paraId="142B0EF7">
            <w:pPr>
              <w:spacing w:line="240" w:lineRule="auto"/>
              <w:ind w:firstLine="0" w:firstLineChars="0"/>
              <w:jc w:val="center"/>
              <w:rPr>
                <w:sz w:val="21"/>
                <w:szCs w:val="21"/>
                <w:highlight w:val="black"/>
              </w:rPr>
            </w:pPr>
            <w:r>
              <w:rPr>
                <w:sz w:val="21"/>
                <w:szCs w:val="21"/>
                <w:highlight w:val="black"/>
              </w:rPr>
              <w:t>平均单轴抗压强度</w:t>
            </w:r>
          </w:p>
          <w:p w14:paraId="52E9D047">
            <w:pPr>
              <w:spacing w:line="240" w:lineRule="auto"/>
              <w:ind w:firstLine="0" w:firstLineChars="0"/>
              <w:jc w:val="center"/>
              <w:rPr>
                <w:sz w:val="21"/>
                <w:szCs w:val="21"/>
                <w:highlight w:val="black"/>
              </w:rPr>
            </w:pPr>
            <w:r>
              <w:rPr>
                <w:sz w:val="21"/>
                <w:szCs w:val="21"/>
                <w:highlight w:val="black"/>
              </w:rPr>
              <w:t>(Mpa)</w:t>
            </w:r>
          </w:p>
        </w:tc>
        <w:tc>
          <w:tcPr>
            <w:tcW w:w="750" w:type="pct"/>
            <w:tcBorders>
              <w:tl2br w:val="nil"/>
              <w:tr2bl w:val="nil"/>
            </w:tcBorders>
            <w:vAlign w:val="center"/>
          </w:tcPr>
          <w:p w14:paraId="6EE8169F">
            <w:pPr>
              <w:spacing w:line="240" w:lineRule="auto"/>
              <w:ind w:firstLine="0" w:firstLineChars="0"/>
              <w:jc w:val="center"/>
              <w:rPr>
                <w:sz w:val="21"/>
                <w:szCs w:val="21"/>
                <w:highlight w:val="black"/>
              </w:rPr>
            </w:pPr>
            <w:r>
              <w:rPr>
                <w:sz w:val="21"/>
                <w:szCs w:val="21"/>
                <w:highlight w:val="black"/>
              </w:rPr>
              <w:t>岩组的平均</w:t>
            </w:r>
          </w:p>
          <w:p w14:paraId="58B8C201">
            <w:pPr>
              <w:spacing w:line="240" w:lineRule="auto"/>
              <w:ind w:firstLine="0" w:firstLineChars="0"/>
              <w:jc w:val="center"/>
              <w:rPr>
                <w:sz w:val="21"/>
                <w:szCs w:val="21"/>
                <w:highlight w:val="black"/>
              </w:rPr>
            </w:pPr>
            <w:r>
              <w:rPr>
                <w:sz w:val="21"/>
                <w:szCs w:val="21"/>
                <w:highlight w:val="black"/>
              </w:rPr>
              <w:t>RQD值</w:t>
            </w:r>
          </w:p>
        </w:tc>
        <w:tc>
          <w:tcPr>
            <w:tcW w:w="626" w:type="pct"/>
            <w:tcBorders>
              <w:tl2br w:val="nil"/>
              <w:tr2bl w:val="nil"/>
            </w:tcBorders>
            <w:vAlign w:val="center"/>
          </w:tcPr>
          <w:p w14:paraId="42F77E19">
            <w:pPr>
              <w:spacing w:line="240" w:lineRule="auto"/>
              <w:ind w:firstLine="0" w:firstLineChars="0"/>
              <w:jc w:val="center"/>
              <w:rPr>
                <w:sz w:val="21"/>
                <w:szCs w:val="21"/>
                <w:highlight w:val="black"/>
              </w:rPr>
            </w:pPr>
            <w:r>
              <w:rPr>
                <w:sz w:val="21"/>
                <w:szCs w:val="21"/>
                <w:highlight w:val="black"/>
              </w:rPr>
              <w:t>岩体质量</w:t>
            </w:r>
          </w:p>
          <w:p w14:paraId="2BAD67D7">
            <w:pPr>
              <w:spacing w:line="240" w:lineRule="auto"/>
              <w:ind w:firstLine="0" w:firstLineChars="0"/>
              <w:jc w:val="center"/>
              <w:rPr>
                <w:sz w:val="21"/>
                <w:szCs w:val="21"/>
                <w:highlight w:val="black"/>
              </w:rPr>
            </w:pPr>
            <w:r>
              <w:rPr>
                <w:sz w:val="21"/>
                <w:szCs w:val="21"/>
                <w:highlight w:val="black"/>
              </w:rPr>
              <w:t>指标M</w:t>
            </w:r>
          </w:p>
        </w:tc>
        <w:tc>
          <w:tcPr>
            <w:tcW w:w="626" w:type="pct"/>
            <w:tcBorders>
              <w:tl2br w:val="nil"/>
              <w:tr2bl w:val="nil"/>
            </w:tcBorders>
            <w:vAlign w:val="center"/>
          </w:tcPr>
          <w:p w14:paraId="36756604">
            <w:pPr>
              <w:spacing w:line="240" w:lineRule="auto"/>
              <w:ind w:firstLine="0" w:firstLineChars="0"/>
              <w:jc w:val="center"/>
              <w:rPr>
                <w:sz w:val="21"/>
                <w:szCs w:val="21"/>
                <w:highlight w:val="black"/>
              </w:rPr>
            </w:pPr>
            <w:r>
              <w:rPr>
                <w:sz w:val="21"/>
                <w:szCs w:val="21"/>
                <w:highlight w:val="black"/>
              </w:rPr>
              <w:t>岩体分类</w:t>
            </w:r>
          </w:p>
        </w:tc>
        <w:tc>
          <w:tcPr>
            <w:tcW w:w="875" w:type="pct"/>
            <w:tcBorders>
              <w:tl2br w:val="nil"/>
              <w:tr2bl w:val="nil"/>
            </w:tcBorders>
            <w:vAlign w:val="center"/>
          </w:tcPr>
          <w:p w14:paraId="50D78929">
            <w:pPr>
              <w:spacing w:line="240" w:lineRule="auto"/>
              <w:ind w:firstLine="0" w:firstLineChars="0"/>
              <w:jc w:val="center"/>
              <w:rPr>
                <w:sz w:val="21"/>
                <w:szCs w:val="21"/>
                <w:highlight w:val="black"/>
              </w:rPr>
            </w:pPr>
            <w:r>
              <w:rPr>
                <w:sz w:val="21"/>
                <w:szCs w:val="21"/>
                <w:highlight w:val="black"/>
              </w:rPr>
              <w:t>岩体质量分级</w:t>
            </w:r>
          </w:p>
        </w:tc>
      </w:tr>
      <w:tr w14:paraId="31A42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1253DE49">
            <w:pPr>
              <w:spacing w:line="240" w:lineRule="auto"/>
              <w:ind w:firstLine="0" w:firstLineChars="0"/>
              <w:jc w:val="center"/>
              <w:rPr>
                <w:kern w:val="0"/>
                <w:sz w:val="21"/>
                <w:szCs w:val="21"/>
                <w:highlight w:val="black"/>
              </w:rPr>
            </w:pPr>
            <w:r>
              <w:rPr>
                <w:kern w:val="0"/>
                <w:sz w:val="21"/>
                <w:szCs w:val="21"/>
                <w:highlight w:val="black"/>
              </w:rPr>
              <w:t>斜长角闪片麻岩</w:t>
            </w:r>
          </w:p>
        </w:tc>
        <w:tc>
          <w:tcPr>
            <w:tcW w:w="1124" w:type="pct"/>
            <w:tcBorders>
              <w:tl2br w:val="nil"/>
              <w:tr2bl w:val="nil"/>
            </w:tcBorders>
            <w:vAlign w:val="center"/>
          </w:tcPr>
          <w:p w14:paraId="36833F82">
            <w:pPr>
              <w:spacing w:line="240" w:lineRule="auto"/>
              <w:ind w:firstLine="0" w:firstLineChars="0"/>
              <w:jc w:val="center"/>
              <w:rPr>
                <w:kern w:val="0"/>
                <w:sz w:val="21"/>
                <w:szCs w:val="21"/>
                <w:highlight w:val="black"/>
              </w:rPr>
            </w:pPr>
            <w:r>
              <w:rPr>
                <w:kern w:val="0"/>
                <w:sz w:val="21"/>
                <w:szCs w:val="21"/>
                <w:highlight w:val="black"/>
              </w:rPr>
              <w:t>34.10</w:t>
            </w:r>
          </w:p>
        </w:tc>
        <w:tc>
          <w:tcPr>
            <w:tcW w:w="750" w:type="pct"/>
            <w:tcBorders>
              <w:tl2br w:val="nil"/>
              <w:tr2bl w:val="nil"/>
            </w:tcBorders>
            <w:vAlign w:val="center"/>
          </w:tcPr>
          <w:p w14:paraId="64281F6A">
            <w:pPr>
              <w:spacing w:line="240" w:lineRule="auto"/>
              <w:ind w:firstLine="0" w:firstLineChars="0"/>
              <w:jc w:val="center"/>
              <w:rPr>
                <w:kern w:val="0"/>
                <w:sz w:val="21"/>
                <w:szCs w:val="21"/>
                <w:highlight w:val="black"/>
              </w:rPr>
            </w:pPr>
            <w:r>
              <w:rPr>
                <w:kern w:val="0"/>
                <w:sz w:val="21"/>
                <w:szCs w:val="21"/>
                <w:highlight w:val="black"/>
              </w:rPr>
              <w:t>0.91</w:t>
            </w:r>
          </w:p>
        </w:tc>
        <w:tc>
          <w:tcPr>
            <w:tcW w:w="626" w:type="pct"/>
            <w:tcBorders>
              <w:tl2br w:val="nil"/>
              <w:tr2bl w:val="nil"/>
            </w:tcBorders>
            <w:vAlign w:val="center"/>
          </w:tcPr>
          <w:p w14:paraId="724A0065">
            <w:pPr>
              <w:spacing w:line="240" w:lineRule="auto"/>
              <w:ind w:firstLine="0" w:firstLineChars="0"/>
              <w:jc w:val="center"/>
              <w:rPr>
                <w:kern w:val="0"/>
                <w:sz w:val="21"/>
                <w:szCs w:val="21"/>
                <w:highlight w:val="black"/>
              </w:rPr>
            </w:pPr>
            <w:r>
              <w:rPr>
                <w:kern w:val="0"/>
                <w:sz w:val="21"/>
                <w:szCs w:val="21"/>
                <w:highlight w:val="black"/>
              </w:rPr>
              <w:t>1.25</w:t>
            </w:r>
          </w:p>
        </w:tc>
        <w:tc>
          <w:tcPr>
            <w:tcW w:w="626" w:type="pct"/>
            <w:tcBorders>
              <w:tl2br w:val="nil"/>
              <w:tr2bl w:val="nil"/>
            </w:tcBorders>
            <w:vAlign w:val="center"/>
          </w:tcPr>
          <w:p w14:paraId="1BFE0932">
            <w:pPr>
              <w:spacing w:line="240" w:lineRule="auto"/>
              <w:ind w:firstLine="0" w:firstLineChars="0"/>
              <w:jc w:val="center"/>
              <w:rPr>
                <w:kern w:val="0"/>
                <w:sz w:val="21"/>
                <w:szCs w:val="21"/>
                <w:highlight w:val="black"/>
              </w:rPr>
            </w:pPr>
            <w:r>
              <w:rPr>
                <w:kern w:val="0"/>
                <w:sz w:val="21"/>
                <w:szCs w:val="21"/>
                <w:highlight w:val="black"/>
              </w:rPr>
              <w:t>Ⅱ</w:t>
            </w:r>
          </w:p>
        </w:tc>
        <w:tc>
          <w:tcPr>
            <w:tcW w:w="875" w:type="pct"/>
            <w:tcBorders>
              <w:tl2br w:val="nil"/>
              <w:tr2bl w:val="nil"/>
            </w:tcBorders>
            <w:vAlign w:val="center"/>
          </w:tcPr>
          <w:p w14:paraId="7BB38938">
            <w:pPr>
              <w:spacing w:line="240" w:lineRule="auto"/>
              <w:ind w:firstLine="0" w:firstLineChars="0"/>
              <w:jc w:val="center"/>
              <w:rPr>
                <w:kern w:val="0"/>
                <w:sz w:val="21"/>
                <w:szCs w:val="21"/>
                <w:highlight w:val="black"/>
              </w:rPr>
            </w:pPr>
            <w:r>
              <w:rPr>
                <w:kern w:val="0"/>
                <w:sz w:val="21"/>
                <w:szCs w:val="21"/>
                <w:highlight w:val="black"/>
              </w:rPr>
              <w:t>良</w:t>
            </w:r>
          </w:p>
        </w:tc>
      </w:tr>
      <w:tr w14:paraId="0B70F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00E65CAE">
            <w:pPr>
              <w:spacing w:line="240" w:lineRule="auto"/>
              <w:ind w:firstLine="0" w:firstLineChars="0"/>
              <w:jc w:val="center"/>
              <w:rPr>
                <w:kern w:val="0"/>
                <w:sz w:val="21"/>
                <w:szCs w:val="21"/>
                <w:highlight w:val="black"/>
              </w:rPr>
            </w:pPr>
            <w:r>
              <w:rPr>
                <w:kern w:val="0"/>
                <w:sz w:val="21"/>
                <w:szCs w:val="21"/>
                <w:highlight w:val="black"/>
              </w:rPr>
              <w:t>二长花岗片麻岩</w:t>
            </w:r>
          </w:p>
        </w:tc>
        <w:tc>
          <w:tcPr>
            <w:tcW w:w="1124" w:type="pct"/>
            <w:tcBorders>
              <w:tl2br w:val="nil"/>
              <w:tr2bl w:val="nil"/>
            </w:tcBorders>
            <w:vAlign w:val="center"/>
          </w:tcPr>
          <w:p w14:paraId="207E1ED5">
            <w:pPr>
              <w:spacing w:line="240" w:lineRule="auto"/>
              <w:ind w:firstLine="0" w:firstLineChars="0"/>
              <w:jc w:val="center"/>
              <w:rPr>
                <w:kern w:val="0"/>
                <w:sz w:val="21"/>
                <w:szCs w:val="21"/>
                <w:highlight w:val="black"/>
              </w:rPr>
            </w:pPr>
            <w:r>
              <w:rPr>
                <w:kern w:val="0"/>
                <w:sz w:val="21"/>
                <w:szCs w:val="21"/>
                <w:highlight w:val="black"/>
              </w:rPr>
              <w:t>65.25</w:t>
            </w:r>
          </w:p>
        </w:tc>
        <w:tc>
          <w:tcPr>
            <w:tcW w:w="750" w:type="pct"/>
            <w:tcBorders>
              <w:tl2br w:val="nil"/>
              <w:tr2bl w:val="nil"/>
            </w:tcBorders>
            <w:vAlign w:val="center"/>
          </w:tcPr>
          <w:p w14:paraId="21719DE2">
            <w:pPr>
              <w:spacing w:line="240" w:lineRule="auto"/>
              <w:ind w:firstLine="0" w:firstLineChars="0"/>
              <w:jc w:val="center"/>
              <w:rPr>
                <w:kern w:val="0"/>
                <w:sz w:val="21"/>
                <w:szCs w:val="21"/>
                <w:highlight w:val="black"/>
              </w:rPr>
            </w:pPr>
            <w:r>
              <w:rPr>
                <w:kern w:val="0"/>
                <w:sz w:val="21"/>
                <w:szCs w:val="21"/>
                <w:highlight w:val="black"/>
              </w:rPr>
              <w:t>0.95</w:t>
            </w:r>
          </w:p>
        </w:tc>
        <w:tc>
          <w:tcPr>
            <w:tcW w:w="626" w:type="pct"/>
            <w:tcBorders>
              <w:tl2br w:val="nil"/>
              <w:tr2bl w:val="nil"/>
            </w:tcBorders>
            <w:vAlign w:val="center"/>
          </w:tcPr>
          <w:p w14:paraId="1EC2B78A">
            <w:pPr>
              <w:spacing w:line="240" w:lineRule="auto"/>
              <w:ind w:firstLine="0" w:firstLineChars="0"/>
              <w:jc w:val="center"/>
              <w:rPr>
                <w:kern w:val="0"/>
                <w:sz w:val="21"/>
                <w:szCs w:val="21"/>
                <w:highlight w:val="black"/>
              </w:rPr>
            </w:pPr>
            <w:r>
              <w:rPr>
                <w:kern w:val="0"/>
                <w:sz w:val="21"/>
                <w:szCs w:val="21"/>
                <w:highlight w:val="black"/>
              </w:rPr>
              <w:t>2.29</w:t>
            </w:r>
          </w:p>
        </w:tc>
        <w:tc>
          <w:tcPr>
            <w:tcW w:w="626" w:type="pct"/>
            <w:tcBorders>
              <w:tl2br w:val="nil"/>
              <w:tr2bl w:val="nil"/>
            </w:tcBorders>
            <w:vAlign w:val="center"/>
          </w:tcPr>
          <w:p w14:paraId="2F07EF74">
            <w:pPr>
              <w:spacing w:line="240" w:lineRule="auto"/>
              <w:ind w:firstLine="0" w:firstLineChars="0"/>
              <w:jc w:val="center"/>
              <w:rPr>
                <w:kern w:val="0"/>
                <w:sz w:val="21"/>
                <w:szCs w:val="21"/>
                <w:highlight w:val="black"/>
              </w:rPr>
            </w:pPr>
            <w:r>
              <w:rPr>
                <w:kern w:val="0"/>
                <w:sz w:val="21"/>
                <w:szCs w:val="21"/>
                <w:highlight w:val="black"/>
              </w:rPr>
              <w:t>Ⅱ</w:t>
            </w:r>
          </w:p>
        </w:tc>
        <w:tc>
          <w:tcPr>
            <w:tcW w:w="875" w:type="pct"/>
            <w:tcBorders>
              <w:tl2br w:val="nil"/>
              <w:tr2bl w:val="nil"/>
            </w:tcBorders>
            <w:vAlign w:val="center"/>
          </w:tcPr>
          <w:p w14:paraId="5E7A0DD1">
            <w:pPr>
              <w:spacing w:line="240" w:lineRule="auto"/>
              <w:ind w:firstLine="0" w:firstLineChars="0"/>
              <w:jc w:val="center"/>
              <w:rPr>
                <w:kern w:val="0"/>
                <w:sz w:val="21"/>
                <w:szCs w:val="21"/>
                <w:highlight w:val="black"/>
              </w:rPr>
            </w:pPr>
            <w:r>
              <w:rPr>
                <w:kern w:val="0"/>
                <w:sz w:val="21"/>
                <w:szCs w:val="21"/>
                <w:highlight w:val="black"/>
              </w:rPr>
              <w:t>良</w:t>
            </w:r>
          </w:p>
        </w:tc>
      </w:tr>
      <w:tr w14:paraId="339F6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07BB35AF">
            <w:pPr>
              <w:spacing w:line="240" w:lineRule="auto"/>
              <w:ind w:firstLine="0" w:firstLineChars="0"/>
              <w:jc w:val="center"/>
              <w:rPr>
                <w:sz w:val="21"/>
                <w:szCs w:val="21"/>
                <w:highlight w:val="black"/>
              </w:rPr>
            </w:pPr>
            <w:r>
              <w:rPr>
                <w:kern w:val="0"/>
                <w:sz w:val="21"/>
                <w:szCs w:val="21"/>
                <w:highlight w:val="black"/>
              </w:rPr>
              <w:t>磁铁石英岩</w:t>
            </w:r>
          </w:p>
        </w:tc>
        <w:tc>
          <w:tcPr>
            <w:tcW w:w="1124" w:type="pct"/>
            <w:tcBorders>
              <w:tl2br w:val="nil"/>
              <w:tr2bl w:val="nil"/>
            </w:tcBorders>
            <w:vAlign w:val="center"/>
          </w:tcPr>
          <w:p w14:paraId="3407334C">
            <w:pPr>
              <w:spacing w:line="240" w:lineRule="auto"/>
              <w:ind w:firstLine="0" w:firstLineChars="0"/>
              <w:jc w:val="center"/>
              <w:rPr>
                <w:kern w:val="0"/>
                <w:sz w:val="21"/>
                <w:szCs w:val="21"/>
                <w:highlight w:val="black"/>
              </w:rPr>
            </w:pPr>
            <w:r>
              <w:rPr>
                <w:kern w:val="0"/>
                <w:sz w:val="21"/>
                <w:szCs w:val="21"/>
                <w:highlight w:val="black"/>
              </w:rPr>
              <w:t>57.37</w:t>
            </w:r>
          </w:p>
        </w:tc>
        <w:tc>
          <w:tcPr>
            <w:tcW w:w="750" w:type="pct"/>
            <w:tcBorders>
              <w:tl2br w:val="nil"/>
              <w:tr2bl w:val="nil"/>
            </w:tcBorders>
            <w:vAlign w:val="center"/>
          </w:tcPr>
          <w:p w14:paraId="1347B158">
            <w:pPr>
              <w:spacing w:line="240" w:lineRule="auto"/>
              <w:ind w:firstLine="0" w:firstLineChars="0"/>
              <w:jc w:val="center"/>
              <w:rPr>
                <w:kern w:val="0"/>
                <w:sz w:val="21"/>
                <w:szCs w:val="21"/>
                <w:highlight w:val="black"/>
              </w:rPr>
            </w:pPr>
            <w:r>
              <w:rPr>
                <w:kern w:val="0"/>
                <w:sz w:val="21"/>
                <w:szCs w:val="21"/>
                <w:highlight w:val="black"/>
              </w:rPr>
              <w:t>0.95</w:t>
            </w:r>
          </w:p>
        </w:tc>
        <w:tc>
          <w:tcPr>
            <w:tcW w:w="626" w:type="pct"/>
            <w:tcBorders>
              <w:tl2br w:val="nil"/>
              <w:tr2bl w:val="nil"/>
            </w:tcBorders>
            <w:vAlign w:val="center"/>
          </w:tcPr>
          <w:p w14:paraId="406B426D">
            <w:pPr>
              <w:spacing w:line="240" w:lineRule="auto"/>
              <w:ind w:firstLine="0" w:firstLineChars="0"/>
              <w:jc w:val="center"/>
              <w:rPr>
                <w:kern w:val="0"/>
                <w:sz w:val="21"/>
                <w:szCs w:val="21"/>
                <w:highlight w:val="black"/>
              </w:rPr>
            </w:pPr>
            <w:r>
              <w:rPr>
                <w:kern w:val="0"/>
                <w:sz w:val="21"/>
                <w:szCs w:val="21"/>
                <w:highlight w:val="black"/>
              </w:rPr>
              <w:t>2.01</w:t>
            </w:r>
          </w:p>
        </w:tc>
        <w:tc>
          <w:tcPr>
            <w:tcW w:w="626" w:type="pct"/>
            <w:tcBorders>
              <w:tl2br w:val="nil"/>
              <w:tr2bl w:val="nil"/>
            </w:tcBorders>
            <w:vAlign w:val="center"/>
          </w:tcPr>
          <w:p w14:paraId="6DE0380C">
            <w:pPr>
              <w:spacing w:line="240" w:lineRule="auto"/>
              <w:ind w:firstLine="0" w:firstLineChars="0"/>
              <w:jc w:val="center"/>
              <w:rPr>
                <w:sz w:val="21"/>
                <w:szCs w:val="21"/>
                <w:highlight w:val="black"/>
              </w:rPr>
            </w:pPr>
            <w:r>
              <w:rPr>
                <w:kern w:val="0"/>
                <w:sz w:val="21"/>
                <w:szCs w:val="21"/>
                <w:highlight w:val="black"/>
              </w:rPr>
              <w:t>Ⅱ</w:t>
            </w:r>
          </w:p>
        </w:tc>
        <w:tc>
          <w:tcPr>
            <w:tcW w:w="875" w:type="pct"/>
            <w:tcBorders>
              <w:tl2br w:val="nil"/>
              <w:tr2bl w:val="nil"/>
            </w:tcBorders>
            <w:vAlign w:val="center"/>
          </w:tcPr>
          <w:p w14:paraId="4DD30624">
            <w:pPr>
              <w:spacing w:line="240" w:lineRule="auto"/>
              <w:ind w:firstLine="0" w:firstLineChars="0"/>
              <w:jc w:val="center"/>
              <w:rPr>
                <w:sz w:val="21"/>
                <w:szCs w:val="21"/>
                <w:highlight w:val="black"/>
              </w:rPr>
            </w:pPr>
            <w:r>
              <w:rPr>
                <w:kern w:val="0"/>
                <w:sz w:val="21"/>
                <w:szCs w:val="21"/>
                <w:highlight w:val="black"/>
              </w:rPr>
              <w:t>良</w:t>
            </w:r>
          </w:p>
        </w:tc>
      </w:tr>
    </w:tbl>
    <w:p w14:paraId="06618234">
      <w:pPr>
        <w:ind w:firstLine="583"/>
        <w:rPr>
          <w:highlight w:val="black"/>
        </w:rPr>
      </w:pPr>
      <w:bookmarkStart w:id="142" w:name="_Toc122695521"/>
      <w:bookmarkStart w:id="143" w:name="_Toc142639491"/>
      <w:bookmarkStart w:id="144" w:name="_Toc122354037"/>
      <w:bookmarkStart w:id="145" w:name="_Toc122276001"/>
      <w:bookmarkStart w:id="146" w:name="_Toc136868956"/>
      <w:bookmarkStart w:id="147" w:name="_Toc144365387"/>
      <w:r>
        <w:rPr>
          <w:rFonts w:hint="eastAsia"/>
          <w:highlight w:val="black"/>
        </w:rPr>
        <w:t>4、</w:t>
      </w:r>
      <w:r>
        <w:rPr>
          <w:highlight w:val="black"/>
        </w:rPr>
        <w:t>主要工程地质问题</w:t>
      </w:r>
      <w:bookmarkEnd w:id="142"/>
      <w:bookmarkEnd w:id="143"/>
      <w:bookmarkEnd w:id="144"/>
      <w:bookmarkEnd w:id="145"/>
      <w:bookmarkEnd w:id="146"/>
      <w:bookmarkEnd w:id="147"/>
    </w:p>
    <w:p w14:paraId="65CCA9FA">
      <w:pPr>
        <w:ind w:firstLine="583"/>
        <w:rPr>
          <w:highlight w:val="black"/>
        </w:rPr>
      </w:pPr>
      <w:r>
        <w:rPr>
          <w:highlight w:val="black"/>
        </w:rPr>
        <w:t>对于未来井巷开采而言，可能存在冒顶、崩塌等工程地质问题。另外，随着井下开采不断形成采空区，同时不断疏干深部地下水，改变了地层原有应力，其岩石的稳定性也受到一定的影响。故斜坡道建设及井巷开拓中应加以注意，避免发生冒顶、崩塌、岩石掉块及程度不同的突水等工程地质问题，建议未来井下开采过程中在接近破碎带之前要超前探水，同时做好井巷支护，避免发生片帮、冒顶及坑道突水等工程地质问题而造成不必要的人员财产损失。</w:t>
      </w:r>
    </w:p>
    <w:p w14:paraId="77A1D8A6">
      <w:pPr>
        <w:ind w:firstLine="583"/>
        <w:rPr>
          <w:highlight w:val="black"/>
        </w:rPr>
      </w:pPr>
      <w:r>
        <w:rPr>
          <w:rFonts w:hint="eastAsia"/>
          <w:highlight w:val="black"/>
        </w:rPr>
        <w:t>5、</w:t>
      </w:r>
      <w:r>
        <w:rPr>
          <w:highlight w:val="black"/>
        </w:rPr>
        <w:t>工程地质勘查类型</w:t>
      </w:r>
    </w:p>
    <w:p w14:paraId="170149AD">
      <w:pPr>
        <w:ind w:firstLine="583"/>
        <w:rPr>
          <w:highlight w:val="black"/>
        </w:rPr>
      </w:pPr>
      <w:bookmarkStart w:id="148" w:name="_Hlk192878869"/>
      <w:r>
        <w:rPr>
          <w:rFonts w:hint="eastAsia"/>
          <w:highlight w:val="black"/>
        </w:rPr>
        <w:t>地表由第四系冲积、堆积的砂土、砾石、卵石等覆盖，地形起伏不大，基本无采矿工程，地貌简单。</w:t>
      </w:r>
      <w:r>
        <w:rPr>
          <w:highlight w:val="black"/>
        </w:rPr>
        <w:t>该矿床为沉积变质型的“鞍山式”铁矿，矿层主要为磁铁石英岩，夹层较少且厚度较大，分布连续，稳固较好。矿体围岩主要为斜长角闪片麻岩和二长花岗片麻岩，其稳固性弱于铁矿体。对于深部井巷开采，矿床内基岩多属于半坚硬-坚硬的厚层状工程地质岩组，岩体完整性为较完整。</w:t>
      </w:r>
      <w:r>
        <w:rPr>
          <w:rFonts w:hint="eastAsia"/>
          <w:highlight w:val="black"/>
        </w:rPr>
        <w:t>矿区范围内未见对矿体及围岩有破坏的断裂构造，</w:t>
      </w:r>
      <w:r>
        <w:rPr>
          <w:highlight w:val="black"/>
        </w:rPr>
        <w:t>深部相对完整的岩体中局部存在破碎，岩石质量劣的现象。总的来看除局部破碎发育地段外，矿床岩石质量较好，岩体完整，矿体及围岩稳定性较好。</w:t>
      </w:r>
    </w:p>
    <w:bookmarkEnd w:id="148"/>
    <w:p w14:paraId="27741E95">
      <w:pPr>
        <w:ind w:firstLine="583"/>
        <w:rPr>
          <w:highlight w:val="black"/>
        </w:rPr>
      </w:pPr>
      <w:r>
        <w:rPr>
          <w:highlight w:val="black"/>
        </w:rPr>
        <w:t>综合上述，矿区工程地质条件复杂程度为简单。</w:t>
      </w:r>
    </w:p>
    <w:p w14:paraId="2CC5FE77">
      <w:pPr>
        <w:pStyle w:val="4"/>
        <w:ind w:firstLine="0" w:firstLineChars="0"/>
      </w:pPr>
      <w:r>
        <w:t>2.3.4矿床地质概况</w:t>
      </w:r>
      <w:bookmarkEnd w:id="141"/>
    </w:p>
    <w:p w14:paraId="42BFE7E2">
      <w:pPr>
        <w:ind w:firstLine="583"/>
        <w:rPr>
          <w:highlight w:val="black"/>
        </w:rPr>
      </w:pPr>
      <w:r>
        <w:rPr>
          <w:highlight w:val="black"/>
        </w:rPr>
        <w:t>1、矿体特征</w:t>
      </w:r>
    </w:p>
    <w:p w14:paraId="572F9BF9">
      <w:pPr>
        <w:ind w:firstLine="583"/>
        <w:rPr>
          <w:highlight w:val="black"/>
        </w:rPr>
      </w:pPr>
      <w:r>
        <w:rPr>
          <w:rFonts w:hint="eastAsia"/>
          <w:highlight w:val="black"/>
        </w:rPr>
        <w:t>该矿权以大柳峪村为界，共划分2个采区，即北区和南区。本次设计仅针对北区进行，北区共圈定20条铁矿体，其中Fe4、Fe4-1、Fe4-2、Fe4-3、Fe4-4、Fe4-5、Fe4-6、Fe4-7、Fe4-8、Fe4-9、Fe4-10、Fe4-11、Fe4-12为隐伏矿体，Fe9、Fe10、Fe12、Fe13、Fe18、Fe21、Fe22为地表出露矿体。各铁矿体呈层状、似层状、透镜状赋存于鞍山岩群茨沟岩组地层中，矿体延长在32～720m，延深25～444m，厚度在1.36~34.90m，厚度在1.36～34.90m，产状268°∠7°，矿床TFe平均品位33.23%、mFe平均品位26.37%，赋存标高为283~-39m，埋深0~297m，矿床类型为沉积变质型铁矿床。勘探区内Fe4矿体规模最大，资源量占勘探区总量83.288%，其地质特征叙述如下：</w:t>
      </w:r>
    </w:p>
    <w:p w14:paraId="587F7540">
      <w:pPr>
        <w:ind w:firstLine="583"/>
        <w:rPr>
          <w:highlight w:val="black"/>
        </w:rPr>
      </w:pPr>
      <w:r>
        <w:rPr>
          <w:rFonts w:hint="eastAsia"/>
          <w:highlight w:val="black"/>
        </w:rPr>
        <w:t>Fe4矿体为隐伏矿体，分布在19线、17-1线、17线、18线、18-1线间。矿体由ZK1903、ZK1905、ZK1901、ZK1902、ZK1904、ZK17-4、ZK17-2、ZK17-1、ZK17-3、ZK1703、ZK1702、ZK1704、ZK1706、ZK1808、ZK1807、ZK1806、ZK1803、ZK1801、ZK1804、ZK1805、ZK1802、ZK18-2、ZK18-4、ZK18-1、ZK18-3控制。该矿体北部延长方向由19线进行外推，推至北部矿界处，南部由ZK2001钻孔B—B＇磁法剖面进行控制，矿体在B—B＇线（20勘探线）处，深部已无显磁异常。矿体延深方向，由北至南依次由19线ZK1903、17线ZK1703、18线ZK1808、18-14线ZK18-2及20线ZK2001钻孔控制，Fe4矿体在勘探区内，其延长及延深方向已完全控制。</w:t>
      </w:r>
    </w:p>
    <w:p w14:paraId="2CC1F144">
      <w:pPr>
        <w:ind w:firstLine="583"/>
      </w:pPr>
      <w:r>
        <w:rPr>
          <w:rFonts w:hint="eastAsia"/>
          <w:highlight w:val="black"/>
        </w:rPr>
        <w:t>矿体长720m，延深444m，赋存标高-19～52m，埋深为130～253m。顶板围岩为斜长角闪片麻岩、二长花岗片麻岩；夹岩为斜长角闪片麻岩，底板围岩为二长花岗片麻岩、斜长角闪片麻岩；矿体空间上呈层状、似层状产出，产状为268°∠7°，矿体厚度1.99～20.89m，矿体厚度在17线ZK1704最厚，厚度为20.89m，在17-1线ZK17-4矿体厚度最薄，厚度为1.99m，平均厚度10.69m，厚度变化系数34.20%；TFe品位27.47%～42.50%，TFe平均品位33.24%，TFe品位变化系数9.15%。mFe品位21.33%～34.6%，mFe平均品位26.38%，mFe品位变化系数9.36%。属于厚度变化稳定，矿石质量稳定的矿体。17线、19线各见有1条夹石，有分支复合现象，矿体形态和内部复杂程度为中等</w:t>
      </w:r>
      <w:r>
        <w:rPr>
          <w:highlight w:val="black"/>
        </w:rPr>
        <w:t>。</w:t>
      </w:r>
    </w:p>
    <w:p w14:paraId="27518F74">
      <w:pPr>
        <w:tabs>
          <w:tab w:val="left" w:pos="540"/>
          <w:tab w:val="left" w:pos="2520"/>
        </w:tabs>
        <w:spacing w:line="240" w:lineRule="auto"/>
        <w:ind w:firstLine="0" w:firstLineChars="0"/>
        <w:jc w:val="center"/>
        <w:rPr>
          <w:rFonts w:asciiTheme="majorEastAsia" w:hAnsiTheme="majorEastAsia" w:eastAsiaTheme="majorEastAsia" w:cstheme="majorEastAsia"/>
          <w:b/>
          <w:bCs/>
          <w:sz w:val="21"/>
          <w:szCs w:val="21"/>
        </w:rPr>
      </w:pPr>
    </w:p>
    <w:p w14:paraId="7EF90F22">
      <w:pPr>
        <w:tabs>
          <w:tab w:val="left" w:pos="540"/>
          <w:tab w:val="left" w:pos="2520"/>
        </w:tabs>
        <w:spacing w:line="240" w:lineRule="auto"/>
        <w:ind w:firstLine="0" w:firstLineChars="0"/>
        <w:jc w:val="center"/>
        <w:rPr>
          <w:rFonts w:asciiTheme="majorEastAsia" w:hAnsiTheme="majorEastAsia" w:eastAsiaTheme="majorEastAsia" w:cstheme="majorEastAsia"/>
          <w:b/>
          <w:bCs/>
          <w:sz w:val="21"/>
          <w:szCs w:val="21"/>
        </w:rPr>
      </w:pPr>
    </w:p>
    <w:p w14:paraId="33C67BD2">
      <w:pPr>
        <w:tabs>
          <w:tab w:val="left" w:pos="540"/>
          <w:tab w:val="left" w:pos="2520"/>
        </w:tabs>
        <w:spacing w:line="240" w:lineRule="auto"/>
        <w:ind w:firstLine="0" w:firstLineChars="0"/>
        <w:jc w:val="center"/>
        <w:rPr>
          <w:rFonts w:asciiTheme="majorEastAsia" w:hAnsiTheme="majorEastAsia" w:eastAsiaTheme="majorEastAsia" w:cstheme="majorEastAsia"/>
          <w:b/>
          <w:bCs/>
          <w:sz w:val="21"/>
          <w:szCs w:val="21"/>
        </w:rPr>
      </w:pPr>
    </w:p>
    <w:p w14:paraId="6088F37D">
      <w:pPr>
        <w:tabs>
          <w:tab w:val="left" w:pos="540"/>
          <w:tab w:val="left" w:pos="2520"/>
        </w:tabs>
        <w:spacing w:line="240" w:lineRule="auto"/>
        <w:ind w:firstLine="0" w:firstLineChars="0"/>
        <w:jc w:val="center"/>
        <w:rPr>
          <w:rFonts w:asciiTheme="majorEastAsia" w:hAnsiTheme="majorEastAsia" w:eastAsiaTheme="majorEastAsia" w:cstheme="majorEastAsia"/>
          <w:b/>
          <w:bCs/>
          <w:sz w:val="21"/>
          <w:szCs w:val="21"/>
        </w:rPr>
      </w:pPr>
    </w:p>
    <w:p w14:paraId="00F1F834">
      <w:pPr>
        <w:tabs>
          <w:tab w:val="left" w:pos="540"/>
          <w:tab w:val="left" w:pos="2520"/>
        </w:tabs>
        <w:spacing w:line="240" w:lineRule="auto"/>
        <w:ind w:firstLine="0" w:firstLineChars="0"/>
        <w:jc w:val="center"/>
        <w:rPr>
          <w:rFonts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 xml:space="preserve">表2-9 </w:t>
      </w:r>
      <w:r>
        <w:rPr>
          <w:rFonts w:hint="eastAsia" w:asciiTheme="majorEastAsia" w:hAnsiTheme="majorEastAsia" w:eastAsiaTheme="majorEastAsia" w:cstheme="majorEastAsia"/>
          <w:b/>
          <w:bCs/>
          <w:kern w:val="22"/>
          <w:sz w:val="21"/>
          <w:szCs w:val="21"/>
        </w:rPr>
        <w:t>矿体地质特征一览表</w:t>
      </w:r>
    </w:p>
    <w:tbl>
      <w:tblPr>
        <w:tblStyle w:val="25"/>
        <w:tblW w:w="10274" w:type="dxa"/>
        <w:tblInd w:w="-74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6"/>
        <w:gridCol w:w="605"/>
        <w:gridCol w:w="1017"/>
        <w:gridCol w:w="1096"/>
        <w:gridCol w:w="622"/>
        <w:gridCol w:w="559"/>
        <w:gridCol w:w="622"/>
        <w:gridCol w:w="613"/>
        <w:gridCol w:w="613"/>
        <w:gridCol w:w="847"/>
        <w:gridCol w:w="1234"/>
        <w:gridCol w:w="503"/>
        <w:gridCol w:w="560"/>
      </w:tblGrid>
      <w:tr w14:paraId="59C0C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97" w:type="dxa"/>
            <w:vMerge w:val="restart"/>
            <w:tcBorders>
              <w:tl2br w:val="nil"/>
              <w:tr2bl w:val="nil"/>
            </w:tcBorders>
            <w:shd w:val="clear" w:color="auto" w:fill="auto"/>
            <w:vAlign w:val="center"/>
          </w:tcPr>
          <w:p w14:paraId="5DCB84AF">
            <w:pPr>
              <w:widowControl/>
              <w:spacing w:line="240" w:lineRule="auto"/>
              <w:ind w:firstLine="0" w:firstLineChars="0"/>
              <w:jc w:val="center"/>
              <w:rPr>
                <w:kern w:val="0"/>
                <w:sz w:val="21"/>
                <w:szCs w:val="21"/>
                <w:highlight w:val="black"/>
              </w:rPr>
            </w:pPr>
            <w:r>
              <w:rPr>
                <w:kern w:val="0"/>
                <w:sz w:val="21"/>
                <w:szCs w:val="21"/>
                <w:highlight w:val="black"/>
              </w:rPr>
              <w:t>序号</w:t>
            </w:r>
          </w:p>
        </w:tc>
        <w:tc>
          <w:tcPr>
            <w:tcW w:w="686" w:type="dxa"/>
            <w:vMerge w:val="restart"/>
            <w:tcBorders>
              <w:tl2br w:val="nil"/>
              <w:tr2bl w:val="nil"/>
            </w:tcBorders>
            <w:shd w:val="clear" w:color="auto" w:fill="auto"/>
            <w:vAlign w:val="center"/>
          </w:tcPr>
          <w:p w14:paraId="63AE0457">
            <w:pPr>
              <w:widowControl/>
              <w:spacing w:line="240" w:lineRule="auto"/>
              <w:ind w:firstLine="0" w:firstLineChars="0"/>
              <w:jc w:val="center"/>
              <w:rPr>
                <w:kern w:val="0"/>
                <w:sz w:val="21"/>
                <w:szCs w:val="21"/>
                <w:highlight w:val="black"/>
              </w:rPr>
            </w:pPr>
            <w:r>
              <w:rPr>
                <w:kern w:val="0"/>
                <w:sz w:val="21"/>
                <w:szCs w:val="21"/>
                <w:highlight w:val="black"/>
              </w:rPr>
              <w:t>矿体编号</w:t>
            </w:r>
          </w:p>
        </w:tc>
        <w:tc>
          <w:tcPr>
            <w:tcW w:w="605" w:type="dxa"/>
            <w:vMerge w:val="restart"/>
            <w:tcBorders>
              <w:tl2br w:val="nil"/>
              <w:tr2bl w:val="nil"/>
            </w:tcBorders>
            <w:shd w:val="clear" w:color="auto" w:fill="auto"/>
            <w:vAlign w:val="center"/>
          </w:tcPr>
          <w:p w14:paraId="25E96FF3">
            <w:pPr>
              <w:widowControl/>
              <w:spacing w:line="240" w:lineRule="auto"/>
              <w:ind w:firstLine="0" w:firstLineChars="0"/>
              <w:jc w:val="center"/>
              <w:rPr>
                <w:kern w:val="0"/>
                <w:sz w:val="21"/>
                <w:szCs w:val="21"/>
                <w:highlight w:val="black"/>
              </w:rPr>
            </w:pPr>
            <w:r>
              <w:rPr>
                <w:kern w:val="0"/>
                <w:sz w:val="21"/>
                <w:szCs w:val="21"/>
                <w:highlight w:val="black"/>
              </w:rPr>
              <w:t>矿体</w:t>
            </w:r>
          </w:p>
          <w:p w14:paraId="077877CD">
            <w:pPr>
              <w:widowControl/>
              <w:spacing w:line="240" w:lineRule="auto"/>
              <w:ind w:firstLine="0" w:firstLineChars="0"/>
              <w:jc w:val="center"/>
              <w:rPr>
                <w:kern w:val="0"/>
                <w:sz w:val="21"/>
                <w:szCs w:val="21"/>
                <w:highlight w:val="black"/>
              </w:rPr>
            </w:pPr>
            <w:r>
              <w:rPr>
                <w:kern w:val="0"/>
                <w:sz w:val="21"/>
                <w:szCs w:val="21"/>
                <w:highlight w:val="black"/>
              </w:rPr>
              <w:t>形态</w:t>
            </w:r>
          </w:p>
        </w:tc>
        <w:tc>
          <w:tcPr>
            <w:tcW w:w="2113" w:type="dxa"/>
            <w:gridSpan w:val="2"/>
            <w:tcBorders>
              <w:tl2br w:val="nil"/>
              <w:tr2bl w:val="nil"/>
            </w:tcBorders>
            <w:shd w:val="clear" w:color="auto" w:fill="auto"/>
            <w:vAlign w:val="center"/>
          </w:tcPr>
          <w:p w14:paraId="3398A1A1">
            <w:pPr>
              <w:widowControl/>
              <w:spacing w:line="240" w:lineRule="auto"/>
              <w:ind w:firstLine="0" w:firstLineChars="0"/>
              <w:jc w:val="center"/>
              <w:rPr>
                <w:kern w:val="0"/>
                <w:sz w:val="21"/>
                <w:szCs w:val="21"/>
                <w:highlight w:val="black"/>
              </w:rPr>
            </w:pPr>
            <w:r>
              <w:rPr>
                <w:kern w:val="0"/>
                <w:sz w:val="21"/>
                <w:szCs w:val="21"/>
                <w:highlight w:val="black"/>
              </w:rPr>
              <w:t>围岩</w:t>
            </w:r>
          </w:p>
        </w:tc>
        <w:tc>
          <w:tcPr>
            <w:tcW w:w="622" w:type="dxa"/>
            <w:vMerge w:val="restart"/>
            <w:tcBorders>
              <w:tl2br w:val="nil"/>
              <w:tr2bl w:val="nil"/>
            </w:tcBorders>
            <w:shd w:val="clear" w:color="auto" w:fill="auto"/>
            <w:vAlign w:val="center"/>
          </w:tcPr>
          <w:p w14:paraId="017D7323">
            <w:pPr>
              <w:widowControl/>
              <w:spacing w:line="240" w:lineRule="auto"/>
              <w:ind w:firstLine="0" w:firstLineChars="0"/>
              <w:jc w:val="center"/>
              <w:rPr>
                <w:kern w:val="0"/>
                <w:sz w:val="21"/>
                <w:szCs w:val="21"/>
                <w:highlight w:val="black"/>
              </w:rPr>
            </w:pPr>
            <w:r>
              <w:rPr>
                <w:kern w:val="0"/>
                <w:sz w:val="21"/>
                <w:szCs w:val="21"/>
                <w:highlight w:val="black"/>
              </w:rPr>
              <w:t>产状</w:t>
            </w:r>
            <w:r>
              <w:rPr>
                <w:rFonts w:hint="eastAsia"/>
                <w:kern w:val="0"/>
                <w:sz w:val="21"/>
                <w:szCs w:val="21"/>
                <w:highlight w:val="black"/>
              </w:rPr>
              <w:t>（</w:t>
            </w:r>
            <w:r>
              <w:rPr>
                <w:kern w:val="0"/>
                <w:sz w:val="21"/>
                <w:szCs w:val="21"/>
                <w:highlight w:val="black"/>
              </w:rPr>
              <w:t>°</w:t>
            </w:r>
            <w:r>
              <w:rPr>
                <w:rFonts w:hint="eastAsia"/>
                <w:kern w:val="0"/>
                <w:sz w:val="21"/>
                <w:szCs w:val="21"/>
                <w:highlight w:val="black"/>
              </w:rPr>
              <w:t>）</w:t>
            </w:r>
          </w:p>
        </w:tc>
        <w:tc>
          <w:tcPr>
            <w:tcW w:w="559" w:type="dxa"/>
            <w:vMerge w:val="restart"/>
            <w:tcBorders>
              <w:tl2br w:val="nil"/>
              <w:tr2bl w:val="nil"/>
            </w:tcBorders>
            <w:shd w:val="clear" w:color="auto" w:fill="auto"/>
            <w:vAlign w:val="center"/>
          </w:tcPr>
          <w:p w14:paraId="44B6AA6E">
            <w:pPr>
              <w:widowControl/>
              <w:spacing w:line="240" w:lineRule="auto"/>
              <w:ind w:firstLine="0" w:firstLineChars="0"/>
              <w:jc w:val="center"/>
              <w:rPr>
                <w:kern w:val="0"/>
                <w:sz w:val="21"/>
                <w:szCs w:val="21"/>
                <w:highlight w:val="black"/>
              </w:rPr>
            </w:pPr>
            <w:r>
              <w:rPr>
                <w:kern w:val="0"/>
                <w:sz w:val="21"/>
                <w:szCs w:val="21"/>
                <w:highlight w:val="black"/>
              </w:rPr>
              <w:t>延长</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622" w:type="dxa"/>
            <w:vMerge w:val="restart"/>
            <w:tcBorders>
              <w:tl2br w:val="nil"/>
              <w:tr2bl w:val="nil"/>
            </w:tcBorders>
            <w:shd w:val="clear" w:color="auto" w:fill="auto"/>
            <w:vAlign w:val="center"/>
          </w:tcPr>
          <w:p w14:paraId="2EB517F4">
            <w:pPr>
              <w:widowControl/>
              <w:spacing w:line="240" w:lineRule="auto"/>
              <w:ind w:firstLine="0" w:firstLineChars="0"/>
              <w:jc w:val="center"/>
              <w:rPr>
                <w:kern w:val="0"/>
                <w:sz w:val="21"/>
                <w:szCs w:val="21"/>
                <w:highlight w:val="black"/>
              </w:rPr>
            </w:pPr>
            <w:r>
              <w:rPr>
                <w:kern w:val="0"/>
                <w:sz w:val="21"/>
                <w:szCs w:val="21"/>
                <w:highlight w:val="black"/>
              </w:rPr>
              <w:t>延深</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613" w:type="dxa"/>
            <w:vMerge w:val="restart"/>
            <w:tcBorders>
              <w:tl2br w:val="nil"/>
              <w:tr2bl w:val="nil"/>
            </w:tcBorders>
            <w:shd w:val="clear" w:color="auto" w:fill="auto"/>
            <w:vAlign w:val="center"/>
          </w:tcPr>
          <w:p w14:paraId="7464B059">
            <w:pPr>
              <w:widowControl/>
              <w:spacing w:line="240" w:lineRule="auto"/>
              <w:ind w:firstLine="0" w:firstLineChars="0"/>
              <w:jc w:val="center"/>
              <w:rPr>
                <w:kern w:val="0"/>
                <w:sz w:val="21"/>
                <w:szCs w:val="21"/>
                <w:highlight w:val="black"/>
              </w:rPr>
            </w:pPr>
            <w:r>
              <w:rPr>
                <w:kern w:val="0"/>
                <w:sz w:val="21"/>
                <w:szCs w:val="21"/>
                <w:highlight w:val="black"/>
              </w:rPr>
              <w:t>厚度</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1460" w:type="dxa"/>
            <w:gridSpan w:val="2"/>
            <w:tcBorders>
              <w:tl2br w:val="nil"/>
              <w:tr2bl w:val="nil"/>
            </w:tcBorders>
            <w:shd w:val="clear" w:color="auto" w:fill="auto"/>
            <w:noWrap/>
            <w:vAlign w:val="center"/>
          </w:tcPr>
          <w:p w14:paraId="55CE35D3">
            <w:pPr>
              <w:widowControl/>
              <w:spacing w:line="240" w:lineRule="auto"/>
              <w:ind w:firstLine="0" w:firstLineChars="0"/>
              <w:jc w:val="center"/>
              <w:rPr>
                <w:kern w:val="0"/>
                <w:sz w:val="21"/>
                <w:szCs w:val="21"/>
                <w:highlight w:val="black"/>
              </w:rPr>
            </w:pPr>
            <w:r>
              <w:rPr>
                <w:kern w:val="0"/>
                <w:sz w:val="21"/>
                <w:szCs w:val="21"/>
                <w:highlight w:val="black"/>
              </w:rPr>
              <w:t>品位</w:t>
            </w:r>
            <w:r>
              <w:rPr>
                <w:rFonts w:hint="eastAsia"/>
                <w:kern w:val="0"/>
                <w:sz w:val="21"/>
                <w:szCs w:val="21"/>
                <w:highlight w:val="black"/>
              </w:rPr>
              <w:t>（</w:t>
            </w:r>
            <w:r>
              <w:rPr>
                <w:kern w:val="0"/>
                <w:sz w:val="21"/>
                <w:szCs w:val="21"/>
                <w:highlight w:val="black"/>
              </w:rPr>
              <w:t>%</w:t>
            </w:r>
            <w:r>
              <w:rPr>
                <w:rFonts w:hint="eastAsia"/>
                <w:kern w:val="0"/>
                <w:sz w:val="21"/>
                <w:szCs w:val="21"/>
                <w:highlight w:val="black"/>
              </w:rPr>
              <w:t>）</w:t>
            </w:r>
          </w:p>
        </w:tc>
        <w:tc>
          <w:tcPr>
            <w:tcW w:w="1234" w:type="dxa"/>
            <w:vMerge w:val="restart"/>
            <w:tcBorders>
              <w:tl2br w:val="nil"/>
              <w:tr2bl w:val="nil"/>
            </w:tcBorders>
            <w:shd w:val="clear" w:color="auto" w:fill="auto"/>
            <w:vAlign w:val="center"/>
          </w:tcPr>
          <w:p w14:paraId="62F3C447">
            <w:pPr>
              <w:widowControl/>
              <w:spacing w:line="240" w:lineRule="auto"/>
              <w:ind w:firstLine="0" w:firstLineChars="0"/>
              <w:jc w:val="center"/>
              <w:rPr>
                <w:kern w:val="0"/>
                <w:sz w:val="21"/>
                <w:szCs w:val="21"/>
                <w:highlight w:val="black"/>
              </w:rPr>
            </w:pPr>
            <w:r>
              <w:rPr>
                <w:kern w:val="0"/>
                <w:sz w:val="21"/>
                <w:szCs w:val="21"/>
                <w:highlight w:val="black"/>
              </w:rPr>
              <w:t>赋存标高</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1063" w:type="dxa"/>
            <w:gridSpan w:val="2"/>
            <w:tcBorders>
              <w:tl2br w:val="nil"/>
              <w:tr2bl w:val="nil"/>
            </w:tcBorders>
            <w:shd w:val="clear" w:color="auto" w:fill="auto"/>
            <w:vAlign w:val="center"/>
          </w:tcPr>
          <w:p w14:paraId="3CBDD5D3">
            <w:pPr>
              <w:widowControl/>
              <w:spacing w:line="240" w:lineRule="auto"/>
              <w:ind w:firstLine="0" w:firstLineChars="0"/>
              <w:jc w:val="center"/>
              <w:rPr>
                <w:kern w:val="0"/>
                <w:sz w:val="21"/>
                <w:szCs w:val="21"/>
                <w:highlight w:val="black"/>
              </w:rPr>
            </w:pPr>
            <w:r>
              <w:rPr>
                <w:kern w:val="0"/>
                <w:sz w:val="21"/>
                <w:szCs w:val="21"/>
                <w:highlight w:val="black"/>
              </w:rPr>
              <w:t>埋深</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r>
      <w:tr w14:paraId="7B0ED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697" w:type="dxa"/>
            <w:vMerge w:val="continue"/>
            <w:tcBorders>
              <w:tl2br w:val="nil"/>
              <w:tr2bl w:val="nil"/>
            </w:tcBorders>
            <w:shd w:val="clear" w:color="auto" w:fill="auto"/>
            <w:vAlign w:val="center"/>
          </w:tcPr>
          <w:p w14:paraId="53A16842">
            <w:pPr>
              <w:widowControl/>
              <w:spacing w:line="240" w:lineRule="auto"/>
              <w:ind w:firstLine="0" w:firstLineChars="0"/>
              <w:jc w:val="left"/>
              <w:rPr>
                <w:kern w:val="0"/>
                <w:sz w:val="21"/>
                <w:szCs w:val="21"/>
                <w:highlight w:val="black"/>
              </w:rPr>
            </w:pPr>
          </w:p>
        </w:tc>
        <w:tc>
          <w:tcPr>
            <w:tcW w:w="686" w:type="dxa"/>
            <w:vMerge w:val="continue"/>
            <w:tcBorders>
              <w:tl2br w:val="nil"/>
              <w:tr2bl w:val="nil"/>
            </w:tcBorders>
            <w:shd w:val="clear" w:color="auto" w:fill="auto"/>
            <w:vAlign w:val="center"/>
          </w:tcPr>
          <w:p w14:paraId="722995B3">
            <w:pPr>
              <w:widowControl/>
              <w:spacing w:line="240" w:lineRule="auto"/>
              <w:ind w:firstLine="0" w:firstLineChars="0"/>
              <w:jc w:val="left"/>
              <w:rPr>
                <w:kern w:val="0"/>
                <w:sz w:val="21"/>
                <w:szCs w:val="21"/>
                <w:highlight w:val="black"/>
              </w:rPr>
            </w:pPr>
          </w:p>
        </w:tc>
        <w:tc>
          <w:tcPr>
            <w:tcW w:w="605" w:type="dxa"/>
            <w:vMerge w:val="continue"/>
            <w:tcBorders>
              <w:tl2br w:val="nil"/>
              <w:tr2bl w:val="nil"/>
            </w:tcBorders>
            <w:shd w:val="clear" w:color="auto" w:fill="auto"/>
            <w:vAlign w:val="center"/>
          </w:tcPr>
          <w:p w14:paraId="4060D92E">
            <w:pPr>
              <w:widowControl/>
              <w:spacing w:line="240" w:lineRule="auto"/>
              <w:ind w:firstLine="0" w:firstLineChars="0"/>
              <w:jc w:val="left"/>
              <w:rPr>
                <w:kern w:val="0"/>
                <w:sz w:val="21"/>
                <w:szCs w:val="21"/>
                <w:highlight w:val="black"/>
              </w:rPr>
            </w:pPr>
          </w:p>
        </w:tc>
        <w:tc>
          <w:tcPr>
            <w:tcW w:w="1017" w:type="dxa"/>
            <w:tcBorders>
              <w:tl2br w:val="nil"/>
              <w:tr2bl w:val="nil"/>
            </w:tcBorders>
            <w:shd w:val="clear" w:color="auto" w:fill="auto"/>
            <w:vAlign w:val="center"/>
          </w:tcPr>
          <w:p w14:paraId="5E789BF1">
            <w:pPr>
              <w:widowControl/>
              <w:spacing w:line="240" w:lineRule="auto"/>
              <w:ind w:firstLine="0" w:firstLineChars="0"/>
              <w:jc w:val="center"/>
              <w:rPr>
                <w:kern w:val="0"/>
                <w:sz w:val="21"/>
                <w:szCs w:val="21"/>
                <w:highlight w:val="black"/>
              </w:rPr>
            </w:pPr>
            <w:r>
              <w:rPr>
                <w:kern w:val="0"/>
                <w:sz w:val="21"/>
                <w:szCs w:val="21"/>
                <w:highlight w:val="black"/>
              </w:rPr>
              <w:t>顶板围岩</w:t>
            </w:r>
          </w:p>
        </w:tc>
        <w:tc>
          <w:tcPr>
            <w:tcW w:w="1096" w:type="dxa"/>
            <w:tcBorders>
              <w:tl2br w:val="nil"/>
              <w:tr2bl w:val="nil"/>
            </w:tcBorders>
            <w:shd w:val="clear" w:color="auto" w:fill="auto"/>
            <w:vAlign w:val="center"/>
          </w:tcPr>
          <w:p w14:paraId="54034B69">
            <w:pPr>
              <w:widowControl/>
              <w:spacing w:line="240" w:lineRule="auto"/>
              <w:ind w:firstLine="0" w:firstLineChars="0"/>
              <w:jc w:val="center"/>
              <w:rPr>
                <w:kern w:val="0"/>
                <w:sz w:val="21"/>
                <w:szCs w:val="21"/>
                <w:highlight w:val="black"/>
              </w:rPr>
            </w:pPr>
            <w:r>
              <w:rPr>
                <w:kern w:val="0"/>
                <w:sz w:val="21"/>
                <w:szCs w:val="21"/>
                <w:highlight w:val="black"/>
              </w:rPr>
              <w:t>底板围岩</w:t>
            </w:r>
          </w:p>
        </w:tc>
        <w:tc>
          <w:tcPr>
            <w:tcW w:w="622" w:type="dxa"/>
            <w:vMerge w:val="continue"/>
            <w:tcBorders>
              <w:tl2br w:val="nil"/>
              <w:tr2bl w:val="nil"/>
            </w:tcBorders>
            <w:shd w:val="clear" w:color="auto" w:fill="auto"/>
            <w:vAlign w:val="center"/>
          </w:tcPr>
          <w:p w14:paraId="1D70D356">
            <w:pPr>
              <w:widowControl/>
              <w:spacing w:line="240" w:lineRule="auto"/>
              <w:ind w:firstLine="0" w:firstLineChars="0"/>
              <w:jc w:val="left"/>
              <w:rPr>
                <w:kern w:val="0"/>
                <w:sz w:val="21"/>
                <w:szCs w:val="21"/>
                <w:highlight w:val="black"/>
              </w:rPr>
            </w:pPr>
          </w:p>
        </w:tc>
        <w:tc>
          <w:tcPr>
            <w:tcW w:w="559" w:type="dxa"/>
            <w:vMerge w:val="continue"/>
            <w:tcBorders>
              <w:tl2br w:val="nil"/>
              <w:tr2bl w:val="nil"/>
            </w:tcBorders>
            <w:shd w:val="clear" w:color="auto" w:fill="auto"/>
            <w:vAlign w:val="center"/>
          </w:tcPr>
          <w:p w14:paraId="0C685C11">
            <w:pPr>
              <w:widowControl/>
              <w:spacing w:line="240" w:lineRule="auto"/>
              <w:ind w:firstLine="0" w:firstLineChars="0"/>
              <w:jc w:val="left"/>
              <w:rPr>
                <w:kern w:val="0"/>
                <w:sz w:val="21"/>
                <w:szCs w:val="21"/>
                <w:highlight w:val="black"/>
              </w:rPr>
            </w:pPr>
          </w:p>
        </w:tc>
        <w:tc>
          <w:tcPr>
            <w:tcW w:w="622" w:type="dxa"/>
            <w:vMerge w:val="continue"/>
            <w:tcBorders>
              <w:tl2br w:val="nil"/>
              <w:tr2bl w:val="nil"/>
            </w:tcBorders>
            <w:shd w:val="clear" w:color="auto" w:fill="auto"/>
            <w:vAlign w:val="center"/>
          </w:tcPr>
          <w:p w14:paraId="1AA0B924">
            <w:pPr>
              <w:widowControl/>
              <w:spacing w:line="240" w:lineRule="auto"/>
              <w:ind w:firstLine="0" w:firstLineChars="0"/>
              <w:jc w:val="left"/>
              <w:rPr>
                <w:kern w:val="0"/>
                <w:sz w:val="21"/>
                <w:szCs w:val="21"/>
                <w:highlight w:val="black"/>
              </w:rPr>
            </w:pPr>
          </w:p>
        </w:tc>
        <w:tc>
          <w:tcPr>
            <w:tcW w:w="613" w:type="dxa"/>
            <w:vMerge w:val="continue"/>
            <w:tcBorders>
              <w:tl2br w:val="nil"/>
              <w:tr2bl w:val="nil"/>
            </w:tcBorders>
            <w:shd w:val="clear" w:color="auto" w:fill="auto"/>
            <w:vAlign w:val="center"/>
          </w:tcPr>
          <w:p w14:paraId="22EB6010">
            <w:pPr>
              <w:widowControl/>
              <w:spacing w:line="240" w:lineRule="auto"/>
              <w:ind w:firstLine="0" w:firstLineChars="0"/>
              <w:jc w:val="left"/>
              <w:rPr>
                <w:kern w:val="0"/>
                <w:sz w:val="21"/>
                <w:szCs w:val="21"/>
                <w:highlight w:val="black"/>
              </w:rPr>
            </w:pPr>
          </w:p>
        </w:tc>
        <w:tc>
          <w:tcPr>
            <w:tcW w:w="613" w:type="dxa"/>
            <w:tcBorders>
              <w:tl2br w:val="nil"/>
              <w:tr2bl w:val="nil"/>
            </w:tcBorders>
            <w:shd w:val="clear" w:color="auto" w:fill="auto"/>
            <w:noWrap/>
            <w:vAlign w:val="center"/>
          </w:tcPr>
          <w:p w14:paraId="3AD11251">
            <w:pPr>
              <w:widowControl/>
              <w:spacing w:line="240" w:lineRule="auto"/>
              <w:ind w:firstLine="0" w:firstLineChars="0"/>
              <w:jc w:val="center"/>
              <w:rPr>
                <w:kern w:val="0"/>
                <w:sz w:val="21"/>
                <w:szCs w:val="21"/>
                <w:highlight w:val="black"/>
              </w:rPr>
            </w:pPr>
            <w:r>
              <w:rPr>
                <w:kern w:val="0"/>
                <w:sz w:val="21"/>
                <w:szCs w:val="21"/>
                <w:highlight w:val="black"/>
              </w:rPr>
              <w:t>TFe</w:t>
            </w:r>
          </w:p>
        </w:tc>
        <w:tc>
          <w:tcPr>
            <w:tcW w:w="847" w:type="dxa"/>
            <w:tcBorders>
              <w:tl2br w:val="nil"/>
              <w:tr2bl w:val="nil"/>
            </w:tcBorders>
            <w:shd w:val="clear" w:color="auto" w:fill="auto"/>
            <w:noWrap/>
            <w:vAlign w:val="center"/>
          </w:tcPr>
          <w:p w14:paraId="01B8725D">
            <w:pPr>
              <w:widowControl/>
              <w:spacing w:line="240" w:lineRule="auto"/>
              <w:ind w:firstLine="0" w:firstLineChars="0"/>
              <w:jc w:val="center"/>
              <w:rPr>
                <w:kern w:val="0"/>
                <w:sz w:val="21"/>
                <w:szCs w:val="21"/>
                <w:highlight w:val="black"/>
              </w:rPr>
            </w:pPr>
            <w:r>
              <w:rPr>
                <w:kern w:val="0"/>
                <w:sz w:val="21"/>
                <w:szCs w:val="21"/>
                <w:highlight w:val="black"/>
              </w:rPr>
              <w:t>mFe</w:t>
            </w:r>
          </w:p>
        </w:tc>
        <w:tc>
          <w:tcPr>
            <w:tcW w:w="1234" w:type="dxa"/>
            <w:vMerge w:val="continue"/>
            <w:tcBorders>
              <w:tl2br w:val="nil"/>
              <w:tr2bl w:val="nil"/>
            </w:tcBorders>
            <w:shd w:val="clear" w:color="auto" w:fill="auto"/>
            <w:vAlign w:val="center"/>
          </w:tcPr>
          <w:p w14:paraId="1C081176">
            <w:pPr>
              <w:widowControl/>
              <w:spacing w:line="240" w:lineRule="auto"/>
              <w:ind w:firstLine="0" w:firstLineChars="0"/>
              <w:jc w:val="left"/>
              <w:rPr>
                <w:kern w:val="0"/>
                <w:sz w:val="21"/>
                <w:szCs w:val="21"/>
                <w:highlight w:val="black"/>
              </w:rPr>
            </w:pPr>
          </w:p>
        </w:tc>
        <w:tc>
          <w:tcPr>
            <w:tcW w:w="503" w:type="dxa"/>
            <w:tcBorders>
              <w:tl2br w:val="nil"/>
              <w:tr2bl w:val="nil"/>
            </w:tcBorders>
            <w:shd w:val="clear" w:color="auto" w:fill="auto"/>
            <w:noWrap/>
            <w:vAlign w:val="center"/>
          </w:tcPr>
          <w:p w14:paraId="7C928DC5">
            <w:pPr>
              <w:widowControl/>
              <w:spacing w:line="240" w:lineRule="auto"/>
              <w:ind w:firstLine="0" w:firstLineChars="0"/>
              <w:jc w:val="center"/>
              <w:rPr>
                <w:kern w:val="0"/>
                <w:sz w:val="21"/>
                <w:szCs w:val="21"/>
                <w:highlight w:val="black"/>
              </w:rPr>
            </w:pPr>
            <w:r>
              <w:rPr>
                <w:kern w:val="0"/>
                <w:sz w:val="21"/>
                <w:szCs w:val="21"/>
                <w:highlight w:val="black"/>
              </w:rPr>
              <w:t>最小</w:t>
            </w:r>
          </w:p>
        </w:tc>
        <w:tc>
          <w:tcPr>
            <w:tcW w:w="560" w:type="dxa"/>
            <w:tcBorders>
              <w:tl2br w:val="nil"/>
              <w:tr2bl w:val="nil"/>
            </w:tcBorders>
            <w:shd w:val="clear" w:color="auto" w:fill="auto"/>
            <w:noWrap/>
            <w:vAlign w:val="center"/>
          </w:tcPr>
          <w:p w14:paraId="1D55AE5D">
            <w:pPr>
              <w:widowControl/>
              <w:spacing w:line="240" w:lineRule="auto"/>
              <w:ind w:firstLine="0" w:firstLineChars="0"/>
              <w:jc w:val="center"/>
              <w:rPr>
                <w:kern w:val="0"/>
                <w:sz w:val="21"/>
                <w:szCs w:val="21"/>
                <w:highlight w:val="black"/>
              </w:rPr>
            </w:pPr>
            <w:r>
              <w:rPr>
                <w:kern w:val="0"/>
                <w:sz w:val="21"/>
                <w:szCs w:val="21"/>
                <w:highlight w:val="black"/>
              </w:rPr>
              <w:t>最大</w:t>
            </w:r>
          </w:p>
        </w:tc>
      </w:tr>
      <w:tr w14:paraId="40601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697" w:type="dxa"/>
            <w:tcBorders>
              <w:tl2br w:val="nil"/>
              <w:tr2bl w:val="nil"/>
            </w:tcBorders>
            <w:shd w:val="clear" w:color="auto" w:fill="auto"/>
            <w:vAlign w:val="center"/>
          </w:tcPr>
          <w:p w14:paraId="03BD3080">
            <w:pPr>
              <w:widowControl/>
              <w:spacing w:line="240" w:lineRule="auto"/>
              <w:ind w:firstLine="0" w:firstLineChars="0"/>
              <w:jc w:val="center"/>
              <w:rPr>
                <w:kern w:val="0"/>
                <w:sz w:val="21"/>
                <w:szCs w:val="21"/>
                <w:highlight w:val="black"/>
              </w:rPr>
            </w:pPr>
            <w:r>
              <w:rPr>
                <w:kern w:val="0"/>
                <w:sz w:val="21"/>
                <w:szCs w:val="21"/>
                <w:highlight w:val="black"/>
              </w:rPr>
              <w:t>1</w:t>
            </w:r>
          </w:p>
        </w:tc>
        <w:tc>
          <w:tcPr>
            <w:tcW w:w="686" w:type="dxa"/>
            <w:tcBorders>
              <w:tl2br w:val="nil"/>
              <w:tr2bl w:val="nil"/>
            </w:tcBorders>
            <w:shd w:val="clear" w:color="auto" w:fill="auto"/>
            <w:noWrap/>
            <w:vAlign w:val="center"/>
          </w:tcPr>
          <w:p w14:paraId="0BFA4132">
            <w:pPr>
              <w:widowControl/>
              <w:spacing w:line="240" w:lineRule="auto"/>
              <w:ind w:firstLine="0" w:firstLineChars="0"/>
              <w:jc w:val="center"/>
              <w:rPr>
                <w:kern w:val="0"/>
                <w:sz w:val="21"/>
                <w:szCs w:val="21"/>
                <w:highlight w:val="black"/>
              </w:rPr>
            </w:pPr>
            <w:r>
              <w:rPr>
                <w:kern w:val="0"/>
                <w:sz w:val="21"/>
                <w:szCs w:val="21"/>
                <w:highlight w:val="black"/>
              </w:rPr>
              <w:t>Fe4</w:t>
            </w:r>
          </w:p>
        </w:tc>
        <w:tc>
          <w:tcPr>
            <w:tcW w:w="605" w:type="dxa"/>
            <w:tcBorders>
              <w:tl2br w:val="nil"/>
              <w:tr2bl w:val="nil"/>
            </w:tcBorders>
            <w:shd w:val="clear" w:color="auto" w:fill="auto"/>
            <w:noWrap/>
            <w:vAlign w:val="center"/>
          </w:tcPr>
          <w:p w14:paraId="1AA3D277">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vAlign w:val="center"/>
          </w:tcPr>
          <w:p w14:paraId="19CDD4A8">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vAlign w:val="center"/>
          </w:tcPr>
          <w:p w14:paraId="0863F811">
            <w:pPr>
              <w:widowControl/>
              <w:spacing w:line="240" w:lineRule="auto"/>
              <w:ind w:firstLine="0" w:firstLineChars="0"/>
              <w:jc w:val="center"/>
              <w:rPr>
                <w:kern w:val="0"/>
                <w:sz w:val="21"/>
                <w:szCs w:val="21"/>
                <w:highlight w:val="black"/>
              </w:rPr>
            </w:pPr>
            <w:r>
              <w:rPr>
                <w:kern w:val="0"/>
                <w:sz w:val="21"/>
                <w:szCs w:val="21"/>
                <w:highlight w:val="black"/>
              </w:rPr>
              <w:t>斜长角闪片麻岩、二长花岗片麻岩</w:t>
            </w:r>
          </w:p>
        </w:tc>
        <w:tc>
          <w:tcPr>
            <w:tcW w:w="622" w:type="dxa"/>
            <w:tcBorders>
              <w:tl2br w:val="nil"/>
              <w:tr2bl w:val="nil"/>
            </w:tcBorders>
            <w:shd w:val="clear" w:color="auto" w:fill="auto"/>
            <w:noWrap/>
            <w:vAlign w:val="center"/>
          </w:tcPr>
          <w:p w14:paraId="7E305F24">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7</w:t>
            </w:r>
          </w:p>
        </w:tc>
        <w:tc>
          <w:tcPr>
            <w:tcW w:w="559" w:type="dxa"/>
            <w:tcBorders>
              <w:tl2br w:val="nil"/>
              <w:tr2bl w:val="nil"/>
            </w:tcBorders>
            <w:shd w:val="clear" w:color="auto" w:fill="auto"/>
            <w:vAlign w:val="center"/>
          </w:tcPr>
          <w:p w14:paraId="20BEE669">
            <w:pPr>
              <w:widowControl/>
              <w:spacing w:line="240" w:lineRule="auto"/>
              <w:ind w:firstLine="0" w:firstLineChars="0"/>
              <w:jc w:val="center"/>
              <w:rPr>
                <w:kern w:val="0"/>
                <w:sz w:val="21"/>
                <w:szCs w:val="21"/>
                <w:highlight w:val="black"/>
              </w:rPr>
            </w:pPr>
            <w:r>
              <w:rPr>
                <w:kern w:val="0"/>
                <w:sz w:val="21"/>
                <w:szCs w:val="21"/>
                <w:highlight w:val="black"/>
              </w:rPr>
              <w:t>720</w:t>
            </w:r>
          </w:p>
        </w:tc>
        <w:tc>
          <w:tcPr>
            <w:tcW w:w="622" w:type="dxa"/>
            <w:tcBorders>
              <w:tl2br w:val="nil"/>
              <w:tr2bl w:val="nil"/>
            </w:tcBorders>
            <w:shd w:val="clear" w:color="auto" w:fill="auto"/>
            <w:vAlign w:val="center"/>
          </w:tcPr>
          <w:p w14:paraId="569A0736">
            <w:pPr>
              <w:widowControl/>
              <w:spacing w:line="240" w:lineRule="auto"/>
              <w:ind w:firstLine="0" w:firstLineChars="0"/>
              <w:jc w:val="center"/>
              <w:rPr>
                <w:kern w:val="0"/>
                <w:sz w:val="21"/>
                <w:szCs w:val="21"/>
                <w:highlight w:val="black"/>
              </w:rPr>
            </w:pPr>
            <w:r>
              <w:rPr>
                <w:kern w:val="0"/>
                <w:sz w:val="21"/>
                <w:szCs w:val="21"/>
                <w:highlight w:val="black"/>
              </w:rPr>
              <w:t>444</w:t>
            </w:r>
          </w:p>
        </w:tc>
        <w:tc>
          <w:tcPr>
            <w:tcW w:w="613" w:type="dxa"/>
            <w:tcBorders>
              <w:tl2br w:val="nil"/>
              <w:tr2bl w:val="nil"/>
            </w:tcBorders>
            <w:shd w:val="clear" w:color="auto" w:fill="auto"/>
            <w:vAlign w:val="center"/>
          </w:tcPr>
          <w:p w14:paraId="6E137DE1">
            <w:pPr>
              <w:widowControl/>
              <w:spacing w:line="240" w:lineRule="auto"/>
              <w:ind w:firstLine="0" w:firstLineChars="0"/>
              <w:jc w:val="center"/>
              <w:rPr>
                <w:kern w:val="0"/>
                <w:sz w:val="21"/>
                <w:szCs w:val="21"/>
                <w:highlight w:val="black"/>
              </w:rPr>
            </w:pPr>
            <w:r>
              <w:rPr>
                <w:kern w:val="0"/>
                <w:sz w:val="21"/>
                <w:szCs w:val="21"/>
                <w:highlight w:val="black"/>
              </w:rPr>
              <w:t>10.18</w:t>
            </w:r>
          </w:p>
        </w:tc>
        <w:tc>
          <w:tcPr>
            <w:tcW w:w="613" w:type="dxa"/>
            <w:tcBorders>
              <w:tl2br w:val="nil"/>
              <w:tr2bl w:val="nil"/>
            </w:tcBorders>
            <w:shd w:val="clear" w:color="auto" w:fill="auto"/>
            <w:noWrap/>
            <w:vAlign w:val="center"/>
          </w:tcPr>
          <w:p w14:paraId="7CD103B7">
            <w:pPr>
              <w:widowControl/>
              <w:spacing w:line="240" w:lineRule="auto"/>
              <w:ind w:firstLine="0" w:firstLineChars="0"/>
              <w:jc w:val="center"/>
              <w:rPr>
                <w:kern w:val="0"/>
                <w:sz w:val="21"/>
                <w:szCs w:val="21"/>
                <w:highlight w:val="black"/>
              </w:rPr>
            </w:pPr>
            <w:r>
              <w:rPr>
                <w:kern w:val="0"/>
                <w:sz w:val="21"/>
                <w:szCs w:val="21"/>
                <w:highlight w:val="black"/>
              </w:rPr>
              <w:t>33.24</w:t>
            </w:r>
          </w:p>
        </w:tc>
        <w:tc>
          <w:tcPr>
            <w:tcW w:w="847" w:type="dxa"/>
            <w:tcBorders>
              <w:tl2br w:val="nil"/>
              <w:tr2bl w:val="nil"/>
            </w:tcBorders>
            <w:shd w:val="clear" w:color="auto" w:fill="auto"/>
            <w:noWrap/>
            <w:vAlign w:val="center"/>
          </w:tcPr>
          <w:p w14:paraId="798881BB">
            <w:pPr>
              <w:widowControl/>
              <w:spacing w:line="240" w:lineRule="auto"/>
              <w:ind w:firstLine="0" w:firstLineChars="0"/>
              <w:jc w:val="center"/>
              <w:rPr>
                <w:kern w:val="0"/>
                <w:sz w:val="21"/>
                <w:szCs w:val="21"/>
                <w:highlight w:val="black"/>
              </w:rPr>
            </w:pPr>
            <w:r>
              <w:rPr>
                <w:kern w:val="0"/>
                <w:sz w:val="21"/>
                <w:szCs w:val="21"/>
                <w:highlight w:val="black"/>
              </w:rPr>
              <w:t>26.38</w:t>
            </w:r>
          </w:p>
        </w:tc>
        <w:tc>
          <w:tcPr>
            <w:tcW w:w="1234" w:type="dxa"/>
            <w:tcBorders>
              <w:tl2br w:val="nil"/>
              <w:tr2bl w:val="nil"/>
            </w:tcBorders>
            <w:shd w:val="clear" w:color="auto" w:fill="auto"/>
            <w:vAlign w:val="center"/>
          </w:tcPr>
          <w:p w14:paraId="04E5E5B0">
            <w:pPr>
              <w:widowControl/>
              <w:spacing w:line="240" w:lineRule="auto"/>
              <w:ind w:firstLine="0" w:firstLineChars="0"/>
              <w:jc w:val="center"/>
              <w:rPr>
                <w:kern w:val="0"/>
                <w:sz w:val="21"/>
                <w:szCs w:val="21"/>
                <w:highlight w:val="black"/>
              </w:rPr>
            </w:pPr>
            <w:r>
              <w:rPr>
                <w:kern w:val="0"/>
                <w:sz w:val="21"/>
                <w:szCs w:val="21"/>
                <w:highlight w:val="black"/>
              </w:rPr>
              <w:t>-19</w:t>
            </w:r>
            <w:r>
              <w:rPr>
                <w:rFonts w:hint="eastAsia"/>
                <w:kern w:val="0"/>
                <w:sz w:val="21"/>
                <w:szCs w:val="21"/>
                <w:highlight w:val="black"/>
              </w:rPr>
              <w:t>~</w:t>
            </w:r>
            <w:r>
              <w:rPr>
                <w:kern w:val="0"/>
                <w:sz w:val="21"/>
                <w:szCs w:val="21"/>
                <w:highlight w:val="black"/>
              </w:rPr>
              <w:t>52</w:t>
            </w:r>
          </w:p>
        </w:tc>
        <w:tc>
          <w:tcPr>
            <w:tcW w:w="503" w:type="dxa"/>
            <w:tcBorders>
              <w:tl2br w:val="nil"/>
              <w:tr2bl w:val="nil"/>
            </w:tcBorders>
            <w:shd w:val="clear" w:color="auto" w:fill="auto"/>
            <w:noWrap/>
            <w:vAlign w:val="center"/>
          </w:tcPr>
          <w:p w14:paraId="02A94312">
            <w:pPr>
              <w:widowControl/>
              <w:spacing w:line="240" w:lineRule="auto"/>
              <w:ind w:firstLine="0" w:firstLineChars="0"/>
              <w:jc w:val="center"/>
              <w:rPr>
                <w:kern w:val="0"/>
                <w:sz w:val="21"/>
                <w:szCs w:val="21"/>
                <w:highlight w:val="black"/>
              </w:rPr>
            </w:pPr>
            <w:r>
              <w:rPr>
                <w:kern w:val="0"/>
                <w:sz w:val="21"/>
                <w:szCs w:val="21"/>
                <w:highlight w:val="black"/>
              </w:rPr>
              <w:t>130</w:t>
            </w:r>
          </w:p>
        </w:tc>
        <w:tc>
          <w:tcPr>
            <w:tcW w:w="560" w:type="dxa"/>
            <w:tcBorders>
              <w:tl2br w:val="nil"/>
              <w:tr2bl w:val="nil"/>
            </w:tcBorders>
            <w:shd w:val="clear" w:color="auto" w:fill="auto"/>
            <w:noWrap/>
            <w:vAlign w:val="center"/>
          </w:tcPr>
          <w:p w14:paraId="327EAA82">
            <w:pPr>
              <w:widowControl/>
              <w:spacing w:line="240" w:lineRule="auto"/>
              <w:ind w:firstLine="0" w:firstLineChars="0"/>
              <w:jc w:val="center"/>
              <w:rPr>
                <w:kern w:val="0"/>
                <w:sz w:val="21"/>
                <w:szCs w:val="21"/>
                <w:highlight w:val="black"/>
              </w:rPr>
            </w:pPr>
            <w:r>
              <w:rPr>
                <w:kern w:val="0"/>
                <w:sz w:val="21"/>
                <w:szCs w:val="21"/>
                <w:highlight w:val="black"/>
              </w:rPr>
              <w:t>253</w:t>
            </w:r>
          </w:p>
        </w:tc>
      </w:tr>
      <w:tr w14:paraId="23334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40EED506">
            <w:pPr>
              <w:widowControl/>
              <w:spacing w:line="240" w:lineRule="auto"/>
              <w:ind w:firstLine="0" w:firstLineChars="0"/>
              <w:jc w:val="center"/>
              <w:rPr>
                <w:kern w:val="0"/>
                <w:sz w:val="21"/>
                <w:szCs w:val="21"/>
                <w:highlight w:val="black"/>
              </w:rPr>
            </w:pPr>
            <w:r>
              <w:rPr>
                <w:kern w:val="0"/>
                <w:sz w:val="21"/>
                <w:szCs w:val="21"/>
                <w:highlight w:val="black"/>
              </w:rPr>
              <w:t>2</w:t>
            </w:r>
          </w:p>
        </w:tc>
        <w:tc>
          <w:tcPr>
            <w:tcW w:w="686" w:type="dxa"/>
            <w:tcBorders>
              <w:tl2br w:val="nil"/>
              <w:tr2bl w:val="nil"/>
            </w:tcBorders>
            <w:shd w:val="clear" w:color="auto" w:fill="auto"/>
            <w:noWrap/>
            <w:vAlign w:val="center"/>
          </w:tcPr>
          <w:p w14:paraId="256F22E5">
            <w:pPr>
              <w:widowControl/>
              <w:spacing w:line="240" w:lineRule="auto"/>
              <w:ind w:firstLine="0" w:firstLineChars="0"/>
              <w:jc w:val="center"/>
              <w:rPr>
                <w:kern w:val="0"/>
                <w:sz w:val="21"/>
                <w:szCs w:val="21"/>
                <w:highlight w:val="black"/>
              </w:rPr>
            </w:pPr>
            <w:r>
              <w:rPr>
                <w:kern w:val="0"/>
                <w:sz w:val="21"/>
                <w:szCs w:val="21"/>
                <w:highlight w:val="black"/>
              </w:rPr>
              <w:t>Fe4-1</w:t>
            </w:r>
          </w:p>
        </w:tc>
        <w:tc>
          <w:tcPr>
            <w:tcW w:w="605" w:type="dxa"/>
            <w:tcBorders>
              <w:tl2br w:val="nil"/>
              <w:tr2bl w:val="nil"/>
            </w:tcBorders>
            <w:shd w:val="clear" w:color="auto" w:fill="auto"/>
            <w:noWrap/>
            <w:vAlign w:val="center"/>
          </w:tcPr>
          <w:p w14:paraId="339A6B42">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vAlign w:val="center"/>
          </w:tcPr>
          <w:p w14:paraId="46118211">
            <w:pPr>
              <w:spacing w:line="240" w:lineRule="auto"/>
              <w:ind w:firstLine="0" w:firstLineChars="0"/>
              <w:jc w:val="center"/>
              <w:rPr>
                <w:sz w:val="21"/>
                <w:szCs w:val="21"/>
                <w:highlight w:val="black"/>
              </w:rPr>
            </w:pPr>
            <w:r>
              <w:rPr>
                <w:sz w:val="21"/>
                <w:szCs w:val="21"/>
                <w:highlight w:val="black"/>
              </w:rPr>
              <w:t>斜长角闪片麻岩</w:t>
            </w:r>
          </w:p>
        </w:tc>
        <w:tc>
          <w:tcPr>
            <w:tcW w:w="1096" w:type="dxa"/>
            <w:tcBorders>
              <w:tl2br w:val="nil"/>
              <w:tr2bl w:val="nil"/>
            </w:tcBorders>
            <w:shd w:val="clear" w:color="auto" w:fill="auto"/>
            <w:vAlign w:val="center"/>
          </w:tcPr>
          <w:p w14:paraId="28B79DC5">
            <w:pPr>
              <w:spacing w:line="240" w:lineRule="auto"/>
              <w:ind w:firstLine="0" w:firstLineChars="0"/>
              <w:jc w:val="center"/>
              <w:rPr>
                <w:sz w:val="21"/>
                <w:szCs w:val="21"/>
                <w:highlight w:val="black"/>
              </w:rPr>
            </w:pPr>
            <w:r>
              <w:rPr>
                <w:sz w:val="21"/>
                <w:szCs w:val="21"/>
                <w:highlight w:val="black"/>
              </w:rPr>
              <w:t>斜长角闪片麻岩</w:t>
            </w:r>
          </w:p>
        </w:tc>
        <w:tc>
          <w:tcPr>
            <w:tcW w:w="622" w:type="dxa"/>
            <w:tcBorders>
              <w:tl2br w:val="nil"/>
              <w:tr2bl w:val="nil"/>
            </w:tcBorders>
            <w:shd w:val="clear" w:color="auto" w:fill="auto"/>
            <w:noWrap/>
            <w:vAlign w:val="center"/>
          </w:tcPr>
          <w:p w14:paraId="272C4F02">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25</w:t>
            </w:r>
          </w:p>
        </w:tc>
        <w:tc>
          <w:tcPr>
            <w:tcW w:w="559" w:type="dxa"/>
            <w:tcBorders>
              <w:tl2br w:val="nil"/>
              <w:tr2bl w:val="nil"/>
            </w:tcBorders>
            <w:shd w:val="clear" w:color="auto" w:fill="auto"/>
            <w:noWrap/>
            <w:vAlign w:val="center"/>
          </w:tcPr>
          <w:p w14:paraId="69DFBB4B">
            <w:pPr>
              <w:widowControl/>
              <w:spacing w:line="240" w:lineRule="auto"/>
              <w:ind w:firstLine="0" w:firstLineChars="0"/>
              <w:jc w:val="center"/>
              <w:rPr>
                <w:kern w:val="0"/>
                <w:sz w:val="21"/>
                <w:szCs w:val="21"/>
                <w:highlight w:val="black"/>
              </w:rPr>
            </w:pPr>
            <w:r>
              <w:rPr>
                <w:kern w:val="0"/>
                <w:sz w:val="21"/>
                <w:szCs w:val="21"/>
                <w:highlight w:val="black"/>
              </w:rPr>
              <w:t>194</w:t>
            </w:r>
          </w:p>
        </w:tc>
        <w:tc>
          <w:tcPr>
            <w:tcW w:w="622" w:type="dxa"/>
            <w:tcBorders>
              <w:tl2br w:val="nil"/>
              <w:tr2bl w:val="nil"/>
            </w:tcBorders>
            <w:shd w:val="clear" w:color="auto" w:fill="auto"/>
            <w:noWrap/>
            <w:vAlign w:val="center"/>
          </w:tcPr>
          <w:p w14:paraId="47211598">
            <w:pPr>
              <w:widowControl/>
              <w:spacing w:line="240" w:lineRule="auto"/>
              <w:ind w:firstLine="0" w:firstLineChars="0"/>
              <w:jc w:val="center"/>
              <w:rPr>
                <w:kern w:val="0"/>
                <w:sz w:val="21"/>
                <w:szCs w:val="21"/>
                <w:highlight w:val="black"/>
              </w:rPr>
            </w:pPr>
            <w:r>
              <w:rPr>
                <w:kern w:val="0"/>
                <w:sz w:val="21"/>
                <w:szCs w:val="21"/>
                <w:highlight w:val="black"/>
              </w:rPr>
              <w:t>71</w:t>
            </w:r>
          </w:p>
        </w:tc>
        <w:tc>
          <w:tcPr>
            <w:tcW w:w="613" w:type="dxa"/>
            <w:tcBorders>
              <w:tl2br w:val="nil"/>
              <w:tr2bl w:val="nil"/>
            </w:tcBorders>
            <w:shd w:val="clear" w:color="auto" w:fill="auto"/>
            <w:noWrap/>
            <w:vAlign w:val="center"/>
          </w:tcPr>
          <w:p w14:paraId="5B4650E4">
            <w:pPr>
              <w:widowControl/>
              <w:spacing w:line="240" w:lineRule="auto"/>
              <w:ind w:firstLine="0" w:firstLineChars="0"/>
              <w:jc w:val="center"/>
              <w:rPr>
                <w:kern w:val="0"/>
                <w:sz w:val="21"/>
                <w:szCs w:val="21"/>
                <w:highlight w:val="black"/>
              </w:rPr>
            </w:pPr>
            <w:r>
              <w:rPr>
                <w:kern w:val="0"/>
                <w:sz w:val="21"/>
                <w:szCs w:val="21"/>
                <w:highlight w:val="black"/>
              </w:rPr>
              <w:t>3.22</w:t>
            </w:r>
          </w:p>
        </w:tc>
        <w:tc>
          <w:tcPr>
            <w:tcW w:w="613" w:type="dxa"/>
            <w:tcBorders>
              <w:tl2br w:val="nil"/>
              <w:tr2bl w:val="nil"/>
            </w:tcBorders>
            <w:shd w:val="clear" w:color="auto" w:fill="auto"/>
            <w:vAlign w:val="center"/>
          </w:tcPr>
          <w:p w14:paraId="339A3184">
            <w:pPr>
              <w:widowControl/>
              <w:spacing w:line="240" w:lineRule="auto"/>
              <w:ind w:firstLine="0" w:firstLineChars="0"/>
              <w:jc w:val="center"/>
              <w:rPr>
                <w:kern w:val="0"/>
                <w:sz w:val="21"/>
                <w:szCs w:val="21"/>
                <w:highlight w:val="black"/>
              </w:rPr>
            </w:pPr>
            <w:r>
              <w:rPr>
                <w:kern w:val="0"/>
                <w:sz w:val="21"/>
                <w:szCs w:val="21"/>
                <w:highlight w:val="black"/>
              </w:rPr>
              <w:t>31.24</w:t>
            </w:r>
          </w:p>
        </w:tc>
        <w:tc>
          <w:tcPr>
            <w:tcW w:w="847" w:type="dxa"/>
            <w:tcBorders>
              <w:tl2br w:val="nil"/>
              <w:tr2bl w:val="nil"/>
            </w:tcBorders>
            <w:shd w:val="clear" w:color="auto" w:fill="auto"/>
            <w:vAlign w:val="center"/>
          </w:tcPr>
          <w:p w14:paraId="3D6A6401">
            <w:pPr>
              <w:widowControl/>
              <w:spacing w:line="240" w:lineRule="auto"/>
              <w:ind w:firstLine="0" w:firstLineChars="0"/>
              <w:jc w:val="center"/>
              <w:rPr>
                <w:kern w:val="0"/>
                <w:sz w:val="21"/>
                <w:szCs w:val="21"/>
                <w:highlight w:val="black"/>
              </w:rPr>
            </w:pPr>
            <w:r>
              <w:rPr>
                <w:kern w:val="0"/>
                <w:sz w:val="21"/>
                <w:szCs w:val="21"/>
                <w:highlight w:val="black"/>
              </w:rPr>
              <w:t>23.67</w:t>
            </w:r>
          </w:p>
        </w:tc>
        <w:tc>
          <w:tcPr>
            <w:tcW w:w="1234" w:type="dxa"/>
            <w:tcBorders>
              <w:tl2br w:val="nil"/>
              <w:tr2bl w:val="nil"/>
            </w:tcBorders>
            <w:shd w:val="clear" w:color="auto" w:fill="auto"/>
            <w:vAlign w:val="center"/>
          </w:tcPr>
          <w:p w14:paraId="358B460B">
            <w:pPr>
              <w:widowControl/>
              <w:spacing w:line="240" w:lineRule="auto"/>
              <w:ind w:firstLine="0" w:firstLineChars="0"/>
              <w:jc w:val="center"/>
              <w:rPr>
                <w:kern w:val="0"/>
                <w:sz w:val="21"/>
                <w:szCs w:val="21"/>
                <w:highlight w:val="black"/>
              </w:rPr>
            </w:pPr>
            <w:r>
              <w:rPr>
                <w:kern w:val="0"/>
                <w:sz w:val="21"/>
                <w:szCs w:val="21"/>
                <w:highlight w:val="black"/>
              </w:rPr>
              <w:t>142</w:t>
            </w:r>
            <w:r>
              <w:rPr>
                <w:rFonts w:hint="eastAsia"/>
                <w:kern w:val="0"/>
                <w:sz w:val="21"/>
                <w:szCs w:val="21"/>
                <w:highlight w:val="black"/>
              </w:rPr>
              <w:t>~</w:t>
            </w:r>
            <w:r>
              <w:rPr>
                <w:kern w:val="0"/>
                <w:sz w:val="21"/>
                <w:szCs w:val="21"/>
                <w:highlight w:val="black"/>
              </w:rPr>
              <w:t>166</w:t>
            </w:r>
          </w:p>
        </w:tc>
        <w:tc>
          <w:tcPr>
            <w:tcW w:w="503" w:type="dxa"/>
            <w:tcBorders>
              <w:tl2br w:val="nil"/>
              <w:tr2bl w:val="nil"/>
            </w:tcBorders>
            <w:shd w:val="clear" w:color="auto" w:fill="auto"/>
            <w:noWrap/>
            <w:vAlign w:val="center"/>
          </w:tcPr>
          <w:p w14:paraId="3B0AD901">
            <w:pPr>
              <w:widowControl/>
              <w:spacing w:line="240" w:lineRule="auto"/>
              <w:ind w:firstLine="0" w:firstLineChars="0"/>
              <w:jc w:val="center"/>
              <w:rPr>
                <w:kern w:val="0"/>
                <w:sz w:val="21"/>
                <w:szCs w:val="21"/>
                <w:highlight w:val="black"/>
              </w:rPr>
            </w:pPr>
            <w:r>
              <w:rPr>
                <w:kern w:val="0"/>
                <w:sz w:val="21"/>
                <w:szCs w:val="21"/>
                <w:highlight w:val="black"/>
              </w:rPr>
              <w:t>13</w:t>
            </w:r>
          </w:p>
        </w:tc>
        <w:tc>
          <w:tcPr>
            <w:tcW w:w="560" w:type="dxa"/>
            <w:tcBorders>
              <w:tl2br w:val="nil"/>
              <w:tr2bl w:val="nil"/>
            </w:tcBorders>
            <w:shd w:val="clear" w:color="auto" w:fill="auto"/>
            <w:noWrap/>
            <w:vAlign w:val="center"/>
          </w:tcPr>
          <w:p w14:paraId="2A33E05E">
            <w:pPr>
              <w:widowControl/>
              <w:spacing w:line="240" w:lineRule="auto"/>
              <w:ind w:firstLine="0" w:firstLineChars="0"/>
              <w:jc w:val="center"/>
              <w:rPr>
                <w:kern w:val="0"/>
                <w:sz w:val="21"/>
                <w:szCs w:val="21"/>
                <w:highlight w:val="black"/>
              </w:rPr>
            </w:pPr>
            <w:r>
              <w:rPr>
                <w:kern w:val="0"/>
                <w:sz w:val="21"/>
                <w:szCs w:val="21"/>
                <w:highlight w:val="black"/>
              </w:rPr>
              <w:t>42</w:t>
            </w:r>
          </w:p>
        </w:tc>
      </w:tr>
      <w:tr w14:paraId="25F83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01B5F86A">
            <w:pPr>
              <w:widowControl/>
              <w:spacing w:line="240" w:lineRule="auto"/>
              <w:ind w:firstLine="0" w:firstLineChars="0"/>
              <w:jc w:val="center"/>
              <w:rPr>
                <w:kern w:val="0"/>
                <w:sz w:val="21"/>
                <w:szCs w:val="21"/>
                <w:highlight w:val="black"/>
              </w:rPr>
            </w:pPr>
            <w:r>
              <w:rPr>
                <w:kern w:val="0"/>
                <w:sz w:val="21"/>
                <w:szCs w:val="21"/>
                <w:highlight w:val="black"/>
              </w:rPr>
              <w:t>3</w:t>
            </w:r>
          </w:p>
        </w:tc>
        <w:tc>
          <w:tcPr>
            <w:tcW w:w="686" w:type="dxa"/>
            <w:tcBorders>
              <w:tl2br w:val="nil"/>
              <w:tr2bl w:val="nil"/>
            </w:tcBorders>
            <w:shd w:val="clear" w:color="auto" w:fill="auto"/>
            <w:noWrap/>
            <w:vAlign w:val="center"/>
          </w:tcPr>
          <w:p w14:paraId="3D07B3D4">
            <w:pPr>
              <w:widowControl/>
              <w:spacing w:line="240" w:lineRule="auto"/>
              <w:ind w:firstLine="0" w:firstLineChars="0"/>
              <w:jc w:val="center"/>
              <w:rPr>
                <w:kern w:val="0"/>
                <w:sz w:val="21"/>
                <w:szCs w:val="21"/>
                <w:highlight w:val="black"/>
              </w:rPr>
            </w:pPr>
            <w:r>
              <w:rPr>
                <w:kern w:val="0"/>
                <w:sz w:val="21"/>
                <w:szCs w:val="21"/>
                <w:highlight w:val="black"/>
              </w:rPr>
              <w:t>Fe4-2</w:t>
            </w:r>
          </w:p>
        </w:tc>
        <w:tc>
          <w:tcPr>
            <w:tcW w:w="605" w:type="dxa"/>
            <w:tcBorders>
              <w:tl2br w:val="nil"/>
              <w:tr2bl w:val="nil"/>
            </w:tcBorders>
            <w:shd w:val="clear" w:color="auto" w:fill="auto"/>
            <w:noWrap/>
            <w:vAlign w:val="center"/>
          </w:tcPr>
          <w:p w14:paraId="6B8AA422">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40C78E35">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42A769C9">
            <w:pPr>
              <w:widowControl/>
              <w:spacing w:line="240" w:lineRule="auto"/>
              <w:ind w:firstLine="0" w:firstLineChars="0"/>
              <w:jc w:val="center"/>
              <w:rPr>
                <w:kern w:val="0"/>
                <w:sz w:val="21"/>
                <w:szCs w:val="21"/>
                <w:highlight w:val="black"/>
              </w:rPr>
            </w:pPr>
            <w:r>
              <w:rPr>
                <w:kern w:val="0"/>
                <w:sz w:val="21"/>
                <w:szCs w:val="21"/>
                <w:highlight w:val="black"/>
              </w:rPr>
              <w:t>斜长角闪片麻岩、二长花岗片麻岩</w:t>
            </w:r>
          </w:p>
        </w:tc>
        <w:tc>
          <w:tcPr>
            <w:tcW w:w="622" w:type="dxa"/>
            <w:tcBorders>
              <w:tl2br w:val="nil"/>
              <w:tr2bl w:val="nil"/>
            </w:tcBorders>
            <w:shd w:val="clear" w:color="auto" w:fill="auto"/>
            <w:noWrap/>
            <w:vAlign w:val="center"/>
          </w:tcPr>
          <w:p w14:paraId="2B921864">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17</w:t>
            </w:r>
          </w:p>
        </w:tc>
        <w:tc>
          <w:tcPr>
            <w:tcW w:w="559" w:type="dxa"/>
            <w:tcBorders>
              <w:tl2br w:val="nil"/>
              <w:tr2bl w:val="nil"/>
            </w:tcBorders>
            <w:shd w:val="clear" w:color="auto" w:fill="auto"/>
            <w:noWrap/>
            <w:vAlign w:val="center"/>
          </w:tcPr>
          <w:p w14:paraId="1EBE7C09">
            <w:pPr>
              <w:widowControl/>
              <w:spacing w:line="240" w:lineRule="auto"/>
              <w:ind w:firstLine="0" w:firstLineChars="0"/>
              <w:jc w:val="center"/>
              <w:rPr>
                <w:kern w:val="0"/>
                <w:sz w:val="21"/>
                <w:szCs w:val="21"/>
                <w:highlight w:val="black"/>
              </w:rPr>
            </w:pPr>
            <w:r>
              <w:rPr>
                <w:kern w:val="0"/>
                <w:sz w:val="21"/>
                <w:szCs w:val="21"/>
                <w:highlight w:val="black"/>
              </w:rPr>
              <w:t>240</w:t>
            </w:r>
          </w:p>
        </w:tc>
        <w:tc>
          <w:tcPr>
            <w:tcW w:w="622" w:type="dxa"/>
            <w:tcBorders>
              <w:tl2br w:val="nil"/>
              <w:tr2bl w:val="nil"/>
            </w:tcBorders>
            <w:shd w:val="clear" w:color="auto" w:fill="auto"/>
            <w:noWrap/>
            <w:vAlign w:val="center"/>
          </w:tcPr>
          <w:p w14:paraId="0CA93898">
            <w:pPr>
              <w:widowControl/>
              <w:spacing w:line="240" w:lineRule="auto"/>
              <w:ind w:firstLine="0" w:firstLineChars="0"/>
              <w:jc w:val="center"/>
              <w:rPr>
                <w:kern w:val="0"/>
                <w:sz w:val="21"/>
                <w:szCs w:val="21"/>
                <w:highlight w:val="black"/>
              </w:rPr>
            </w:pPr>
            <w:r>
              <w:rPr>
                <w:kern w:val="0"/>
                <w:sz w:val="21"/>
                <w:szCs w:val="21"/>
                <w:highlight w:val="black"/>
              </w:rPr>
              <w:t>208</w:t>
            </w:r>
          </w:p>
        </w:tc>
        <w:tc>
          <w:tcPr>
            <w:tcW w:w="613" w:type="dxa"/>
            <w:tcBorders>
              <w:tl2br w:val="nil"/>
              <w:tr2bl w:val="nil"/>
            </w:tcBorders>
            <w:shd w:val="clear" w:color="auto" w:fill="auto"/>
            <w:noWrap/>
            <w:vAlign w:val="center"/>
          </w:tcPr>
          <w:p w14:paraId="52ECD218">
            <w:pPr>
              <w:widowControl/>
              <w:spacing w:line="240" w:lineRule="auto"/>
              <w:ind w:firstLine="0" w:firstLineChars="0"/>
              <w:jc w:val="center"/>
              <w:rPr>
                <w:kern w:val="0"/>
                <w:sz w:val="21"/>
                <w:szCs w:val="21"/>
                <w:highlight w:val="black"/>
              </w:rPr>
            </w:pPr>
            <w:r>
              <w:rPr>
                <w:kern w:val="0"/>
                <w:sz w:val="21"/>
                <w:szCs w:val="21"/>
                <w:highlight w:val="black"/>
              </w:rPr>
              <w:t>1.91</w:t>
            </w:r>
          </w:p>
        </w:tc>
        <w:tc>
          <w:tcPr>
            <w:tcW w:w="613" w:type="dxa"/>
            <w:tcBorders>
              <w:tl2br w:val="nil"/>
              <w:tr2bl w:val="nil"/>
            </w:tcBorders>
            <w:shd w:val="clear" w:color="auto" w:fill="auto"/>
            <w:noWrap/>
            <w:vAlign w:val="center"/>
          </w:tcPr>
          <w:p w14:paraId="6244C95E">
            <w:pPr>
              <w:widowControl/>
              <w:spacing w:line="240" w:lineRule="auto"/>
              <w:ind w:firstLine="0" w:firstLineChars="0"/>
              <w:jc w:val="center"/>
              <w:rPr>
                <w:kern w:val="0"/>
                <w:sz w:val="21"/>
                <w:szCs w:val="21"/>
                <w:highlight w:val="black"/>
              </w:rPr>
            </w:pPr>
            <w:r>
              <w:rPr>
                <w:kern w:val="0"/>
                <w:sz w:val="21"/>
                <w:szCs w:val="21"/>
                <w:highlight w:val="black"/>
              </w:rPr>
              <w:t>29.24</w:t>
            </w:r>
          </w:p>
        </w:tc>
        <w:tc>
          <w:tcPr>
            <w:tcW w:w="847" w:type="dxa"/>
            <w:tcBorders>
              <w:tl2br w:val="nil"/>
              <w:tr2bl w:val="nil"/>
            </w:tcBorders>
            <w:shd w:val="clear" w:color="auto" w:fill="auto"/>
            <w:noWrap/>
            <w:vAlign w:val="center"/>
          </w:tcPr>
          <w:p w14:paraId="03EE1583">
            <w:pPr>
              <w:widowControl/>
              <w:spacing w:line="240" w:lineRule="auto"/>
              <w:ind w:firstLine="0" w:firstLineChars="0"/>
              <w:jc w:val="center"/>
              <w:rPr>
                <w:kern w:val="0"/>
                <w:sz w:val="21"/>
                <w:szCs w:val="21"/>
                <w:highlight w:val="black"/>
              </w:rPr>
            </w:pPr>
            <w:r>
              <w:rPr>
                <w:kern w:val="0"/>
                <w:sz w:val="21"/>
                <w:szCs w:val="21"/>
                <w:highlight w:val="black"/>
              </w:rPr>
              <w:t>24.27</w:t>
            </w:r>
          </w:p>
        </w:tc>
        <w:tc>
          <w:tcPr>
            <w:tcW w:w="1234" w:type="dxa"/>
            <w:tcBorders>
              <w:tl2br w:val="nil"/>
              <w:tr2bl w:val="nil"/>
            </w:tcBorders>
            <w:shd w:val="clear" w:color="auto" w:fill="auto"/>
            <w:vAlign w:val="center"/>
          </w:tcPr>
          <w:p w14:paraId="5FBBE774">
            <w:pPr>
              <w:widowControl/>
              <w:spacing w:line="240" w:lineRule="auto"/>
              <w:ind w:firstLine="0" w:firstLineChars="0"/>
              <w:jc w:val="center"/>
              <w:rPr>
                <w:kern w:val="0"/>
                <w:sz w:val="21"/>
                <w:szCs w:val="21"/>
                <w:highlight w:val="black"/>
              </w:rPr>
            </w:pPr>
            <w:r>
              <w:rPr>
                <w:kern w:val="0"/>
                <w:sz w:val="21"/>
                <w:szCs w:val="21"/>
                <w:highlight w:val="black"/>
              </w:rPr>
              <w:t>99.8</w:t>
            </w:r>
            <w:r>
              <w:rPr>
                <w:rFonts w:hint="eastAsia"/>
                <w:kern w:val="0"/>
                <w:sz w:val="21"/>
                <w:szCs w:val="21"/>
                <w:highlight w:val="black"/>
              </w:rPr>
              <w:t>~</w:t>
            </w:r>
            <w:r>
              <w:rPr>
                <w:kern w:val="0"/>
                <w:sz w:val="21"/>
                <w:szCs w:val="21"/>
                <w:highlight w:val="black"/>
              </w:rPr>
              <w:t>186</w:t>
            </w:r>
          </w:p>
        </w:tc>
        <w:tc>
          <w:tcPr>
            <w:tcW w:w="503" w:type="dxa"/>
            <w:tcBorders>
              <w:tl2br w:val="nil"/>
              <w:tr2bl w:val="nil"/>
            </w:tcBorders>
            <w:shd w:val="clear" w:color="auto" w:fill="auto"/>
            <w:noWrap/>
            <w:vAlign w:val="center"/>
          </w:tcPr>
          <w:p w14:paraId="46AB3511">
            <w:pPr>
              <w:widowControl/>
              <w:spacing w:line="240" w:lineRule="auto"/>
              <w:ind w:firstLine="0" w:firstLineChars="0"/>
              <w:jc w:val="center"/>
              <w:rPr>
                <w:kern w:val="0"/>
                <w:sz w:val="21"/>
                <w:szCs w:val="21"/>
                <w:highlight w:val="black"/>
              </w:rPr>
            </w:pPr>
            <w:r>
              <w:rPr>
                <w:kern w:val="0"/>
                <w:sz w:val="21"/>
                <w:szCs w:val="21"/>
                <w:highlight w:val="black"/>
              </w:rPr>
              <w:t>10</w:t>
            </w:r>
          </w:p>
        </w:tc>
        <w:tc>
          <w:tcPr>
            <w:tcW w:w="560" w:type="dxa"/>
            <w:tcBorders>
              <w:tl2br w:val="nil"/>
              <w:tr2bl w:val="nil"/>
            </w:tcBorders>
            <w:shd w:val="clear" w:color="auto" w:fill="auto"/>
            <w:noWrap/>
            <w:vAlign w:val="center"/>
          </w:tcPr>
          <w:p w14:paraId="311FA48B">
            <w:pPr>
              <w:widowControl/>
              <w:spacing w:line="240" w:lineRule="auto"/>
              <w:ind w:firstLine="0" w:firstLineChars="0"/>
              <w:jc w:val="center"/>
              <w:rPr>
                <w:kern w:val="0"/>
                <w:sz w:val="21"/>
                <w:szCs w:val="21"/>
                <w:highlight w:val="black"/>
              </w:rPr>
            </w:pPr>
            <w:r>
              <w:rPr>
                <w:kern w:val="0"/>
                <w:sz w:val="21"/>
                <w:szCs w:val="21"/>
                <w:highlight w:val="black"/>
              </w:rPr>
              <w:t>140</w:t>
            </w:r>
          </w:p>
        </w:tc>
      </w:tr>
      <w:tr w14:paraId="423BC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3EE4FC9F">
            <w:pPr>
              <w:widowControl/>
              <w:spacing w:line="240" w:lineRule="auto"/>
              <w:ind w:firstLine="0" w:firstLineChars="0"/>
              <w:jc w:val="center"/>
              <w:rPr>
                <w:kern w:val="0"/>
                <w:sz w:val="21"/>
                <w:szCs w:val="21"/>
                <w:highlight w:val="black"/>
              </w:rPr>
            </w:pPr>
            <w:r>
              <w:rPr>
                <w:kern w:val="0"/>
                <w:sz w:val="21"/>
                <w:szCs w:val="21"/>
                <w:highlight w:val="black"/>
              </w:rPr>
              <w:t>4</w:t>
            </w:r>
          </w:p>
        </w:tc>
        <w:tc>
          <w:tcPr>
            <w:tcW w:w="686" w:type="dxa"/>
            <w:tcBorders>
              <w:tl2br w:val="nil"/>
              <w:tr2bl w:val="nil"/>
            </w:tcBorders>
            <w:shd w:val="clear" w:color="auto" w:fill="auto"/>
            <w:noWrap/>
            <w:vAlign w:val="center"/>
          </w:tcPr>
          <w:p w14:paraId="71BC47FC">
            <w:pPr>
              <w:widowControl/>
              <w:spacing w:line="240" w:lineRule="auto"/>
              <w:ind w:firstLine="0" w:firstLineChars="0"/>
              <w:jc w:val="center"/>
              <w:rPr>
                <w:kern w:val="0"/>
                <w:sz w:val="21"/>
                <w:szCs w:val="21"/>
                <w:highlight w:val="black"/>
              </w:rPr>
            </w:pPr>
            <w:r>
              <w:rPr>
                <w:kern w:val="0"/>
                <w:sz w:val="21"/>
                <w:szCs w:val="21"/>
                <w:highlight w:val="black"/>
              </w:rPr>
              <w:t>Fe4-3</w:t>
            </w:r>
          </w:p>
        </w:tc>
        <w:tc>
          <w:tcPr>
            <w:tcW w:w="605" w:type="dxa"/>
            <w:tcBorders>
              <w:tl2br w:val="nil"/>
              <w:tr2bl w:val="nil"/>
            </w:tcBorders>
            <w:shd w:val="clear" w:color="auto" w:fill="auto"/>
            <w:noWrap/>
            <w:vAlign w:val="center"/>
          </w:tcPr>
          <w:p w14:paraId="5F2281C9">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49D9E3F2">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470A9248">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7B9AA60D">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3</w:t>
            </w:r>
          </w:p>
        </w:tc>
        <w:tc>
          <w:tcPr>
            <w:tcW w:w="559" w:type="dxa"/>
            <w:tcBorders>
              <w:tl2br w:val="nil"/>
              <w:tr2bl w:val="nil"/>
            </w:tcBorders>
            <w:shd w:val="clear" w:color="auto" w:fill="auto"/>
            <w:noWrap/>
            <w:vAlign w:val="center"/>
          </w:tcPr>
          <w:p w14:paraId="76E12F04">
            <w:pPr>
              <w:widowControl/>
              <w:spacing w:line="240" w:lineRule="auto"/>
              <w:ind w:firstLine="0" w:firstLineChars="0"/>
              <w:jc w:val="center"/>
              <w:rPr>
                <w:kern w:val="0"/>
                <w:sz w:val="21"/>
                <w:szCs w:val="21"/>
                <w:highlight w:val="black"/>
              </w:rPr>
            </w:pPr>
            <w:r>
              <w:rPr>
                <w:kern w:val="0"/>
                <w:sz w:val="21"/>
                <w:szCs w:val="21"/>
                <w:highlight w:val="black"/>
              </w:rPr>
              <w:t>143</w:t>
            </w:r>
          </w:p>
        </w:tc>
        <w:tc>
          <w:tcPr>
            <w:tcW w:w="622" w:type="dxa"/>
            <w:tcBorders>
              <w:tl2br w:val="nil"/>
              <w:tr2bl w:val="nil"/>
            </w:tcBorders>
            <w:shd w:val="clear" w:color="auto" w:fill="auto"/>
            <w:noWrap/>
            <w:vAlign w:val="center"/>
          </w:tcPr>
          <w:p w14:paraId="37D594AE">
            <w:pPr>
              <w:widowControl/>
              <w:spacing w:line="240" w:lineRule="auto"/>
              <w:ind w:firstLine="0" w:firstLineChars="0"/>
              <w:jc w:val="center"/>
              <w:rPr>
                <w:kern w:val="0"/>
                <w:sz w:val="21"/>
                <w:szCs w:val="21"/>
                <w:highlight w:val="black"/>
              </w:rPr>
            </w:pPr>
            <w:r>
              <w:rPr>
                <w:kern w:val="0"/>
                <w:sz w:val="21"/>
                <w:szCs w:val="21"/>
                <w:highlight w:val="black"/>
              </w:rPr>
              <w:t>143</w:t>
            </w:r>
          </w:p>
        </w:tc>
        <w:tc>
          <w:tcPr>
            <w:tcW w:w="613" w:type="dxa"/>
            <w:tcBorders>
              <w:tl2br w:val="nil"/>
              <w:tr2bl w:val="nil"/>
            </w:tcBorders>
            <w:shd w:val="clear" w:color="auto" w:fill="auto"/>
            <w:noWrap/>
            <w:vAlign w:val="center"/>
          </w:tcPr>
          <w:p w14:paraId="17B5A42A">
            <w:pPr>
              <w:widowControl/>
              <w:spacing w:line="240" w:lineRule="auto"/>
              <w:ind w:firstLine="0" w:firstLineChars="0"/>
              <w:jc w:val="center"/>
              <w:rPr>
                <w:kern w:val="0"/>
                <w:sz w:val="21"/>
                <w:szCs w:val="21"/>
                <w:highlight w:val="black"/>
              </w:rPr>
            </w:pPr>
            <w:r>
              <w:rPr>
                <w:kern w:val="0"/>
                <w:sz w:val="21"/>
                <w:szCs w:val="21"/>
                <w:highlight w:val="black"/>
              </w:rPr>
              <w:t>2.32</w:t>
            </w:r>
          </w:p>
        </w:tc>
        <w:tc>
          <w:tcPr>
            <w:tcW w:w="613" w:type="dxa"/>
            <w:tcBorders>
              <w:tl2br w:val="nil"/>
              <w:tr2bl w:val="nil"/>
            </w:tcBorders>
            <w:shd w:val="clear" w:color="auto" w:fill="auto"/>
            <w:noWrap/>
            <w:vAlign w:val="center"/>
          </w:tcPr>
          <w:p w14:paraId="2E67A7A4">
            <w:pPr>
              <w:widowControl/>
              <w:spacing w:line="240" w:lineRule="auto"/>
              <w:ind w:firstLine="0" w:firstLineChars="0"/>
              <w:jc w:val="center"/>
              <w:rPr>
                <w:kern w:val="0"/>
                <w:sz w:val="21"/>
                <w:szCs w:val="21"/>
                <w:highlight w:val="black"/>
              </w:rPr>
            </w:pPr>
            <w:r>
              <w:rPr>
                <w:kern w:val="0"/>
                <w:sz w:val="21"/>
                <w:szCs w:val="21"/>
                <w:highlight w:val="black"/>
              </w:rPr>
              <w:t>34.38</w:t>
            </w:r>
          </w:p>
        </w:tc>
        <w:tc>
          <w:tcPr>
            <w:tcW w:w="847" w:type="dxa"/>
            <w:tcBorders>
              <w:tl2br w:val="nil"/>
              <w:tr2bl w:val="nil"/>
            </w:tcBorders>
            <w:shd w:val="clear" w:color="auto" w:fill="auto"/>
            <w:noWrap/>
            <w:vAlign w:val="center"/>
          </w:tcPr>
          <w:p w14:paraId="599703E3">
            <w:pPr>
              <w:widowControl/>
              <w:spacing w:line="240" w:lineRule="auto"/>
              <w:ind w:firstLine="0" w:firstLineChars="0"/>
              <w:jc w:val="center"/>
              <w:rPr>
                <w:kern w:val="0"/>
                <w:sz w:val="21"/>
                <w:szCs w:val="21"/>
                <w:highlight w:val="black"/>
              </w:rPr>
            </w:pPr>
            <w:r>
              <w:rPr>
                <w:kern w:val="0"/>
                <w:sz w:val="21"/>
                <w:szCs w:val="21"/>
                <w:highlight w:val="black"/>
              </w:rPr>
              <w:t>25.03</w:t>
            </w:r>
          </w:p>
        </w:tc>
        <w:tc>
          <w:tcPr>
            <w:tcW w:w="1234" w:type="dxa"/>
            <w:tcBorders>
              <w:tl2br w:val="nil"/>
              <w:tr2bl w:val="nil"/>
            </w:tcBorders>
            <w:shd w:val="clear" w:color="auto" w:fill="auto"/>
            <w:vAlign w:val="center"/>
          </w:tcPr>
          <w:p w14:paraId="117CF5FB">
            <w:pPr>
              <w:widowControl/>
              <w:spacing w:line="240" w:lineRule="auto"/>
              <w:ind w:firstLine="0" w:firstLineChars="0"/>
              <w:jc w:val="center"/>
              <w:rPr>
                <w:kern w:val="0"/>
                <w:sz w:val="21"/>
                <w:szCs w:val="21"/>
                <w:highlight w:val="black"/>
              </w:rPr>
            </w:pPr>
            <w:r>
              <w:rPr>
                <w:kern w:val="0"/>
                <w:sz w:val="21"/>
                <w:szCs w:val="21"/>
                <w:highlight w:val="black"/>
              </w:rPr>
              <w:t>33</w:t>
            </w:r>
            <w:r>
              <w:rPr>
                <w:rFonts w:hint="eastAsia"/>
                <w:kern w:val="0"/>
                <w:sz w:val="21"/>
                <w:szCs w:val="21"/>
                <w:highlight w:val="black"/>
              </w:rPr>
              <w:t>~</w:t>
            </w:r>
            <w:r>
              <w:rPr>
                <w:kern w:val="0"/>
                <w:sz w:val="21"/>
                <w:szCs w:val="21"/>
                <w:highlight w:val="black"/>
              </w:rPr>
              <w:t>41</w:t>
            </w:r>
          </w:p>
        </w:tc>
        <w:tc>
          <w:tcPr>
            <w:tcW w:w="503" w:type="dxa"/>
            <w:tcBorders>
              <w:tl2br w:val="nil"/>
              <w:tr2bl w:val="nil"/>
            </w:tcBorders>
            <w:shd w:val="clear" w:color="auto" w:fill="auto"/>
            <w:noWrap/>
            <w:vAlign w:val="center"/>
          </w:tcPr>
          <w:p w14:paraId="01F561D9">
            <w:pPr>
              <w:widowControl/>
              <w:spacing w:line="240" w:lineRule="auto"/>
              <w:ind w:firstLine="0" w:firstLineChars="0"/>
              <w:jc w:val="center"/>
              <w:rPr>
                <w:kern w:val="0"/>
                <w:sz w:val="21"/>
                <w:szCs w:val="21"/>
                <w:highlight w:val="black"/>
              </w:rPr>
            </w:pPr>
            <w:r>
              <w:rPr>
                <w:kern w:val="0"/>
                <w:sz w:val="21"/>
                <w:szCs w:val="21"/>
                <w:highlight w:val="black"/>
              </w:rPr>
              <w:t>129</w:t>
            </w:r>
          </w:p>
        </w:tc>
        <w:tc>
          <w:tcPr>
            <w:tcW w:w="560" w:type="dxa"/>
            <w:tcBorders>
              <w:tl2br w:val="nil"/>
              <w:tr2bl w:val="nil"/>
            </w:tcBorders>
            <w:shd w:val="clear" w:color="auto" w:fill="auto"/>
            <w:noWrap/>
            <w:vAlign w:val="center"/>
          </w:tcPr>
          <w:p w14:paraId="3DB77622">
            <w:pPr>
              <w:widowControl/>
              <w:spacing w:line="240" w:lineRule="auto"/>
              <w:ind w:firstLine="0" w:firstLineChars="0"/>
              <w:jc w:val="center"/>
              <w:rPr>
                <w:kern w:val="0"/>
                <w:sz w:val="21"/>
                <w:szCs w:val="21"/>
                <w:highlight w:val="black"/>
              </w:rPr>
            </w:pPr>
            <w:r>
              <w:rPr>
                <w:kern w:val="0"/>
                <w:sz w:val="21"/>
                <w:szCs w:val="21"/>
                <w:highlight w:val="black"/>
              </w:rPr>
              <w:t>151</w:t>
            </w:r>
          </w:p>
        </w:tc>
      </w:tr>
      <w:tr w14:paraId="57EB1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0A729EB4">
            <w:pPr>
              <w:widowControl/>
              <w:spacing w:line="240" w:lineRule="auto"/>
              <w:ind w:firstLine="0" w:firstLineChars="0"/>
              <w:jc w:val="center"/>
              <w:rPr>
                <w:kern w:val="0"/>
                <w:sz w:val="21"/>
                <w:szCs w:val="21"/>
                <w:highlight w:val="black"/>
              </w:rPr>
            </w:pPr>
            <w:r>
              <w:rPr>
                <w:kern w:val="0"/>
                <w:sz w:val="21"/>
                <w:szCs w:val="21"/>
                <w:highlight w:val="black"/>
              </w:rPr>
              <w:t>5</w:t>
            </w:r>
          </w:p>
        </w:tc>
        <w:tc>
          <w:tcPr>
            <w:tcW w:w="686" w:type="dxa"/>
            <w:tcBorders>
              <w:tl2br w:val="nil"/>
              <w:tr2bl w:val="nil"/>
            </w:tcBorders>
            <w:shd w:val="clear" w:color="auto" w:fill="auto"/>
            <w:noWrap/>
            <w:vAlign w:val="center"/>
          </w:tcPr>
          <w:p w14:paraId="6A3F28AB">
            <w:pPr>
              <w:widowControl/>
              <w:spacing w:line="240" w:lineRule="auto"/>
              <w:ind w:firstLine="0" w:firstLineChars="0"/>
              <w:jc w:val="center"/>
              <w:rPr>
                <w:kern w:val="0"/>
                <w:sz w:val="21"/>
                <w:szCs w:val="21"/>
                <w:highlight w:val="black"/>
              </w:rPr>
            </w:pPr>
            <w:r>
              <w:rPr>
                <w:kern w:val="0"/>
                <w:sz w:val="21"/>
                <w:szCs w:val="21"/>
                <w:highlight w:val="black"/>
              </w:rPr>
              <w:t>Fe4-4</w:t>
            </w:r>
          </w:p>
        </w:tc>
        <w:tc>
          <w:tcPr>
            <w:tcW w:w="605" w:type="dxa"/>
            <w:tcBorders>
              <w:tl2br w:val="nil"/>
              <w:tr2bl w:val="nil"/>
            </w:tcBorders>
            <w:shd w:val="clear" w:color="auto" w:fill="auto"/>
            <w:noWrap/>
            <w:vAlign w:val="center"/>
          </w:tcPr>
          <w:p w14:paraId="14081AB1">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15F4A15D">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64DF34F0">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61FED851">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35</w:t>
            </w:r>
          </w:p>
        </w:tc>
        <w:tc>
          <w:tcPr>
            <w:tcW w:w="559" w:type="dxa"/>
            <w:tcBorders>
              <w:tl2br w:val="nil"/>
              <w:tr2bl w:val="nil"/>
            </w:tcBorders>
            <w:shd w:val="clear" w:color="auto" w:fill="auto"/>
            <w:noWrap/>
            <w:vAlign w:val="center"/>
          </w:tcPr>
          <w:p w14:paraId="08BD824E">
            <w:pPr>
              <w:widowControl/>
              <w:spacing w:line="240" w:lineRule="auto"/>
              <w:ind w:firstLine="0" w:firstLineChars="0"/>
              <w:jc w:val="center"/>
              <w:rPr>
                <w:kern w:val="0"/>
                <w:sz w:val="21"/>
                <w:szCs w:val="21"/>
                <w:highlight w:val="black"/>
              </w:rPr>
            </w:pPr>
            <w:r>
              <w:rPr>
                <w:kern w:val="0"/>
                <w:sz w:val="21"/>
                <w:szCs w:val="21"/>
                <w:highlight w:val="black"/>
              </w:rPr>
              <w:t>149</w:t>
            </w:r>
          </w:p>
        </w:tc>
        <w:tc>
          <w:tcPr>
            <w:tcW w:w="622" w:type="dxa"/>
            <w:tcBorders>
              <w:tl2br w:val="nil"/>
              <w:tr2bl w:val="nil"/>
            </w:tcBorders>
            <w:shd w:val="clear" w:color="auto" w:fill="auto"/>
            <w:noWrap/>
            <w:vAlign w:val="center"/>
          </w:tcPr>
          <w:p w14:paraId="693CACDF">
            <w:pPr>
              <w:widowControl/>
              <w:spacing w:line="240" w:lineRule="auto"/>
              <w:ind w:firstLine="0" w:firstLineChars="0"/>
              <w:jc w:val="center"/>
              <w:rPr>
                <w:kern w:val="0"/>
                <w:sz w:val="21"/>
                <w:szCs w:val="21"/>
                <w:highlight w:val="black"/>
              </w:rPr>
            </w:pPr>
            <w:r>
              <w:rPr>
                <w:kern w:val="0"/>
                <w:sz w:val="21"/>
                <w:szCs w:val="21"/>
                <w:highlight w:val="black"/>
              </w:rPr>
              <w:t>117</w:t>
            </w:r>
          </w:p>
        </w:tc>
        <w:tc>
          <w:tcPr>
            <w:tcW w:w="613" w:type="dxa"/>
            <w:tcBorders>
              <w:tl2br w:val="nil"/>
              <w:tr2bl w:val="nil"/>
            </w:tcBorders>
            <w:shd w:val="clear" w:color="auto" w:fill="auto"/>
            <w:noWrap/>
            <w:vAlign w:val="center"/>
          </w:tcPr>
          <w:p w14:paraId="57C0CC3D">
            <w:pPr>
              <w:widowControl/>
              <w:spacing w:line="240" w:lineRule="auto"/>
              <w:ind w:firstLine="0" w:firstLineChars="0"/>
              <w:jc w:val="center"/>
              <w:rPr>
                <w:kern w:val="0"/>
                <w:sz w:val="21"/>
                <w:szCs w:val="21"/>
                <w:highlight w:val="black"/>
              </w:rPr>
            </w:pPr>
            <w:r>
              <w:rPr>
                <w:kern w:val="0"/>
                <w:sz w:val="21"/>
                <w:szCs w:val="21"/>
                <w:highlight w:val="black"/>
              </w:rPr>
              <w:t>1.88</w:t>
            </w:r>
          </w:p>
        </w:tc>
        <w:tc>
          <w:tcPr>
            <w:tcW w:w="613" w:type="dxa"/>
            <w:tcBorders>
              <w:tl2br w:val="nil"/>
              <w:tr2bl w:val="nil"/>
            </w:tcBorders>
            <w:shd w:val="clear" w:color="auto" w:fill="auto"/>
            <w:noWrap/>
            <w:vAlign w:val="center"/>
          </w:tcPr>
          <w:p w14:paraId="1A682936">
            <w:pPr>
              <w:widowControl/>
              <w:spacing w:line="240" w:lineRule="auto"/>
              <w:ind w:firstLine="0" w:firstLineChars="0"/>
              <w:jc w:val="center"/>
              <w:rPr>
                <w:kern w:val="0"/>
                <w:sz w:val="21"/>
                <w:szCs w:val="21"/>
                <w:highlight w:val="black"/>
              </w:rPr>
            </w:pPr>
            <w:r>
              <w:rPr>
                <w:kern w:val="0"/>
                <w:sz w:val="21"/>
                <w:szCs w:val="21"/>
                <w:highlight w:val="black"/>
              </w:rPr>
              <w:t>32.21</w:t>
            </w:r>
          </w:p>
        </w:tc>
        <w:tc>
          <w:tcPr>
            <w:tcW w:w="847" w:type="dxa"/>
            <w:tcBorders>
              <w:tl2br w:val="nil"/>
              <w:tr2bl w:val="nil"/>
            </w:tcBorders>
            <w:shd w:val="clear" w:color="auto" w:fill="auto"/>
            <w:noWrap/>
            <w:vAlign w:val="center"/>
          </w:tcPr>
          <w:p w14:paraId="2901C96C">
            <w:pPr>
              <w:widowControl/>
              <w:spacing w:line="240" w:lineRule="auto"/>
              <w:ind w:firstLine="0" w:firstLineChars="0"/>
              <w:jc w:val="center"/>
              <w:rPr>
                <w:kern w:val="0"/>
                <w:sz w:val="21"/>
                <w:szCs w:val="21"/>
                <w:highlight w:val="black"/>
              </w:rPr>
            </w:pPr>
            <w:r>
              <w:rPr>
                <w:kern w:val="0"/>
                <w:sz w:val="21"/>
                <w:szCs w:val="21"/>
                <w:highlight w:val="black"/>
              </w:rPr>
              <w:t>27.82</w:t>
            </w:r>
          </w:p>
        </w:tc>
        <w:tc>
          <w:tcPr>
            <w:tcW w:w="1234" w:type="dxa"/>
            <w:tcBorders>
              <w:tl2br w:val="nil"/>
              <w:tr2bl w:val="nil"/>
            </w:tcBorders>
            <w:shd w:val="clear" w:color="auto" w:fill="auto"/>
            <w:vAlign w:val="center"/>
          </w:tcPr>
          <w:p w14:paraId="4498EEAE">
            <w:pPr>
              <w:widowControl/>
              <w:spacing w:line="240" w:lineRule="auto"/>
              <w:ind w:firstLine="0" w:firstLineChars="0"/>
              <w:jc w:val="center"/>
              <w:rPr>
                <w:kern w:val="0"/>
                <w:sz w:val="21"/>
                <w:szCs w:val="21"/>
                <w:highlight w:val="black"/>
              </w:rPr>
            </w:pPr>
            <w:r>
              <w:rPr>
                <w:kern w:val="0"/>
                <w:sz w:val="21"/>
                <w:szCs w:val="21"/>
                <w:highlight w:val="black"/>
              </w:rPr>
              <w:t>74</w:t>
            </w:r>
            <w:r>
              <w:rPr>
                <w:rFonts w:hint="eastAsia"/>
                <w:kern w:val="0"/>
                <w:sz w:val="21"/>
                <w:szCs w:val="21"/>
                <w:highlight w:val="black"/>
              </w:rPr>
              <w:t>~</w:t>
            </w:r>
            <w:r>
              <w:rPr>
                <w:kern w:val="0"/>
                <w:sz w:val="21"/>
                <w:szCs w:val="21"/>
                <w:highlight w:val="black"/>
              </w:rPr>
              <w:t>156</w:t>
            </w:r>
          </w:p>
        </w:tc>
        <w:tc>
          <w:tcPr>
            <w:tcW w:w="503" w:type="dxa"/>
            <w:tcBorders>
              <w:tl2br w:val="nil"/>
              <w:tr2bl w:val="nil"/>
            </w:tcBorders>
            <w:shd w:val="clear" w:color="auto" w:fill="auto"/>
            <w:noWrap/>
            <w:vAlign w:val="center"/>
          </w:tcPr>
          <w:p w14:paraId="3A0956C3">
            <w:pPr>
              <w:widowControl/>
              <w:spacing w:line="240" w:lineRule="auto"/>
              <w:ind w:firstLine="0" w:firstLineChars="0"/>
              <w:jc w:val="center"/>
              <w:rPr>
                <w:kern w:val="0"/>
                <w:sz w:val="21"/>
                <w:szCs w:val="21"/>
                <w:highlight w:val="black"/>
              </w:rPr>
            </w:pPr>
            <w:r>
              <w:rPr>
                <w:kern w:val="0"/>
                <w:sz w:val="21"/>
                <w:szCs w:val="21"/>
                <w:highlight w:val="black"/>
              </w:rPr>
              <w:t>43</w:t>
            </w:r>
          </w:p>
        </w:tc>
        <w:tc>
          <w:tcPr>
            <w:tcW w:w="560" w:type="dxa"/>
            <w:tcBorders>
              <w:tl2br w:val="nil"/>
              <w:tr2bl w:val="nil"/>
            </w:tcBorders>
            <w:shd w:val="clear" w:color="auto" w:fill="auto"/>
            <w:noWrap/>
            <w:vAlign w:val="center"/>
          </w:tcPr>
          <w:p w14:paraId="1352509B">
            <w:pPr>
              <w:widowControl/>
              <w:spacing w:line="240" w:lineRule="auto"/>
              <w:ind w:firstLine="0" w:firstLineChars="0"/>
              <w:jc w:val="center"/>
              <w:rPr>
                <w:kern w:val="0"/>
                <w:sz w:val="21"/>
                <w:szCs w:val="21"/>
                <w:highlight w:val="black"/>
              </w:rPr>
            </w:pPr>
            <w:r>
              <w:rPr>
                <w:kern w:val="0"/>
                <w:sz w:val="21"/>
                <w:szCs w:val="21"/>
                <w:highlight w:val="black"/>
              </w:rPr>
              <w:t>153</w:t>
            </w:r>
          </w:p>
        </w:tc>
      </w:tr>
      <w:tr w14:paraId="1A179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97" w:type="dxa"/>
            <w:tcBorders>
              <w:tl2br w:val="nil"/>
              <w:tr2bl w:val="nil"/>
            </w:tcBorders>
            <w:shd w:val="clear" w:color="auto" w:fill="auto"/>
            <w:noWrap/>
            <w:vAlign w:val="center"/>
          </w:tcPr>
          <w:p w14:paraId="7091F199">
            <w:pPr>
              <w:widowControl/>
              <w:spacing w:line="240" w:lineRule="auto"/>
              <w:ind w:firstLine="0" w:firstLineChars="0"/>
              <w:jc w:val="center"/>
              <w:rPr>
                <w:kern w:val="0"/>
                <w:sz w:val="21"/>
                <w:szCs w:val="21"/>
                <w:highlight w:val="black"/>
              </w:rPr>
            </w:pPr>
            <w:r>
              <w:rPr>
                <w:kern w:val="0"/>
                <w:sz w:val="21"/>
                <w:szCs w:val="21"/>
                <w:highlight w:val="black"/>
              </w:rPr>
              <w:t>6</w:t>
            </w:r>
          </w:p>
        </w:tc>
        <w:tc>
          <w:tcPr>
            <w:tcW w:w="686" w:type="dxa"/>
            <w:tcBorders>
              <w:tl2br w:val="nil"/>
              <w:tr2bl w:val="nil"/>
            </w:tcBorders>
            <w:shd w:val="clear" w:color="auto" w:fill="auto"/>
            <w:noWrap/>
            <w:vAlign w:val="center"/>
          </w:tcPr>
          <w:p w14:paraId="29EE6ECC">
            <w:pPr>
              <w:widowControl/>
              <w:spacing w:line="240" w:lineRule="auto"/>
              <w:ind w:firstLine="0" w:firstLineChars="0"/>
              <w:jc w:val="center"/>
              <w:rPr>
                <w:kern w:val="0"/>
                <w:sz w:val="21"/>
                <w:szCs w:val="21"/>
                <w:highlight w:val="black"/>
              </w:rPr>
            </w:pPr>
            <w:r>
              <w:rPr>
                <w:kern w:val="0"/>
                <w:sz w:val="21"/>
                <w:szCs w:val="21"/>
                <w:highlight w:val="black"/>
              </w:rPr>
              <w:t>Fe4-5</w:t>
            </w:r>
          </w:p>
        </w:tc>
        <w:tc>
          <w:tcPr>
            <w:tcW w:w="605" w:type="dxa"/>
            <w:tcBorders>
              <w:tl2br w:val="nil"/>
              <w:tr2bl w:val="nil"/>
            </w:tcBorders>
            <w:shd w:val="clear" w:color="auto" w:fill="auto"/>
            <w:noWrap/>
            <w:vAlign w:val="center"/>
          </w:tcPr>
          <w:p w14:paraId="3B1D5776">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6FB10B0D">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1096" w:type="dxa"/>
            <w:tcBorders>
              <w:tl2br w:val="nil"/>
              <w:tr2bl w:val="nil"/>
            </w:tcBorders>
            <w:shd w:val="clear" w:color="auto" w:fill="auto"/>
            <w:noWrap/>
            <w:vAlign w:val="center"/>
          </w:tcPr>
          <w:p w14:paraId="7601F2F9">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43D32109">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12</w:t>
            </w:r>
          </w:p>
        </w:tc>
        <w:tc>
          <w:tcPr>
            <w:tcW w:w="559" w:type="dxa"/>
            <w:tcBorders>
              <w:tl2br w:val="nil"/>
              <w:tr2bl w:val="nil"/>
            </w:tcBorders>
            <w:shd w:val="clear" w:color="auto" w:fill="auto"/>
            <w:noWrap/>
            <w:vAlign w:val="center"/>
          </w:tcPr>
          <w:p w14:paraId="15A72360">
            <w:pPr>
              <w:widowControl/>
              <w:spacing w:line="240" w:lineRule="auto"/>
              <w:ind w:firstLine="0" w:firstLineChars="0"/>
              <w:jc w:val="center"/>
              <w:rPr>
                <w:kern w:val="0"/>
                <w:sz w:val="21"/>
                <w:szCs w:val="21"/>
                <w:highlight w:val="black"/>
              </w:rPr>
            </w:pPr>
            <w:r>
              <w:rPr>
                <w:kern w:val="0"/>
                <w:sz w:val="21"/>
                <w:szCs w:val="21"/>
                <w:highlight w:val="black"/>
              </w:rPr>
              <w:t>144</w:t>
            </w:r>
          </w:p>
        </w:tc>
        <w:tc>
          <w:tcPr>
            <w:tcW w:w="622" w:type="dxa"/>
            <w:tcBorders>
              <w:tl2br w:val="nil"/>
              <w:tr2bl w:val="nil"/>
            </w:tcBorders>
            <w:shd w:val="clear" w:color="auto" w:fill="auto"/>
            <w:noWrap/>
            <w:vAlign w:val="center"/>
          </w:tcPr>
          <w:p w14:paraId="4804C9D4">
            <w:pPr>
              <w:widowControl/>
              <w:spacing w:line="240" w:lineRule="auto"/>
              <w:ind w:firstLine="0" w:firstLineChars="0"/>
              <w:jc w:val="center"/>
              <w:rPr>
                <w:kern w:val="0"/>
                <w:sz w:val="21"/>
                <w:szCs w:val="21"/>
                <w:highlight w:val="black"/>
              </w:rPr>
            </w:pPr>
            <w:r>
              <w:rPr>
                <w:kern w:val="0"/>
                <w:sz w:val="21"/>
                <w:szCs w:val="21"/>
                <w:highlight w:val="black"/>
              </w:rPr>
              <w:t>121</w:t>
            </w:r>
          </w:p>
        </w:tc>
        <w:tc>
          <w:tcPr>
            <w:tcW w:w="613" w:type="dxa"/>
            <w:tcBorders>
              <w:tl2br w:val="nil"/>
              <w:tr2bl w:val="nil"/>
            </w:tcBorders>
            <w:shd w:val="clear" w:color="auto" w:fill="auto"/>
            <w:noWrap/>
            <w:vAlign w:val="center"/>
          </w:tcPr>
          <w:p w14:paraId="7ABFAD71">
            <w:pPr>
              <w:widowControl/>
              <w:spacing w:line="240" w:lineRule="auto"/>
              <w:ind w:firstLine="0" w:firstLineChars="0"/>
              <w:jc w:val="center"/>
              <w:rPr>
                <w:kern w:val="0"/>
                <w:sz w:val="21"/>
                <w:szCs w:val="21"/>
                <w:highlight w:val="black"/>
              </w:rPr>
            </w:pPr>
            <w:r>
              <w:rPr>
                <w:kern w:val="0"/>
                <w:sz w:val="21"/>
                <w:szCs w:val="21"/>
                <w:highlight w:val="black"/>
              </w:rPr>
              <w:t>1.99</w:t>
            </w:r>
          </w:p>
        </w:tc>
        <w:tc>
          <w:tcPr>
            <w:tcW w:w="613" w:type="dxa"/>
            <w:tcBorders>
              <w:tl2br w:val="nil"/>
              <w:tr2bl w:val="nil"/>
            </w:tcBorders>
            <w:shd w:val="clear" w:color="auto" w:fill="auto"/>
            <w:noWrap/>
            <w:vAlign w:val="center"/>
          </w:tcPr>
          <w:p w14:paraId="266DC9AE">
            <w:pPr>
              <w:widowControl/>
              <w:spacing w:line="240" w:lineRule="auto"/>
              <w:ind w:firstLine="0" w:firstLineChars="0"/>
              <w:jc w:val="center"/>
              <w:rPr>
                <w:kern w:val="0"/>
                <w:sz w:val="21"/>
                <w:szCs w:val="21"/>
                <w:highlight w:val="black"/>
              </w:rPr>
            </w:pPr>
            <w:r>
              <w:rPr>
                <w:kern w:val="0"/>
                <w:sz w:val="21"/>
                <w:szCs w:val="21"/>
                <w:highlight w:val="black"/>
              </w:rPr>
              <w:t>27.58</w:t>
            </w:r>
          </w:p>
        </w:tc>
        <w:tc>
          <w:tcPr>
            <w:tcW w:w="847" w:type="dxa"/>
            <w:tcBorders>
              <w:tl2br w:val="nil"/>
              <w:tr2bl w:val="nil"/>
            </w:tcBorders>
            <w:shd w:val="clear" w:color="auto" w:fill="auto"/>
            <w:noWrap/>
            <w:vAlign w:val="center"/>
          </w:tcPr>
          <w:p w14:paraId="5CDED4FA">
            <w:pPr>
              <w:widowControl/>
              <w:spacing w:line="240" w:lineRule="auto"/>
              <w:ind w:firstLine="0" w:firstLineChars="0"/>
              <w:jc w:val="center"/>
              <w:rPr>
                <w:kern w:val="0"/>
                <w:sz w:val="21"/>
                <w:szCs w:val="21"/>
                <w:highlight w:val="black"/>
              </w:rPr>
            </w:pPr>
            <w:r>
              <w:rPr>
                <w:kern w:val="0"/>
                <w:sz w:val="21"/>
                <w:szCs w:val="21"/>
                <w:highlight w:val="black"/>
              </w:rPr>
              <w:t>21.78</w:t>
            </w:r>
          </w:p>
        </w:tc>
        <w:tc>
          <w:tcPr>
            <w:tcW w:w="1234" w:type="dxa"/>
            <w:tcBorders>
              <w:tl2br w:val="nil"/>
              <w:tr2bl w:val="nil"/>
            </w:tcBorders>
            <w:shd w:val="clear" w:color="auto" w:fill="auto"/>
            <w:vAlign w:val="center"/>
          </w:tcPr>
          <w:p w14:paraId="6B9D6092">
            <w:pPr>
              <w:widowControl/>
              <w:spacing w:line="240" w:lineRule="auto"/>
              <w:ind w:firstLine="0" w:firstLineChars="0"/>
              <w:jc w:val="center"/>
              <w:rPr>
                <w:kern w:val="0"/>
                <w:sz w:val="21"/>
                <w:szCs w:val="21"/>
                <w:highlight w:val="black"/>
              </w:rPr>
            </w:pPr>
            <w:r>
              <w:rPr>
                <w:kern w:val="0"/>
                <w:sz w:val="21"/>
                <w:szCs w:val="21"/>
                <w:highlight w:val="black"/>
              </w:rPr>
              <w:t>-28</w:t>
            </w:r>
            <w:r>
              <w:rPr>
                <w:rFonts w:hint="eastAsia"/>
                <w:kern w:val="0"/>
                <w:sz w:val="21"/>
                <w:szCs w:val="21"/>
                <w:highlight w:val="black"/>
              </w:rPr>
              <w:t>~</w:t>
            </w:r>
            <w:r>
              <w:rPr>
                <w:kern w:val="0"/>
                <w:sz w:val="21"/>
                <w:szCs w:val="21"/>
                <w:highlight w:val="black"/>
              </w:rPr>
              <w:t>37</w:t>
            </w:r>
          </w:p>
        </w:tc>
        <w:tc>
          <w:tcPr>
            <w:tcW w:w="503" w:type="dxa"/>
            <w:tcBorders>
              <w:tl2br w:val="nil"/>
              <w:tr2bl w:val="nil"/>
            </w:tcBorders>
            <w:shd w:val="clear" w:color="auto" w:fill="auto"/>
            <w:noWrap/>
            <w:vAlign w:val="center"/>
          </w:tcPr>
          <w:p w14:paraId="0F8EB482">
            <w:pPr>
              <w:widowControl/>
              <w:spacing w:line="240" w:lineRule="auto"/>
              <w:ind w:firstLine="0" w:firstLineChars="0"/>
              <w:jc w:val="center"/>
              <w:rPr>
                <w:kern w:val="0"/>
                <w:sz w:val="21"/>
                <w:szCs w:val="21"/>
                <w:highlight w:val="black"/>
              </w:rPr>
            </w:pPr>
            <w:r>
              <w:rPr>
                <w:kern w:val="0"/>
                <w:sz w:val="21"/>
                <w:szCs w:val="21"/>
                <w:highlight w:val="black"/>
              </w:rPr>
              <w:t>149</w:t>
            </w:r>
          </w:p>
        </w:tc>
        <w:tc>
          <w:tcPr>
            <w:tcW w:w="560" w:type="dxa"/>
            <w:tcBorders>
              <w:tl2br w:val="nil"/>
              <w:tr2bl w:val="nil"/>
            </w:tcBorders>
            <w:shd w:val="clear" w:color="auto" w:fill="auto"/>
            <w:noWrap/>
            <w:vAlign w:val="center"/>
          </w:tcPr>
          <w:p w14:paraId="70AF8F41">
            <w:pPr>
              <w:widowControl/>
              <w:spacing w:line="240" w:lineRule="auto"/>
              <w:ind w:firstLine="0" w:firstLineChars="0"/>
              <w:jc w:val="center"/>
              <w:rPr>
                <w:kern w:val="0"/>
                <w:sz w:val="21"/>
                <w:szCs w:val="21"/>
                <w:highlight w:val="black"/>
              </w:rPr>
            </w:pPr>
            <w:r>
              <w:rPr>
                <w:kern w:val="0"/>
                <w:sz w:val="21"/>
                <w:szCs w:val="21"/>
                <w:highlight w:val="black"/>
              </w:rPr>
              <w:t>233</w:t>
            </w:r>
          </w:p>
        </w:tc>
      </w:tr>
      <w:tr w14:paraId="283DF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16A2993C">
            <w:pPr>
              <w:widowControl/>
              <w:spacing w:line="240" w:lineRule="auto"/>
              <w:ind w:firstLine="0" w:firstLineChars="0"/>
              <w:jc w:val="center"/>
              <w:rPr>
                <w:kern w:val="0"/>
                <w:sz w:val="21"/>
                <w:szCs w:val="21"/>
                <w:highlight w:val="black"/>
              </w:rPr>
            </w:pPr>
            <w:r>
              <w:rPr>
                <w:kern w:val="0"/>
                <w:sz w:val="21"/>
                <w:szCs w:val="21"/>
                <w:highlight w:val="black"/>
              </w:rPr>
              <w:t>7</w:t>
            </w:r>
          </w:p>
        </w:tc>
        <w:tc>
          <w:tcPr>
            <w:tcW w:w="686" w:type="dxa"/>
            <w:tcBorders>
              <w:tl2br w:val="nil"/>
              <w:tr2bl w:val="nil"/>
            </w:tcBorders>
            <w:shd w:val="clear" w:color="auto" w:fill="auto"/>
            <w:noWrap/>
            <w:vAlign w:val="center"/>
          </w:tcPr>
          <w:p w14:paraId="76DD4FC9">
            <w:pPr>
              <w:widowControl/>
              <w:spacing w:line="240" w:lineRule="auto"/>
              <w:ind w:firstLine="0" w:firstLineChars="0"/>
              <w:jc w:val="center"/>
              <w:rPr>
                <w:kern w:val="0"/>
                <w:sz w:val="21"/>
                <w:szCs w:val="21"/>
                <w:highlight w:val="black"/>
              </w:rPr>
            </w:pPr>
            <w:r>
              <w:rPr>
                <w:kern w:val="0"/>
                <w:sz w:val="21"/>
                <w:szCs w:val="21"/>
                <w:highlight w:val="black"/>
              </w:rPr>
              <w:t>Fe4-6</w:t>
            </w:r>
          </w:p>
        </w:tc>
        <w:tc>
          <w:tcPr>
            <w:tcW w:w="605" w:type="dxa"/>
            <w:tcBorders>
              <w:tl2br w:val="nil"/>
              <w:tr2bl w:val="nil"/>
            </w:tcBorders>
            <w:shd w:val="clear" w:color="auto" w:fill="auto"/>
            <w:noWrap/>
            <w:vAlign w:val="center"/>
          </w:tcPr>
          <w:p w14:paraId="234ACCAE">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079AF007">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5DF6F496">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622" w:type="dxa"/>
            <w:tcBorders>
              <w:tl2br w:val="nil"/>
              <w:tr2bl w:val="nil"/>
            </w:tcBorders>
            <w:shd w:val="clear" w:color="auto" w:fill="auto"/>
            <w:noWrap/>
            <w:vAlign w:val="center"/>
          </w:tcPr>
          <w:p w14:paraId="66121999">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15</w:t>
            </w:r>
          </w:p>
        </w:tc>
        <w:tc>
          <w:tcPr>
            <w:tcW w:w="559" w:type="dxa"/>
            <w:tcBorders>
              <w:tl2br w:val="nil"/>
              <w:tr2bl w:val="nil"/>
            </w:tcBorders>
            <w:shd w:val="clear" w:color="auto" w:fill="auto"/>
            <w:noWrap/>
            <w:vAlign w:val="center"/>
          </w:tcPr>
          <w:p w14:paraId="5F6CED21">
            <w:pPr>
              <w:widowControl/>
              <w:spacing w:line="240" w:lineRule="auto"/>
              <w:ind w:firstLine="0" w:firstLineChars="0"/>
              <w:jc w:val="center"/>
              <w:rPr>
                <w:kern w:val="0"/>
                <w:sz w:val="21"/>
                <w:szCs w:val="21"/>
                <w:highlight w:val="black"/>
              </w:rPr>
            </w:pPr>
            <w:r>
              <w:rPr>
                <w:kern w:val="0"/>
                <w:sz w:val="21"/>
                <w:szCs w:val="21"/>
                <w:highlight w:val="black"/>
              </w:rPr>
              <w:t>143</w:t>
            </w:r>
          </w:p>
        </w:tc>
        <w:tc>
          <w:tcPr>
            <w:tcW w:w="622" w:type="dxa"/>
            <w:tcBorders>
              <w:tl2br w:val="nil"/>
              <w:tr2bl w:val="nil"/>
            </w:tcBorders>
            <w:shd w:val="clear" w:color="auto" w:fill="auto"/>
            <w:noWrap/>
            <w:vAlign w:val="center"/>
          </w:tcPr>
          <w:p w14:paraId="70D1F010">
            <w:pPr>
              <w:widowControl/>
              <w:spacing w:line="240" w:lineRule="auto"/>
              <w:ind w:firstLine="0" w:firstLineChars="0"/>
              <w:jc w:val="center"/>
              <w:rPr>
                <w:kern w:val="0"/>
                <w:sz w:val="21"/>
                <w:szCs w:val="21"/>
                <w:highlight w:val="black"/>
              </w:rPr>
            </w:pPr>
            <w:r>
              <w:rPr>
                <w:kern w:val="0"/>
                <w:sz w:val="21"/>
                <w:szCs w:val="21"/>
                <w:highlight w:val="black"/>
              </w:rPr>
              <w:t>123</w:t>
            </w:r>
          </w:p>
        </w:tc>
        <w:tc>
          <w:tcPr>
            <w:tcW w:w="613" w:type="dxa"/>
            <w:tcBorders>
              <w:tl2br w:val="nil"/>
              <w:tr2bl w:val="nil"/>
            </w:tcBorders>
            <w:shd w:val="clear" w:color="auto" w:fill="auto"/>
            <w:noWrap/>
            <w:vAlign w:val="center"/>
          </w:tcPr>
          <w:p w14:paraId="40F3974A">
            <w:pPr>
              <w:widowControl/>
              <w:spacing w:line="240" w:lineRule="auto"/>
              <w:ind w:firstLine="0" w:firstLineChars="0"/>
              <w:jc w:val="center"/>
              <w:rPr>
                <w:kern w:val="0"/>
                <w:sz w:val="21"/>
                <w:szCs w:val="21"/>
                <w:highlight w:val="black"/>
              </w:rPr>
            </w:pPr>
            <w:r>
              <w:rPr>
                <w:kern w:val="0"/>
                <w:sz w:val="21"/>
                <w:szCs w:val="21"/>
                <w:highlight w:val="black"/>
              </w:rPr>
              <w:t>2.32</w:t>
            </w:r>
          </w:p>
        </w:tc>
        <w:tc>
          <w:tcPr>
            <w:tcW w:w="613" w:type="dxa"/>
            <w:tcBorders>
              <w:tl2br w:val="nil"/>
              <w:tr2bl w:val="nil"/>
            </w:tcBorders>
            <w:shd w:val="clear" w:color="auto" w:fill="auto"/>
            <w:noWrap/>
            <w:vAlign w:val="center"/>
          </w:tcPr>
          <w:p w14:paraId="5BFFC6ED">
            <w:pPr>
              <w:widowControl/>
              <w:spacing w:line="240" w:lineRule="auto"/>
              <w:ind w:firstLine="0" w:firstLineChars="0"/>
              <w:jc w:val="center"/>
              <w:rPr>
                <w:kern w:val="0"/>
                <w:sz w:val="21"/>
                <w:szCs w:val="21"/>
                <w:highlight w:val="black"/>
              </w:rPr>
            </w:pPr>
            <w:r>
              <w:rPr>
                <w:kern w:val="0"/>
                <w:sz w:val="21"/>
                <w:szCs w:val="21"/>
                <w:highlight w:val="black"/>
              </w:rPr>
              <w:t>34.38</w:t>
            </w:r>
          </w:p>
        </w:tc>
        <w:tc>
          <w:tcPr>
            <w:tcW w:w="847" w:type="dxa"/>
            <w:tcBorders>
              <w:tl2br w:val="nil"/>
              <w:tr2bl w:val="nil"/>
            </w:tcBorders>
            <w:shd w:val="clear" w:color="auto" w:fill="auto"/>
            <w:noWrap/>
            <w:vAlign w:val="center"/>
          </w:tcPr>
          <w:p w14:paraId="7E7F5227">
            <w:pPr>
              <w:widowControl/>
              <w:spacing w:line="240" w:lineRule="auto"/>
              <w:ind w:firstLine="0" w:firstLineChars="0"/>
              <w:jc w:val="center"/>
              <w:rPr>
                <w:kern w:val="0"/>
                <w:sz w:val="21"/>
                <w:szCs w:val="21"/>
                <w:highlight w:val="black"/>
              </w:rPr>
            </w:pPr>
            <w:r>
              <w:rPr>
                <w:kern w:val="0"/>
                <w:sz w:val="21"/>
                <w:szCs w:val="21"/>
                <w:highlight w:val="black"/>
              </w:rPr>
              <w:t>25.03</w:t>
            </w:r>
          </w:p>
        </w:tc>
        <w:tc>
          <w:tcPr>
            <w:tcW w:w="1234" w:type="dxa"/>
            <w:tcBorders>
              <w:tl2br w:val="nil"/>
              <w:tr2bl w:val="nil"/>
            </w:tcBorders>
            <w:shd w:val="clear" w:color="auto" w:fill="auto"/>
            <w:vAlign w:val="center"/>
          </w:tcPr>
          <w:p w14:paraId="757F9D1F">
            <w:pPr>
              <w:widowControl/>
              <w:spacing w:line="240" w:lineRule="auto"/>
              <w:ind w:firstLine="0" w:firstLineChars="0"/>
              <w:jc w:val="center"/>
              <w:rPr>
                <w:kern w:val="0"/>
                <w:sz w:val="21"/>
                <w:szCs w:val="21"/>
                <w:highlight w:val="black"/>
              </w:rPr>
            </w:pPr>
            <w:r>
              <w:rPr>
                <w:kern w:val="0"/>
                <w:sz w:val="21"/>
                <w:szCs w:val="21"/>
                <w:highlight w:val="black"/>
              </w:rPr>
              <w:t>16</w:t>
            </w:r>
            <w:r>
              <w:rPr>
                <w:rFonts w:hint="eastAsia"/>
                <w:kern w:val="0"/>
                <w:sz w:val="21"/>
                <w:szCs w:val="21"/>
                <w:highlight w:val="black"/>
              </w:rPr>
              <w:t>~</w:t>
            </w:r>
            <w:r>
              <w:rPr>
                <w:kern w:val="0"/>
                <w:sz w:val="21"/>
                <w:szCs w:val="21"/>
                <w:highlight w:val="black"/>
              </w:rPr>
              <w:t>47</w:t>
            </w:r>
          </w:p>
        </w:tc>
        <w:tc>
          <w:tcPr>
            <w:tcW w:w="503" w:type="dxa"/>
            <w:tcBorders>
              <w:tl2br w:val="nil"/>
              <w:tr2bl w:val="nil"/>
            </w:tcBorders>
            <w:shd w:val="clear" w:color="auto" w:fill="auto"/>
            <w:noWrap/>
            <w:vAlign w:val="center"/>
          </w:tcPr>
          <w:p w14:paraId="3BBBB150">
            <w:pPr>
              <w:widowControl/>
              <w:spacing w:line="240" w:lineRule="auto"/>
              <w:ind w:firstLine="0" w:firstLineChars="0"/>
              <w:jc w:val="center"/>
              <w:rPr>
                <w:kern w:val="0"/>
                <w:sz w:val="21"/>
                <w:szCs w:val="21"/>
                <w:highlight w:val="black"/>
              </w:rPr>
            </w:pPr>
            <w:r>
              <w:rPr>
                <w:kern w:val="0"/>
                <w:sz w:val="21"/>
                <w:szCs w:val="21"/>
                <w:highlight w:val="black"/>
              </w:rPr>
              <w:t>136</w:t>
            </w:r>
          </w:p>
        </w:tc>
        <w:tc>
          <w:tcPr>
            <w:tcW w:w="560" w:type="dxa"/>
            <w:tcBorders>
              <w:tl2br w:val="nil"/>
              <w:tr2bl w:val="nil"/>
            </w:tcBorders>
            <w:shd w:val="clear" w:color="auto" w:fill="auto"/>
            <w:noWrap/>
            <w:vAlign w:val="center"/>
          </w:tcPr>
          <w:p w14:paraId="2A8E1811">
            <w:pPr>
              <w:widowControl/>
              <w:spacing w:line="240" w:lineRule="auto"/>
              <w:ind w:firstLine="0" w:firstLineChars="0"/>
              <w:jc w:val="center"/>
              <w:rPr>
                <w:kern w:val="0"/>
                <w:sz w:val="21"/>
                <w:szCs w:val="21"/>
                <w:highlight w:val="black"/>
              </w:rPr>
            </w:pPr>
            <w:r>
              <w:rPr>
                <w:kern w:val="0"/>
                <w:sz w:val="21"/>
                <w:szCs w:val="21"/>
                <w:highlight w:val="black"/>
              </w:rPr>
              <w:t>189</w:t>
            </w:r>
          </w:p>
        </w:tc>
      </w:tr>
      <w:tr w14:paraId="2B02B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6CD3ED85">
            <w:pPr>
              <w:widowControl/>
              <w:spacing w:line="240" w:lineRule="auto"/>
              <w:ind w:firstLine="0" w:firstLineChars="0"/>
              <w:jc w:val="center"/>
              <w:rPr>
                <w:kern w:val="0"/>
                <w:sz w:val="21"/>
                <w:szCs w:val="21"/>
                <w:highlight w:val="black"/>
              </w:rPr>
            </w:pPr>
            <w:r>
              <w:rPr>
                <w:kern w:val="0"/>
                <w:sz w:val="21"/>
                <w:szCs w:val="21"/>
                <w:highlight w:val="black"/>
              </w:rPr>
              <w:t>8</w:t>
            </w:r>
          </w:p>
        </w:tc>
        <w:tc>
          <w:tcPr>
            <w:tcW w:w="686" w:type="dxa"/>
            <w:tcBorders>
              <w:tl2br w:val="nil"/>
              <w:tr2bl w:val="nil"/>
            </w:tcBorders>
            <w:shd w:val="clear" w:color="auto" w:fill="auto"/>
            <w:noWrap/>
            <w:vAlign w:val="center"/>
          </w:tcPr>
          <w:p w14:paraId="194BE714">
            <w:pPr>
              <w:widowControl/>
              <w:spacing w:line="240" w:lineRule="auto"/>
              <w:ind w:firstLine="0" w:firstLineChars="0"/>
              <w:jc w:val="center"/>
              <w:rPr>
                <w:kern w:val="0"/>
                <w:sz w:val="21"/>
                <w:szCs w:val="21"/>
                <w:highlight w:val="black"/>
              </w:rPr>
            </w:pPr>
            <w:r>
              <w:rPr>
                <w:kern w:val="0"/>
                <w:sz w:val="21"/>
                <w:szCs w:val="21"/>
                <w:highlight w:val="black"/>
              </w:rPr>
              <w:t>Fe4-7</w:t>
            </w:r>
          </w:p>
        </w:tc>
        <w:tc>
          <w:tcPr>
            <w:tcW w:w="605" w:type="dxa"/>
            <w:tcBorders>
              <w:tl2br w:val="nil"/>
              <w:tr2bl w:val="nil"/>
            </w:tcBorders>
            <w:shd w:val="clear" w:color="auto" w:fill="auto"/>
            <w:noWrap/>
            <w:vAlign w:val="center"/>
          </w:tcPr>
          <w:p w14:paraId="0FECA324">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043B4A63">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1096" w:type="dxa"/>
            <w:tcBorders>
              <w:tl2br w:val="nil"/>
              <w:tr2bl w:val="nil"/>
            </w:tcBorders>
            <w:shd w:val="clear" w:color="auto" w:fill="auto"/>
            <w:noWrap/>
            <w:vAlign w:val="center"/>
          </w:tcPr>
          <w:p w14:paraId="71A1752E">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622" w:type="dxa"/>
            <w:tcBorders>
              <w:tl2br w:val="nil"/>
              <w:tr2bl w:val="nil"/>
            </w:tcBorders>
            <w:shd w:val="clear" w:color="auto" w:fill="auto"/>
            <w:noWrap/>
            <w:vAlign w:val="center"/>
          </w:tcPr>
          <w:p w14:paraId="5A194EE9">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14</w:t>
            </w:r>
          </w:p>
        </w:tc>
        <w:tc>
          <w:tcPr>
            <w:tcW w:w="559" w:type="dxa"/>
            <w:tcBorders>
              <w:tl2br w:val="nil"/>
              <w:tr2bl w:val="nil"/>
            </w:tcBorders>
            <w:shd w:val="clear" w:color="auto" w:fill="auto"/>
            <w:noWrap/>
            <w:vAlign w:val="center"/>
          </w:tcPr>
          <w:p w14:paraId="17F51B63">
            <w:pPr>
              <w:widowControl/>
              <w:spacing w:line="240" w:lineRule="auto"/>
              <w:ind w:firstLine="0" w:firstLineChars="0"/>
              <w:jc w:val="center"/>
              <w:rPr>
                <w:kern w:val="0"/>
                <w:sz w:val="21"/>
                <w:szCs w:val="21"/>
                <w:highlight w:val="black"/>
              </w:rPr>
            </w:pPr>
            <w:r>
              <w:rPr>
                <w:kern w:val="0"/>
                <w:sz w:val="21"/>
                <w:szCs w:val="21"/>
                <w:highlight w:val="black"/>
              </w:rPr>
              <w:t>94</w:t>
            </w:r>
          </w:p>
        </w:tc>
        <w:tc>
          <w:tcPr>
            <w:tcW w:w="622" w:type="dxa"/>
            <w:tcBorders>
              <w:tl2br w:val="nil"/>
              <w:tr2bl w:val="nil"/>
            </w:tcBorders>
            <w:shd w:val="clear" w:color="auto" w:fill="auto"/>
            <w:noWrap/>
            <w:vAlign w:val="center"/>
          </w:tcPr>
          <w:p w14:paraId="3128572B">
            <w:pPr>
              <w:widowControl/>
              <w:spacing w:line="240" w:lineRule="auto"/>
              <w:ind w:firstLine="0" w:firstLineChars="0"/>
              <w:jc w:val="center"/>
              <w:rPr>
                <w:kern w:val="0"/>
                <w:sz w:val="21"/>
                <w:szCs w:val="21"/>
                <w:highlight w:val="black"/>
              </w:rPr>
            </w:pPr>
            <w:r>
              <w:rPr>
                <w:kern w:val="0"/>
                <w:sz w:val="21"/>
                <w:szCs w:val="21"/>
                <w:highlight w:val="black"/>
              </w:rPr>
              <w:t>117</w:t>
            </w:r>
          </w:p>
        </w:tc>
        <w:tc>
          <w:tcPr>
            <w:tcW w:w="613" w:type="dxa"/>
            <w:tcBorders>
              <w:tl2br w:val="nil"/>
              <w:tr2bl w:val="nil"/>
            </w:tcBorders>
            <w:shd w:val="clear" w:color="auto" w:fill="auto"/>
            <w:noWrap/>
            <w:vAlign w:val="center"/>
          </w:tcPr>
          <w:p w14:paraId="73A4DAEB">
            <w:pPr>
              <w:widowControl/>
              <w:spacing w:line="240" w:lineRule="auto"/>
              <w:ind w:firstLine="0" w:firstLineChars="0"/>
              <w:jc w:val="center"/>
              <w:rPr>
                <w:kern w:val="0"/>
                <w:sz w:val="21"/>
                <w:szCs w:val="21"/>
                <w:highlight w:val="black"/>
              </w:rPr>
            </w:pPr>
            <w:r>
              <w:rPr>
                <w:kern w:val="0"/>
                <w:sz w:val="21"/>
                <w:szCs w:val="21"/>
                <w:highlight w:val="black"/>
              </w:rPr>
              <w:t>1.36</w:t>
            </w:r>
          </w:p>
        </w:tc>
        <w:tc>
          <w:tcPr>
            <w:tcW w:w="613" w:type="dxa"/>
            <w:tcBorders>
              <w:tl2br w:val="nil"/>
              <w:tr2bl w:val="nil"/>
            </w:tcBorders>
            <w:shd w:val="clear" w:color="auto" w:fill="auto"/>
            <w:noWrap/>
            <w:vAlign w:val="center"/>
          </w:tcPr>
          <w:p w14:paraId="166F6275">
            <w:pPr>
              <w:widowControl/>
              <w:spacing w:line="240" w:lineRule="auto"/>
              <w:ind w:firstLine="0" w:firstLineChars="0"/>
              <w:jc w:val="center"/>
              <w:rPr>
                <w:kern w:val="0"/>
                <w:sz w:val="21"/>
                <w:szCs w:val="21"/>
                <w:highlight w:val="black"/>
              </w:rPr>
            </w:pPr>
            <w:r>
              <w:rPr>
                <w:kern w:val="0"/>
                <w:sz w:val="21"/>
                <w:szCs w:val="21"/>
                <w:highlight w:val="black"/>
              </w:rPr>
              <w:t>31.02</w:t>
            </w:r>
          </w:p>
        </w:tc>
        <w:tc>
          <w:tcPr>
            <w:tcW w:w="847" w:type="dxa"/>
            <w:tcBorders>
              <w:tl2br w:val="nil"/>
              <w:tr2bl w:val="nil"/>
            </w:tcBorders>
            <w:shd w:val="clear" w:color="auto" w:fill="auto"/>
            <w:noWrap/>
            <w:vAlign w:val="center"/>
          </w:tcPr>
          <w:p w14:paraId="4A20EA5C">
            <w:pPr>
              <w:widowControl/>
              <w:spacing w:line="240" w:lineRule="auto"/>
              <w:ind w:firstLine="0" w:firstLineChars="0"/>
              <w:jc w:val="center"/>
              <w:rPr>
                <w:kern w:val="0"/>
                <w:sz w:val="21"/>
                <w:szCs w:val="21"/>
                <w:highlight w:val="black"/>
              </w:rPr>
            </w:pPr>
            <w:r>
              <w:rPr>
                <w:kern w:val="0"/>
                <w:sz w:val="21"/>
                <w:szCs w:val="21"/>
                <w:highlight w:val="black"/>
              </w:rPr>
              <w:t>28.60</w:t>
            </w:r>
          </w:p>
        </w:tc>
        <w:tc>
          <w:tcPr>
            <w:tcW w:w="1234" w:type="dxa"/>
            <w:tcBorders>
              <w:tl2br w:val="nil"/>
              <w:tr2bl w:val="nil"/>
            </w:tcBorders>
            <w:shd w:val="clear" w:color="auto" w:fill="auto"/>
            <w:vAlign w:val="center"/>
          </w:tcPr>
          <w:p w14:paraId="6BCBACAD">
            <w:pPr>
              <w:widowControl/>
              <w:spacing w:line="240" w:lineRule="auto"/>
              <w:ind w:firstLine="0" w:firstLineChars="0"/>
              <w:jc w:val="center"/>
              <w:rPr>
                <w:kern w:val="0"/>
                <w:sz w:val="21"/>
                <w:szCs w:val="21"/>
                <w:highlight w:val="black"/>
              </w:rPr>
            </w:pPr>
            <w:r>
              <w:rPr>
                <w:kern w:val="0"/>
                <w:sz w:val="21"/>
                <w:szCs w:val="21"/>
                <w:highlight w:val="black"/>
              </w:rPr>
              <w:t>14</w:t>
            </w:r>
            <w:r>
              <w:rPr>
                <w:rFonts w:hint="eastAsia"/>
                <w:kern w:val="0"/>
                <w:sz w:val="21"/>
                <w:szCs w:val="21"/>
                <w:highlight w:val="black"/>
              </w:rPr>
              <w:t>~</w:t>
            </w:r>
            <w:r>
              <w:rPr>
                <w:kern w:val="0"/>
                <w:sz w:val="21"/>
                <w:szCs w:val="21"/>
                <w:highlight w:val="black"/>
              </w:rPr>
              <w:t>42</w:t>
            </w:r>
          </w:p>
        </w:tc>
        <w:tc>
          <w:tcPr>
            <w:tcW w:w="503" w:type="dxa"/>
            <w:tcBorders>
              <w:tl2br w:val="nil"/>
              <w:tr2bl w:val="nil"/>
            </w:tcBorders>
            <w:shd w:val="clear" w:color="auto" w:fill="auto"/>
            <w:noWrap/>
            <w:vAlign w:val="center"/>
          </w:tcPr>
          <w:p w14:paraId="7FAC6034">
            <w:pPr>
              <w:widowControl/>
              <w:spacing w:line="240" w:lineRule="auto"/>
              <w:ind w:firstLine="0" w:firstLineChars="0"/>
              <w:jc w:val="center"/>
              <w:rPr>
                <w:kern w:val="0"/>
                <w:sz w:val="21"/>
                <w:szCs w:val="21"/>
                <w:highlight w:val="black"/>
              </w:rPr>
            </w:pPr>
            <w:r>
              <w:rPr>
                <w:kern w:val="0"/>
                <w:sz w:val="21"/>
                <w:szCs w:val="21"/>
                <w:highlight w:val="black"/>
              </w:rPr>
              <w:t>142</w:t>
            </w:r>
          </w:p>
        </w:tc>
        <w:tc>
          <w:tcPr>
            <w:tcW w:w="560" w:type="dxa"/>
            <w:tcBorders>
              <w:tl2br w:val="nil"/>
              <w:tr2bl w:val="nil"/>
            </w:tcBorders>
            <w:shd w:val="clear" w:color="auto" w:fill="auto"/>
            <w:noWrap/>
            <w:vAlign w:val="center"/>
          </w:tcPr>
          <w:p w14:paraId="12F3B8BC">
            <w:pPr>
              <w:widowControl/>
              <w:spacing w:line="240" w:lineRule="auto"/>
              <w:ind w:firstLine="0" w:firstLineChars="0"/>
              <w:jc w:val="center"/>
              <w:rPr>
                <w:kern w:val="0"/>
                <w:sz w:val="21"/>
                <w:szCs w:val="21"/>
                <w:highlight w:val="black"/>
              </w:rPr>
            </w:pPr>
            <w:r>
              <w:rPr>
                <w:kern w:val="0"/>
                <w:sz w:val="21"/>
                <w:szCs w:val="21"/>
                <w:highlight w:val="black"/>
              </w:rPr>
              <w:t>192</w:t>
            </w:r>
          </w:p>
        </w:tc>
      </w:tr>
      <w:tr w14:paraId="01C67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2170C2B1">
            <w:pPr>
              <w:widowControl/>
              <w:spacing w:line="240" w:lineRule="auto"/>
              <w:ind w:firstLine="0" w:firstLineChars="0"/>
              <w:jc w:val="center"/>
              <w:rPr>
                <w:kern w:val="0"/>
                <w:sz w:val="21"/>
                <w:szCs w:val="21"/>
                <w:highlight w:val="black"/>
              </w:rPr>
            </w:pPr>
            <w:r>
              <w:rPr>
                <w:kern w:val="0"/>
                <w:sz w:val="21"/>
                <w:szCs w:val="21"/>
                <w:highlight w:val="black"/>
              </w:rPr>
              <w:t>9</w:t>
            </w:r>
          </w:p>
        </w:tc>
        <w:tc>
          <w:tcPr>
            <w:tcW w:w="686" w:type="dxa"/>
            <w:tcBorders>
              <w:tl2br w:val="nil"/>
              <w:tr2bl w:val="nil"/>
            </w:tcBorders>
            <w:shd w:val="clear" w:color="auto" w:fill="auto"/>
            <w:noWrap/>
            <w:vAlign w:val="center"/>
          </w:tcPr>
          <w:p w14:paraId="7DE9C1DC">
            <w:pPr>
              <w:widowControl/>
              <w:spacing w:line="240" w:lineRule="auto"/>
              <w:ind w:firstLine="0" w:firstLineChars="0"/>
              <w:jc w:val="center"/>
              <w:rPr>
                <w:kern w:val="0"/>
                <w:sz w:val="21"/>
                <w:szCs w:val="21"/>
                <w:highlight w:val="black"/>
              </w:rPr>
            </w:pPr>
            <w:r>
              <w:rPr>
                <w:kern w:val="0"/>
                <w:sz w:val="21"/>
                <w:szCs w:val="21"/>
                <w:highlight w:val="black"/>
              </w:rPr>
              <w:t>Fe4-8</w:t>
            </w:r>
          </w:p>
        </w:tc>
        <w:tc>
          <w:tcPr>
            <w:tcW w:w="605" w:type="dxa"/>
            <w:tcBorders>
              <w:tl2br w:val="nil"/>
              <w:tr2bl w:val="nil"/>
            </w:tcBorders>
            <w:shd w:val="clear" w:color="auto" w:fill="auto"/>
            <w:noWrap/>
            <w:vAlign w:val="center"/>
          </w:tcPr>
          <w:p w14:paraId="0BBF12A8">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3C3B62B7">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1096" w:type="dxa"/>
            <w:tcBorders>
              <w:tl2br w:val="nil"/>
              <w:tr2bl w:val="nil"/>
            </w:tcBorders>
            <w:shd w:val="clear" w:color="auto" w:fill="auto"/>
            <w:noWrap/>
            <w:vAlign w:val="center"/>
          </w:tcPr>
          <w:p w14:paraId="4D46DC59">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32802251">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11</w:t>
            </w:r>
          </w:p>
        </w:tc>
        <w:tc>
          <w:tcPr>
            <w:tcW w:w="559" w:type="dxa"/>
            <w:tcBorders>
              <w:tl2br w:val="nil"/>
              <w:tr2bl w:val="nil"/>
            </w:tcBorders>
            <w:shd w:val="clear" w:color="auto" w:fill="auto"/>
            <w:noWrap/>
            <w:vAlign w:val="center"/>
          </w:tcPr>
          <w:p w14:paraId="78B14B0C">
            <w:pPr>
              <w:widowControl/>
              <w:spacing w:line="240" w:lineRule="auto"/>
              <w:ind w:firstLine="0" w:firstLineChars="0"/>
              <w:jc w:val="center"/>
              <w:rPr>
                <w:kern w:val="0"/>
                <w:sz w:val="21"/>
                <w:szCs w:val="21"/>
                <w:highlight w:val="black"/>
              </w:rPr>
            </w:pPr>
            <w:r>
              <w:rPr>
                <w:kern w:val="0"/>
                <w:sz w:val="21"/>
                <w:szCs w:val="21"/>
                <w:highlight w:val="black"/>
              </w:rPr>
              <w:t>99</w:t>
            </w:r>
          </w:p>
        </w:tc>
        <w:tc>
          <w:tcPr>
            <w:tcW w:w="622" w:type="dxa"/>
            <w:tcBorders>
              <w:tl2br w:val="nil"/>
              <w:tr2bl w:val="nil"/>
            </w:tcBorders>
            <w:shd w:val="clear" w:color="auto" w:fill="auto"/>
            <w:noWrap/>
            <w:vAlign w:val="center"/>
          </w:tcPr>
          <w:p w14:paraId="44991275">
            <w:pPr>
              <w:widowControl/>
              <w:spacing w:line="240" w:lineRule="auto"/>
              <w:ind w:firstLine="0" w:firstLineChars="0"/>
              <w:jc w:val="center"/>
              <w:rPr>
                <w:kern w:val="0"/>
                <w:sz w:val="21"/>
                <w:szCs w:val="21"/>
                <w:highlight w:val="black"/>
              </w:rPr>
            </w:pPr>
            <w:r>
              <w:rPr>
                <w:kern w:val="0"/>
                <w:sz w:val="21"/>
                <w:szCs w:val="21"/>
                <w:highlight w:val="black"/>
              </w:rPr>
              <w:t>88</w:t>
            </w:r>
          </w:p>
        </w:tc>
        <w:tc>
          <w:tcPr>
            <w:tcW w:w="613" w:type="dxa"/>
            <w:tcBorders>
              <w:tl2br w:val="nil"/>
              <w:tr2bl w:val="nil"/>
            </w:tcBorders>
            <w:shd w:val="clear" w:color="auto" w:fill="auto"/>
            <w:noWrap/>
            <w:vAlign w:val="center"/>
          </w:tcPr>
          <w:p w14:paraId="3F65D929">
            <w:pPr>
              <w:widowControl/>
              <w:spacing w:line="240" w:lineRule="auto"/>
              <w:ind w:firstLine="0" w:firstLineChars="0"/>
              <w:jc w:val="center"/>
              <w:rPr>
                <w:kern w:val="0"/>
                <w:sz w:val="21"/>
                <w:szCs w:val="21"/>
                <w:highlight w:val="black"/>
              </w:rPr>
            </w:pPr>
            <w:r>
              <w:rPr>
                <w:kern w:val="0"/>
                <w:sz w:val="21"/>
                <w:szCs w:val="21"/>
                <w:highlight w:val="black"/>
              </w:rPr>
              <w:t>4.12</w:t>
            </w:r>
          </w:p>
        </w:tc>
        <w:tc>
          <w:tcPr>
            <w:tcW w:w="613" w:type="dxa"/>
            <w:tcBorders>
              <w:tl2br w:val="nil"/>
              <w:tr2bl w:val="nil"/>
            </w:tcBorders>
            <w:shd w:val="clear" w:color="auto" w:fill="auto"/>
            <w:noWrap/>
            <w:vAlign w:val="center"/>
          </w:tcPr>
          <w:p w14:paraId="4148DEC0">
            <w:pPr>
              <w:widowControl/>
              <w:spacing w:line="240" w:lineRule="auto"/>
              <w:ind w:firstLine="0" w:firstLineChars="0"/>
              <w:jc w:val="center"/>
              <w:rPr>
                <w:kern w:val="0"/>
                <w:sz w:val="21"/>
                <w:szCs w:val="21"/>
                <w:highlight w:val="black"/>
              </w:rPr>
            </w:pPr>
            <w:r>
              <w:rPr>
                <w:kern w:val="0"/>
                <w:sz w:val="21"/>
                <w:szCs w:val="21"/>
                <w:highlight w:val="black"/>
              </w:rPr>
              <w:t>31.41</w:t>
            </w:r>
          </w:p>
        </w:tc>
        <w:tc>
          <w:tcPr>
            <w:tcW w:w="847" w:type="dxa"/>
            <w:tcBorders>
              <w:tl2br w:val="nil"/>
              <w:tr2bl w:val="nil"/>
            </w:tcBorders>
            <w:shd w:val="clear" w:color="auto" w:fill="auto"/>
            <w:noWrap/>
            <w:vAlign w:val="center"/>
          </w:tcPr>
          <w:p w14:paraId="239631F6">
            <w:pPr>
              <w:widowControl/>
              <w:spacing w:line="240" w:lineRule="auto"/>
              <w:ind w:firstLine="0" w:firstLineChars="0"/>
              <w:jc w:val="center"/>
              <w:rPr>
                <w:kern w:val="0"/>
                <w:sz w:val="21"/>
                <w:szCs w:val="21"/>
                <w:highlight w:val="black"/>
              </w:rPr>
            </w:pPr>
            <w:r>
              <w:rPr>
                <w:kern w:val="0"/>
                <w:sz w:val="21"/>
                <w:szCs w:val="21"/>
                <w:highlight w:val="black"/>
              </w:rPr>
              <w:t>23.92</w:t>
            </w:r>
          </w:p>
        </w:tc>
        <w:tc>
          <w:tcPr>
            <w:tcW w:w="1234" w:type="dxa"/>
            <w:tcBorders>
              <w:tl2br w:val="nil"/>
              <w:tr2bl w:val="nil"/>
            </w:tcBorders>
            <w:shd w:val="clear" w:color="auto" w:fill="auto"/>
            <w:vAlign w:val="center"/>
          </w:tcPr>
          <w:p w14:paraId="54076569">
            <w:pPr>
              <w:widowControl/>
              <w:spacing w:line="240" w:lineRule="auto"/>
              <w:ind w:firstLine="0" w:firstLineChars="0"/>
              <w:jc w:val="center"/>
              <w:rPr>
                <w:kern w:val="0"/>
                <w:sz w:val="21"/>
                <w:szCs w:val="21"/>
                <w:highlight w:val="black"/>
              </w:rPr>
            </w:pPr>
            <w:r>
              <w:rPr>
                <w:kern w:val="0"/>
                <w:sz w:val="21"/>
                <w:szCs w:val="21"/>
                <w:highlight w:val="black"/>
              </w:rPr>
              <w:t>118</w:t>
            </w:r>
            <w:r>
              <w:rPr>
                <w:rFonts w:hint="eastAsia"/>
                <w:kern w:val="0"/>
                <w:sz w:val="21"/>
                <w:szCs w:val="21"/>
                <w:highlight w:val="black"/>
              </w:rPr>
              <w:t>~</w:t>
            </w:r>
            <w:r>
              <w:rPr>
                <w:kern w:val="0"/>
                <w:sz w:val="21"/>
                <w:szCs w:val="21"/>
                <w:highlight w:val="black"/>
              </w:rPr>
              <w:t>135</w:t>
            </w:r>
          </w:p>
        </w:tc>
        <w:tc>
          <w:tcPr>
            <w:tcW w:w="503" w:type="dxa"/>
            <w:tcBorders>
              <w:tl2br w:val="nil"/>
              <w:tr2bl w:val="nil"/>
            </w:tcBorders>
            <w:shd w:val="clear" w:color="auto" w:fill="auto"/>
            <w:noWrap/>
            <w:vAlign w:val="center"/>
          </w:tcPr>
          <w:p w14:paraId="3ACA4C14">
            <w:pPr>
              <w:widowControl/>
              <w:spacing w:line="240" w:lineRule="auto"/>
              <w:ind w:firstLine="0" w:firstLineChars="0"/>
              <w:jc w:val="center"/>
              <w:rPr>
                <w:kern w:val="0"/>
                <w:sz w:val="21"/>
                <w:szCs w:val="21"/>
                <w:highlight w:val="black"/>
              </w:rPr>
            </w:pPr>
            <w:r>
              <w:rPr>
                <w:kern w:val="0"/>
                <w:sz w:val="21"/>
                <w:szCs w:val="21"/>
                <w:highlight w:val="black"/>
              </w:rPr>
              <w:t>67</w:t>
            </w:r>
          </w:p>
        </w:tc>
        <w:tc>
          <w:tcPr>
            <w:tcW w:w="560" w:type="dxa"/>
            <w:tcBorders>
              <w:tl2br w:val="nil"/>
              <w:tr2bl w:val="nil"/>
            </w:tcBorders>
            <w:shd w:val="clear" w:color="auto" w:fill="auto"/>
            <w:noWrap/>
            <w:vAlign w:val="center"/>
          </w:tcPr>
          <w:p w14:paraId="7DD57A6C">
            <w:pPr>
              <w:widowControl/>
              <w:spacing w:line="240" w:lineRule="auto"/>
              <w:ind w:firstLine="0" w:firstLineChars="0"/>
              <w:jc w:val="center"/>
              <w:rPr>
                <w:kern w:val="0"/>
                <w:sz w:val="21"/>
                <w:szCs w:val="21"/>
                <w:highlight w:val="black"/>
              </w:rPr>
            </w:pPr>
            <w:r>
              <w:rPr>
                <w:kern w:val="0"/>
                <w:sz w:val="21"/>
                <w:szCs w:val="21"/>
                <w:highlight w:val="black"/>
              </w:rPr>
              <w:t>117</w:t>
            </w:r>
          </w:p>
        </w:tc>
      </w:tr>
      <w:tr w14:paraId="1B87A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358ECC63">
            <w:pPr>
              <w:widowControl/>
              <w:spacing w:line="240" w:lineRule="auto"/>
              <w:ind w:firstLine="0" w:firstLineChars="0"/>
              <w:jc w:val="center"/>
              <w:rPr>
                <w:kern w:val="0"/>
                <w:sz w:val="21"/>
                <w:szCs w:val="21"/>
                <w:highlight w:val="black"/>
              </w:rPr>
            </w:pPr>
            <w:r>
              <w:rPr>
                <w:kern w:val="0"/>
                <w:sz w:val="21"/>
                <w:szCs w:val="21"/>
                <w:highlight w:val="black"/>
              </w:rPr>
              <w:t>10</w:t>
            </w:r>
          </w:p>
        </w:tc>
        <w:tc>
          <w:tcPr>
            <w:tcW w:w="686" w:type="dxa"/>
            <w:tcBorders>
              <w:tl2br w:val="nil"/>
              <w:tr2bl w:val="nil"/>
            </w:tcBorders>
            <w:shd w:val="clear" w:color="auto" w:fill="auto"/>
            <w:noWrap/>
            <w:vAlign w:val="center"/>
          </w:tcPr>
          <w:p w14:paraId="4243BB66">
            <w:pPr>
              <w:widowControl/>
              <w:spacing w:line="240" w:lineRule="auto"/>
              <w:ind w:firstLine="0" w:firstLineChars="0"/>
              <w:jc w:val="center"/>
              <w:rPr>
                <w:kern w:val="0"/>
                <w:sz w:val="21"/>
                <w:szCs w:val="21"/>
                <w:highlight w:val="black"/>
              </w:rPr>
            </w:pPr>
            <w:r>
              <w:rPr>
                <w:kern w:val="0"/>
                <w:sz w:val="21"/>
                <w:szCs w:val="21"/>
                <w:highlight w:val="black"/>
              </w:rPr>
              <w:t>Fe4-9</w:t>
            </w:r>
          </w:p>
        </w:tc>
        <w:tc>
          <w:tcPr>
            <w:tcW w:w="605" w:type="dxa"/>
            <w:tcBorders>
              <w:tl2br w:val="nil"/>
              <w:tr2bl w:val="nil"/>
            </w:tcBorders>
            <w:shd w:val="clear" w:color="auto" w:fill="auto"/>
            <w:noWrap/>
            <w:vAlign w:val="center"/>
          </w:tcPr>
          <w:p w14:paraId="3B7902D5">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2C6E89DC">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27AB86A7">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7A598450">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10</w:t>
            </w:r>
          </w:p>
        </w:tc>
        <w:tc>
          <w:tcPr>
            <w:tcW w:w="559" w:type="dxa"/>
            <w:tcBorders>
              <w:tl2br w:val="nil"/>
              <w:tr2bl w:val="nil"/>
            </w:tcBorders>
            <w:shd w:val="clear" w:color="auto" w:fill="auto"/>
            <w:noWrap/>
            <w:vAlign w:val="center"/>
          </w:tcPr>
          <w:p w14:paraId="5735F47C">
            <w:pPr>
              <w:widowControl/>
              <w:spacing w:line="240" w:lineRule="auto"/>
              <w:ind w:firstLine="0" w:firstLineChars="0"/>
              <w:jc w:val="center"/>
              <w:rPr>
                <w:kern w:val="0"/>
                <w:sz w:val="21"/>
                <w:szCs w:val="21"/>
                <w:highlight w:val="black"/>
              </w:rPr>
            </w:pPr>
            <w:r>
              <w:rPr>
                <w:kern w:val="0"/>
                <w:sz w:val="21"/>
                <w:szCs w:val="21"/>
                <w:highlight w:val="black"/>
              </w:rPr>
              <w:t>150</w:t>
            </w:r>
          </w:p>
        </w:tc>
        <w:tc>
          <w:tcPr>
            <w:tcW w:w="622" w:type="dxa"/>
            <w:tcBorders>
              <w:tl2br w:val="nil"/>
              <w:tr2bl w:val="nil"/>
            </w:tcBorders>
            <w:shd w:val="clear" w:color="auto" w:fill="auto"/>
            <w:noWrap/>
            <w:vAlign w:val="center"/>
          </w:tcPr>
          <w:p w14:paraId="4BF129F7">
            <w:pPr>
              <w:widowControl/>
              <w:spacing w:line="240" w:lineRule="auto"/>
              <w:ind w:firstLine="0" w:firstLineChars="0"/>
              <w:jc w:val="center"/>
              <w:rPr>
                <w:kern w:val="0"/>
                <w:sz w:val="21"/>
                <w:szCs w:val="21"/>
                <w:highlight w:val="black"/>
              </w:rPr>
            </w:pPr>
            <w:r>
              <w:rPr>
                <w:kern w:val="0"/>
                <w:sz w:val="21"/>
                <w:szCs w:val="21"/>
                <w:highlight w:val="black"/>
              </w:rPr>
              <w:t>145</w:t>
            </w:r>
          </w:p>
        </w:tc>
        <w:tc>
          <w:tcPr>
            <w:tcW w:w="613" w:type="dxa"/>
            <w:tcBorders>
              <w:tl2br w:val="nil"/>
              <w:tr2bl w:val="nil"/>
            </w:tcBorders>
            <w:shd w:val="clear" w:color="auto" w:fill="auto"/>
            <w:noWrap/>
            <w:vAlign w:val="center"/>
          </w:tcPr>
          <w:p w14:paraId="7DE3B84D">
            <w:pPr>
              <w:widowControl/>
              <w:spacing w:line="240" w:lineRule="auto"/>
              <w:ind w:firstLine="0" w:firstLineChars="0"/>
              <w:jc w:val="center"/>
              <w:rPr>
                <w:kern w:val="0"/>
                <w:sz w:val="21"/>
                <w:szCs w:val="21"/>
                <w:highlight w:val="black"/>
              </w:rPr>
            </w:pPr>
            <w:r>
              <w:rPr>
                <w:kern w:val="0"/>
                <w:sz w:val="21"/>
                <w:szCs w:val="21"/>
                <w:highlight w:val="black"/>
              </w:rPr>
              <w:t>1.97</w:t>
            </w:r>
          </w:p>
        </w:tc>
        <w:tc>
          <w:tcPr>
            <w:tcW w:w="613" w:type="dxa"/>
            <w:tcBorders>
              <w:tl2br w:val="nil"/>
              <w:tr2bl w:val="nil"/>
            </w:tcBorders>
            <w:shd w:val="clear" w:color="auto" w:fill="auto"/>
            <w:vAlign w:val="center"/>
          </w:tcPr>
          <w:p w14:paraId="24225E6E">
            <w:pPr>
              <w:widowControl/>
              <w:spacing w:line="240" w:lineRule="auto"/>
              <w:ind w:firstLine="0" w:firstLineChars="0"/>
              <w:jc w:val="center"/>
              <w:rPr>
                <w:kern w:val="0"/>
                <w:sz w:val="21"/>
                <w:szCs w:val="21"/>
                <w:highlight w:val="black"/>
              </w:rPr>
            </w:pPr>
            <w:r>
              <w:rPr>
                <w:kern w:val="0"/>
                <w:sz w:val="21"/>
                <w:szCs w:val="21"/>
                <w:highlight w:val="black"/>
              </w:rPr>
              <w:t>24.43</w:t>
            </w:r>
          </w:p>
        </w:tc>
        <w:tc>
          <w:tcPr>
            <w:tcW w:w="847" w:type="dxa"/>
            <w:tcBorders>
              <w:tl2br w:val="nil"/>
              <w:tr2bl w:val="nil"/>
            </w:tcBorders>
            <w:shd w:val="clear" w:color="auto" w:fill="auto"/>
            <w:vAlign w:val="center"/>
          </w:tcPr>
          <w:p w14:paraId="558D708F">
            <w:pPr>
              <w:widowControl/>
              <w:spacing w:line="240" w:lineRule="auto"/>
              <w:ind w:firstLine="0" w:firstLineChars="0"/>
              <w:jc w:val="center"/>
              <w:rPr>
                <w:kern w:val="0"/>
                <w:sz w:val="21"/>
                <w:szCs w:val="21"/>
                <w:highlight w:val="black"/>
              </w:rPr>
            </w:pPr>
            <w:r>
              <w:rPr>
                <w:kern w:val="0"/>
                <w:sz w:val="21"/>
                <w:szCs w:val="21"/>
                <w:highlight w:val="black"/>
              </w:rPr>
              <w:t>20.32</w:t>
            </w:r>
          </w:p>
        </w:tc>
        <w:tc>
          <w:tcPr>
            <w:tcW w:w="1234" w:type="dxa"/>
            <w:tcBorders>
              <w:tl2br w:val="nil"/>
              <w:tr2bl w:val="nil"/>
            </w:tcBorders>
            <w:shd w:val="clear" w:color="auto" w:fill="auto"/>
            <w:vAlign w:val="center"/>
          </w:tcPr>
          <w:p w14:paraId="2E240C8B">
            <w:pPr>
              <w:widowControl/>
              <w:spacing w:line="240" w:lineRule="auto"/>
              <w:ind w:firstLine="0" w:firstLineChars="0"/>
              <w:jc w:val="center"/>
              <w:rPr>
                <w:kern w:val="0"/>
                <w:sz w:val="21"/>
                <w:szCs w:val="21"/>
                <w:highlight w:val="black"/>
              </w:rPr>
            </w:pPr>
            <w:r>
              <w:rPr>
                <w:kern w:val="0"/>
                <w:sz w:val="21"/>
                <w:szCs w:val="21"/>
                <w:highlight w:val="black"/>
              </w:rPr>
              <w:t>17</w:t>
            </w:r>
            <w:r>
              <w:rPr>
                <w:rFonts w:hint="eastAsia"/>
                <w:kern w:val="0"/>
                <w:sz w:val="21"/>
                <w:szCs w:val="21"/>
                <w:highlight w:val="black"/>
              </w:rPr>
              <w:t>~</w:t>
            </w:r>
            <w:r>
              <w:rPr>
                <w:kern w:val="0"/>
                <w:sz w:val="21"/>
                <w:szCs w:val="21"/>
                <w:highlight w:val="black"/>
              </w:rPr>
              <w:t>33</w:t>
            </w:r>
          </w:p>
        </w:tc>
        <w:tc>
          <w:tcPr>
            <w:tcW w:w="503" w:type="dxa"/>
            <w:tcBorders>
              <w:tl2br w:val="nil"/>
              <w:tr2bl w:val="nil"/>
            </w:tcBorders>
            <w:shd w:val="clear" w:color="auto" w:fill="auto"/>
            <w:noWrap/>
            <w:vAlign w:val="center"/>
          </w:tcPr>
          <w:p w14:paraId="38020E3B">
            <w:pPr>
              <w:widowControl/>
              <w:spacing w:line="240" w:lineRule="auto"/>
              <w:ind w:firstLine="0" w:firstLineChars="0"/>
              <w:jc w:val="center"/>
              <w:rPr>
                <w:kern w:val="0"/>
                <w:sz w:val="21"/>
                <w:szCs w:val="21"/>
                <w:highlight w:val="black"/>
              </w:rPr>
            </w:pPr>
            <w:r>
              <w:rPr>
                <w:kern w:val="0"/>
                <w:sz w:val="21"/>
                <w:szCs w:val="21"/>
                <w:highlight w:val="black"/>
              </w:rPr>
              <w:t>126</w:t>
            </w:r>
          </w:p>
        </w:tc>
        <w:tc>
          <w:tcPr>
            <w:tcW w:w="560" w:type="dxa"/>
            <w:tcBorders>
              <w:tl2br w:val="nil"/>
              <w:tr2bl w:val="nil"/>
            </w:tcBorders>
            <w:shd w:val="clear" w:color="auto" w:fill="auto"/>
            <w:noWrap/>
            <w:vAlign w:val="center"/>
          </w:tcPr>
          <w:p w14:paraId="41E8D030">
            <w:pPr>
              <w:widowControl/>
              <w:spacing w:line="240" w:lineRule="auto"/>
              <w:ind w:firstLine="0" w:firstLineChars="0"/>
              <w:jc w:val="center"/>
              <w:rPr>
                <w:kern w:val="0"/>
                <w:sz w:val="21"/>
                <w:szCs w:val="21"/>
                <w:highlight w:val="black"/>
              </w:rPr>
            </w:pPr>
            <w:r>
              <w:rPr>
                <w:kern w:val="0"/>
                <w:sz w:val="21"/>
                <w:szCs w:val="21"/>
                <w:highlight w:val="black"/>
              </w:rPr>
              <w:t>166</w:t>
            </w:r>
          </w:p>
        </w:tc>
      </w:tr>
      <w:tr w14:paraId="49339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3EACE9D3">
            <w:pPr>
              <w:widowControl/>
              <w:spacing w:line="240" w:lineRule="auto"/>
              <w:ind w:firstLine="0" w:firstLineChars="0"/>
              <w:jc w:val="center"/>
              <w:rPr>
                <w:kern w:val="0"/>
                <w:sz w:val="21"/>
                <w:szCs w:val="21"/>
                <w:highlight w:val="black"/>
              </w:rPr>
            </w:pPr>
            <w:r>
              <w:rPr>
                <w:kern w:val="0"/>
                <w:sz w:val="21"/>
                <w:szCs w:val="21"/>
                <w:highlight w:val="black"/>
              </w:rPr>
              <w:t>11</w:t>
            </w:r>
          </w:p>
        </w:tc>
        <w:tc>
          <w:tcPr>
            <w:tcW w:w="686" w:type="dxa"/>
            <w:tcBorders>
              <w:tl2br w:val="nil"/>
              <w:tr2bl w:val="nil"/>
            </w:tcBorders>
            <w:shd w:val="clear" w:color="auto" w:fill="auto"/>
            <w:noWrap/>
            <w:vAlign w:val="center"/>
          </w:tcPr>
          <w:p w14:paraId="0A93181A">
            <w:pPr>
              <w:widowControl/>
              <w:spacing w:line="240" w:lineRule="auto"/>
              <w:ind w:firstLine="0" w:firstLineChars="0"/>
              <w:jc w:val="center"/>
              <w:rPr>
                <w:kern w:val="0"/>
                <w:sz w:val="21"/>
                <w:szCs w:val="21"/>
                <w:highlight w:val="black"/>
              </w:rPr>
            </w:pPr>
            <w:r>
              <w:rPr>
                <w:kern w:val="0"/>
                <w:sz w:val="21"/>
                <w:szCs w:val="21"/>
                <w:highlight w:val="black"/>
              </w:rPr>
              <w:t>Fe4-10</w:t>
            </w:r>
          </w:p>
        </w:tc>
        <w:tc>
          <w:tcPr>
            <w:tcW w:w="605" w:type="dxa"/>
            <w:tcBorders>
              <w:tl2br w:val="nil"/>
              <w:tr2bl w:val="nil"/>
            </w:tcBorders>
            <w:shd w:val="clear" w:color="auto" w:fill="auto"/>
            <w:noWrap/>
            <w:vAlign w:val="center"/>
          </w:tcPr>
          <w:p w14:paraId="481045C2">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3350F2AD">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437AB076">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54D081FF">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4</w:t>
            </w:r>
          </w:p>
        </w:tc>
        <w:tc>
          <w:tcPr>
            <w:tcW w:w="559" w:type="dxa"/>
            <w:tcBorders>
              <w:tl2br w:val="nil"/>
              <w:tr2bl w:val="nil"/>
            </w:tcBorders>
            <w:shd w:val="clear" w:color="auto" w:fill="auto"/>
            <w:noWrap/>
            <w:vAlign w:val="center"/>
          </w:tcPr>
          <w:p w14:paraId="5E17F963">
            <w:pPr>
              <w:widowControl/>
              <w:spacing w:line="240" w:lineRule="auto"/>
              <w:ind w:firstLine="0" w:firstLineChars="0"/>
              <w:jc w:val="center"/>
              <w:rPr>
                <w:kern w:val="0"/>
                <w:sz w:val="21"/>
                <w:szCs w:val="21"/>
                <w:highlight w:val="black"/>
              </w:rPr>
            </w:pPr>
            <w:r>
              <w:rPr>
                <w:kern w:val="0"/>
                <w:sz w:val="21"/>
                <w:szCs w:val="21"/>
                <w:highlight w:val="black"/>
              </w:rPr>
              <w:t>100</w:t>
            </w:r>
          </w:p>
        </w:tc>
        <w:tc>
          <w:tcPr>
            <w:tcW w:w="622" w:type="dxa"/>
            <w:tcBorders>
              <w:tl2br w:val="nil"/>
              <w:tr2bl w:val="nil"/>
            </w:tcBorders>
            <w:shd w:val="clear" w:color="auto" w:fill="auto"/>
            <w:noWrap/>
            <w:vAlign w:val="center"/>
          </w:tcPr>
          <w:p w14:paraId="58C73E6E">
            <w:pPr>
              <w:widowControl/>
              <w:spacing w:line="240" w:lineRule="auto"/>
              <w:ind w:firstLine="0" w:firstLineChars="0"/>
              <w:jc w:val="center"/>
              <w:rPr>
                <w:kern w:val="0"/>
                <w:sz w:val="21"/>
                <w:szCs w:val="21"/>
                <w:highlight w:val="black"/>
              </w:rPr>
            </w:pPr>
            <w:r>
              <w:rPr>
                <w:kern w:val="0"/>
                <w:sz w:val="21"/>
                <w:szCs w:val="21"/>
                <w:highlight w:val="black"/>
              </w:rPr>
              <w:t>97</w:t>
            </w:r>
          </w:p>
        </w:tc>
        <w:tc>
          <w:tcPr>
            <w:tcW w:w="613" w:type="dxa"/>
            <w:tcBorders>
              <w:tl2br w:val="nil"/>
              <w:tr2bl w:val="nil"/>
            </w:tcBorders>
            <w:shd w:val="clear" w:color="auto" w:fill="auto"/>
            <w:noWrap/>
            <w:vAlign w:val="center"/>
          </w:tcPr>
          <w:p w14:paraId="6EB2D847">
            <w:pPr>
              <w:widowControl/>
              <w:spacing w:line="240" w:lineRule="auto"/>
              <w:ind w:firstLine="0" w:firstLineChars="0"/>
              <w:jc w:val="center"/>
              <w:rPr>
                <w:kern w:val="0"/>
                <w:sz w:val="21"/>
                <w:szCs w:val="21"/>
                <w:highlight w:val="black"/>
              </w:rPr>
            </w:pPr>
            <w:r>
              <w:rPr>
                <w:kern w:val="0"/>
                <w:sz w:val="21"/>
                <w:szCs w:val="21"/>
                <w:highlight w:val="black"/>
              </w:rPr>
              <w:t>1.82</w:t>
            </w:r>
          </w:p>
        </w:tc>
        <w:tc>
          <w:tcPr>
            <w:tcW w:w="613" w:type="dxa"/>
            <w:tcBorders>
              <w:tl2br w:val="nil"/>
              <w:tr2bl w:val="nil"/>
            </w:tcBorders>
            <w:shd w:val="clear" w:color="auto" w:fill="auto"/>
            <w:vAlign w:val="center"/>
          </w:tcPr>
          <w:p w14:paraId="5E1FFF39">
            <w:pPr>
              <w:widowControl/>
              <w:spacing w:line="240" w:lineRule="auto"/>
              <w:ind w:firstLine="0" w:firstLineChars="0"/>
              <w:jc w:val="center"/>
              <w:rPr>
                <w:kern w:val="0"/>
                <w:sz w:val="21"/>
                <w:szCs w:val="21"/>
                <w:highlight w:val="black"/>
              </w:rPr>
            </w:pPr>
            <w:r>
              <w:rPr>
                <w:kern w:val="0"/>
                <w:sz w:val="21"/>
                <w:szCs w:val="21"/>
                <w:highlight w:val="black"/>
              </w:rPr>
              <w:t>26.95</w:t>
            </w:r>
          </w:p>
        </w:tc>
        <w:tc>
          <w:tcPr>
            <w:tcW w:w="847" w:type="dxa"/>
            <w:tcBorders>
              <w:tl2br w:val="nil"/>
              <w:tr2bl w:val="nil"/>
            </w:tcBorders>
            <w:shd w:val="clear" w:color="auto" w:fill="auto"/>
            <w:vAlign w:val="center"/>
          </w:tcPr>
          <w:p w14:paraId="0C8F090C">
            <w:pPr>
              <w:widowControl/>
              <w:spacing w:line="240" w:lineRule="auto"/>
              <w:ind w:firstLine="0" w:firstLineChars="0"/>
              <w:jc w:val="center"/>
              <w:rPr>
                <w:kern w:val="0"/>
                <w:sz w:val="21"/>
                <w:szCs w:val="21"/>
                <w:highlight w:val="black"/>
              </w:rPr>
            </w:pPr>
            <w:r>
              <w:rPr>
                <w:kern w:val="0"/>
                <w:sz w:val="21"/>
                <w:szCs w:val="21"/>
                <w:highlight w:val="black"/>
              </w:rPr>
              <w:t>20.32</w:t>
            </w:r>
          </w:p>
        </w:tc>
        <w:tc>
          <w:tcPr>
            <w:tcW w:w="1234" w:type="dxa"/>
            <w:tcBorders>
              <w:tl2br w:val="nil"/>
              <w:tr2bl w:val="nil"/>
            </w:tcBorders>
            <w:shd w:val="clear" w:color="auto" w:fill="auto"/>
            <w:vAlign w:val="center"/>
          </w:tcPr>
          <w:p w14:paraId="665AD4F1">
            <w:pPr>
              <w:widowControl/>
              <w:spacing w:line="240" w:lineRule="auto"/>
              <w:ind w:firstLine="0" w:firstLineChars="0"/>
              <w:jc w:val="center"/>
              <w:rPr>
                <w:kern w:val="0"/>
                <w:sz w:val="21"/>
                <w:szCs w:val="21"/>
                <w:highlight w:val="black"/>
              </w:rPr>
            </w:pPr>
            <w:r>
              <w:rPr>
                <w:kern w:val="0"/>
                <w:sz w:val="21"/>
                <w:szCs w:val="21"/>
                <w:highlight w:val="black"/>
              </w:rPr>
              <w:t>24</w:t>
            </w:r>
            <w:r>
              <w:rPr>
                <w:rFonts w:hint="eastAsia"/>
                <w:kern w:val="0"/>
                <w:sz w:val="21"/>
                <w:szCs w:val="21"/>
                <w:highlight w:val="black"/>
              </w:rPr>
              <w:t>~</w:t>
            </w:r>
            <w:r>
              <w:rPr>
                <w:kern w:val="0"/>
                <w:sz w:val="21"/>
                <w:szCs w:val="21"/>
                <w:highlight w:val="black"/>
              </w:rPr>
              <w:t>30</w:t>
            </w:r>
          </w:p>
        </w:tc>
        <w:tc>
          <w:tcPr>
            <w:tcW w:w="503" w:type="dxa"/>
            <w:tcBorders>
              <w:tl2br w:val="nil"/>
              <w:tr2bl w:val="nil"/>
            </w:tcBorders>
            <w:shd w:val="clear" w:color="auto" w:fill="auto"/>
            <w:noWrap/>
            <w:vAlign w:val="center"/>
          </w:tcPr>
          <w:p w14:paraId="45A81B9C">
            <w:pPr>
              <w:widowControl/>
              <w:spacing w:line="240" w:lineRule="auto"/>
              <w:ind w:firstLine="0" w:firstLineChars="0"/>
              <w:jc w:val="center"/>
              <w:rPr>
                <w:kern w:val="0"/>
                <w:sz w:val="21"/>
                <w:szCs w:val="21"/>
                <w:highlight w:val="black"/>
              </w:rPr>
            </w:pPr>
            <w:r>
              <w:rPr>
                <w:kern w:val="0"/>
                <w:sz w:val="21"/>
                <w:szCs w:val="21"/>
                <w:highlight w:val="black"/>
              </w:rPr>
              <w:t>150</w:t>
            </w:r>
          </w:p>
        </w:tc>
        <w:tc>
          <w:tcPr>
            <w:tcW w:w="560" w:type="dxa"/>
            <w:tcBorders>
              <w:tl2br w:val="nil"/>
              <w:tr2bl w:val="nil"/>
            </w:tcBorders>
            <w:shd w:val="clear" w:color="auto" w:fill="auto"/>
            <w:noWrap/>
            <w:vAlign w:val="center"/>
          </w:tcPr>
          <w:p w14:paraId="5D380563">
            <w:pPr>
              <w:widowControl/>
              <w:spacing w:line="240" w:lineRule="auto"/>
              <w:ind w:firstLine="0" w:firstLineChars="0"/>
              <w:jc w:val="center"/>
              <w:rPr>
                <w:kern w:val="0"/>
                <w:sz w:val="21"/>
                <w:szCs w:val="21"/>
                <w:highlight w:val="black"/>
              </w:rPr>
            </w:pPr>
            <w:r>
              <w:rPr>
                <w:kern w:val="0"/>
                <w:sz w:val="21"/>
                <w:szCs w:val="21"/>
                <w:highlight w:val="black"/>
              </w:rPr>
              <w:t>173</w:t>
            </w:r>
          </w:p>
        </w:tc>
      </w:tr>
      <w:tr w14:paraId="378D2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5C75FBBE">
            <w:pPr>
              <w:widowControl/>
              <w:spacing w:line="240" w:lineRule="auto"/>
              <w:ind w:firstLine="0" w:firstLineChars="0"/>
              <w:jc w:val="center"/>
              <w:rPr>
                <w:kern w:val="0"/>
                <w:sz w:val="21"/>
                <w:szCs w:val="21"/>
                <w:highlight w:val="black"/>
              </w:rPr>
            </w:pPr>
            <w:r>
              <w:rPr>
                <w:kern w:val="0"/>
                <w:sz w:val="21"/>
                <w:szCs w:val="21"/>
                <w:highlight w:val="black"/>
              </w:rPr>
              <w:t>12</w:t>
            </w:r>
          </w:p>
        </w:tc>
        <w:tc>
          <w:tcPr>
            <w:tcW w:w="686" w:type="dxa"/>
            <w:tcBorders>
              <w:tl2br w:val="nil"/>
              <w:tr2bl w:val="nil"/>
            </w:tcBorders>
            <w:shd w:val="clear" w:color="auto" w:fill="auto"/>
            <w:noWrap/>
            <w:vAlign w:val="center"/>
          </w:tcPr>
          <w:p w14:paraId="35478802">
            <w:pPr>
              <w:widowControl/>
              <w:spacing w:line="240" w:lineRule="auto"/>
              <w:ind w:firstLine="0" w:firstLineChars="0"/>
              <w:jc w:val="center"/>
              <w:rPr>
                <w:kern w:val="0"/>
                <w:sz w:val="21"/>
                <w:szCs w:val="21"/>
                <w:highlight w:val="black"/>
              </w:rPr>
            </w:pPr>
            <w:r>
              <w:rPr>
                <w:kern w:val="0"/>
                <w:sz w:val="21"/>
                <w:szCs w:val="21"/>
                <w:highlight w:val="black"/>
              </w:rPr>
              <w:t>Fe4-11</w:t>
            </w:r>
          </w:p>
        </w:tc>
        <w:tc>
          <w:tcPr>
            <w:tcW w:w="605" w:type="dxa"/>
            <w:tcBorders>
              <w:tl2br w:val="nil"/>
              <w:tr2bl w:val="nil"/>
            </w:tcBorders>
            <w:shd w:val="clear" w:color="auto" w:fill="auto"/>
            <w:noWrap/>
            <w:vAlign w:val="center"/>
          </w:tcPr>
          <w:p w14:paraId="1439825B">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7D4A976D">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31A01D8B">
            <w:pPr>
              <w:widowControl/>
              <w:spacing w:line="240" w:lineRule="auto"/>
              <w:ind w:firstLine="0" w:firstLineChars="0"/>
              <w:jc w:val="center"/>
              <w:rPr>
                <w:kern w:val="0"/>
                <w:sz w:val="21"/>
                <w:szCs w:val="21"/>
                <w:highlight w:val="black"/>
              </w:rPr>
            </w:pPr>
            <w:r>
              <w:rPr>
                <w:kern w:val="0"/>
                <w:sz w:val="21"/>
                <w:szCs w:val="21"/>
                <w:highlight w:val="black"/>
              </w:rPr>
              <w:t>二长花岗片麻岩</w:t>
            </w:r>
          </w:p>
        </w:tc>
        <w:tc>
          <w:tcPr>
            <w:tcW w:w="622" w:type="dxa"/>
            <w:tcBorders>
              <w:tl2br w:val="nil"/>
              <w:tr2bl w:val="nil"/>
            </w:tcBorders>
            <w:shd w:val="clear" w:color="auto" w:fill="auto"/>
            <w:noWrap/>
            <w:vAlign w:val="center"/>
          </w:tcPr>
          <w:p w14:paraId="669A3B87">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12</w:t>
            </w:r>
          </w:p>
        </w:tc>
        <w:tc>
          <w:tcPr>
            <w:tcW w:w="559" w:type="dxa"/>
            <w:tcBorders>
              <w:tl2br w:val="nil"/>
              <w:tr2bl w:val="nil"/>
            </w:tcBorders>
            <w:shd w:val="clear" w:color="auto" w:fill="auto"/>
            <w:noWrap/>
            <w:vAlign w:val="center"/>
          </w:tcPr>
          <w:p w14:paraId="45EAA8AC">
            <w:pPr>
              <w:widowControl/>
              <w:spacing w:line="240" w:lineRule="auto"/>
              <w:ind w:firstLine="0" w:firstLineChars="0"/>
              <w:jc w:val="center"/>
              <w:rPr>
                <w:kern w:val="0"/>
                <w:sz w:val="21"/>
                <w:szCs w:val="21"/>
                <w:highlight w:val="black"/>
              </w:rPr>
            </w:pPr>
            <w:r>
              <w:rPr>
                <w:kern w:val="0"/>
                <w:sz w:val="21"/>
                <w:szCs w:val="21"/>
                <w:highlight w:val="black"/>
              </w:rPr>
              <w:t>100</w:t>
            </w:r>
          </w:p>
        </w:tc>
        <w:tc>
          <w:tcPr>
            <w:tcW w:w="622" w:type="dxa"/>
            <w:tcBorders>
              <w:tl2br w:val="nil"/>
              <w:tr2bl w:val="nil"/>
            </w:tcBorders>
            <w:shd w:val="clear" w:color="auto" w:fill="auto"/>
            <w:noWrap/>
            <w:vAlign w:val="center"/>
          </w:tcPr>
          <w:p w14:paraId="5655A746">
            <w:pPr>
              <w:widowControl/>
              <w:spacing w:line="240" w:lineRule="auto"/>
              <w:ind w:firstLine="0" w:firstLineChars="0"/>
              <w:jc w:val="center"/>
              <w:rPr>
                <w:kern w:val="0"/>
                <w:sz w:val="21"/>
                <w:szCs w:val="21"/>
                <w:highlight w:val="black"/>
              </w:rPr>
            </w:pPr>
            <w:r>
              <w:rPr>
                <w:kern w:val="0"/>
                <w:sz w:val="21"/>
                <w:szCs w:val="21"/>
                <w:highlight w:val="black"/>
              </w:rPr>
              <w:t>112</w:t>
            </w:r>
          </w:p>
        </w:tc>
        <w:tc>
          <w:tcPr>
            <w:tcW w:w="613" w:type="dxa"/>
            <w:tcBorders>
              <w:tl2br w:val="nil"/>
              <w:tr2bl w:val="nil"/>
            </w:tcBorders>
            <w:shd w:val="clear" w:color="auto" w:fill="auto"/>
            <w:noWrap/>
            <w:vAlign w:val="center"/>
          </w:tcPr>
          <w:p w14:paraId="2EFF0BA3">
            <w:pPr>
              <w:widowControl/>
              <w:spacing w:line="240" w:lineRule="auto"/>
              <w:ind w:firstLine="0" w:firstLineChars="0"/>
              <w:jc w:val="center"/>
              <w:rPr>
                <w:kern w:val="0"/>
                <w:sz w:val="21"/>
                <w:szCs w:val="21"/>
                <w:highlight w:val="black"/>
              </w:rPr>
            </w:pPr>
            <w:r>
              <w:rPr>
                <w:kern w:val="0"/>
                <w:sz w:val="21"/>
                <w:szCs w:val="21"/>
                <w:highlight w:val="black"/>
              </w:rPr>
              <w:t>4.26</w:t>
            </w:r>
          </w:p>
        </w:tc>
        <w:tc>
          <w:tcPr>
            <w:tcW w:w="613" w:type="dxa"/>
            <w:tcBorders>
              <w:tl2br w:val="nil"/>
              <w:tr2bl w:val="nil"/>
            </w:tcBorders>
            <w:shd w:val="clear" w:color="auto" w:fill="auto"/>
            <w:vAlign w:val="center"/>
          </w:tcPr>
          <w:p w14:paraId="096E3293">
            <w:pPr>
              <w:widowControl/>
              <w:spacing w:line="240" w:lineRule="auto"/>
              <w:ind w:firstLine="0" w:firstLineChars="0"/>
              <w:jc w:val="center"/>
              <w:rPr>
                <w:kern w:val="0"/>
                <w:sz w:val="21"/>
                <w:szCs w:val="21"/>
                <w:highlight w:val="black"/>
              </w:rPr>
            </w:pPr>
            <w:r>
              <w:rPr>
                <w:kern w:val="0"/>
                <w:sz w:val="21"/>
                <w:szCs w:val="21"/>
                <w:highlight w:val="black"/>
              </w:rPr>
              <w:t>29.67</w:t>
            </w:r>
          </w:p>
        </w:tc>
        <w:tc>
          <w:tcPr>
            <w:tcW w:w="847" w:type="dxa"/>
            <w:tcBorders>
              <w:tl2br w:val="nil"/>
              <w:tr2bl w:val="nil"/>
            </w:tcBorders>
            <w:shd w:val="clear" w:color="auto" w:fill="auto"/>
            <w:vAlign w:val="center"/>
          </w:tcPr>
          <w:p w14:paraId="6396FA61">
            <w:pPr>
              <w:widowControl/>
              <w:spacing w:line="240" w:lineRule="auto"/>
              <w:ind w:firstLine="0" w:firstLineChars="0"/>
              <w:jc w:val="center"/>
              <w:rPr>
                <w:kern w:val="0"/>
                <w:sz w:val="21"/>
                <w:szCs w:val="21"/>
                <w:highlight w:val="black"/>
              </w:rPr>
            </w:pPr>
            <w:r>
              <w:rPr>
                <w:kern w:val="0"/>
                <w:sz w:val="21"/>
                <w:szCs w:val="21"/>
                <w:highlight w:val="black"/>
              </w:rPr>
              <w:t>21.89</w:t>
            </w:r>
          </w:p>
        </w:tc>
        <w:tc>
          <w:tcPr>
            <w:tcW w:w="1234" w:type="dxa"/>
            <w:tcBorders>
              <w:tl2br w:val="nil"/>
              <w:tr2bl w:val="nil"/>
            </w:tcBorders>
            <w:shd w:val="clear" w:color="auto" w:fill="auto"/>
            <w:vAlign w:val="center"/>
          </w:tcPr>
          <w:p w14:paraId="3210584B">
            <w:pPr>
              <w:widowControl/>
              <w:spacing w:line="240" w:lineRule="auto"/>
              <w:ind w:firstLine="0" w:firstLineChars="0"/>
              <w:jc w:val="center"/>
              <w:rPr>
                <w:kern w:val="0"/>
                <w:sz w:val="21"/>
                <w:szCs w:val="21"/>
                <w:highlight w:val="black"/>
              </w:rPr>
            </w:pPr>
            <w:r>
              <w:rPr>
                <w:kern w:val="0"/>
                <w:sz w:val="21"/>
                <w:szCs w:val="21"/>
                <w:highlight w:val="black"/>
              </w:rPr>
              <w:t>-21</w:t>
            </w:r>
            <w:r>
              <w:rPr>
                <w:rFonts w:hint="eastAsia"/>
                <w:kern w:val="0"/>
                <w:sz w:val="21"/>
                <w:szCs w:val="21"/>
                <w:highlight w:val="black"/>
              </w:rPr>
              <w:t>~</w:t>
            </w:r>
            <w:r>
              <w:rPr>
                <w:kern w:val="0"/>
                <w:sz w:val="21"/>
                <w:szCs w:val="21"/>
                <w:highlight w:val="black"/>
              </w:rPr>
              <w:t>14</w:t>
            </w:r>
          </w:p>
        </w:tc>
        <w:tc>
          <w:tcPr>
            <w:tcW w:w="503" w:type="dxa"/>
            <w:tcBorders>
              <w:tl2br w:val="nil"/>
              <w:tr2bl w:val="nil"/>
            </w:tcBorders>
            <w:shd w:val="clear" w:color="auto" w:fill="auto"/>
            <w:noWrap/>
            <w:vAlign w:val="center"/>
          </w:tcPr>
          <w:p w14:paraId="38181528">
            <w:pPr>
              <w:widowControl/>
              <w:spacing w:line="240" w:lineRule="auto"/>
              <w:ind w:firstLine="0" w:firstLineChars="0"/>
              <w:jc w:val="center"/>
              <w:rPr>
                <w:kern w:val="0"/>
                <w:sz w:val="21"/>
                <w:szCs w:val="21"/>
                <w:highlight w:val="black"/>
              </w:rPr>
            </w:pPr>
            <w:r>
              <w:rPr>
                <w:kern w:val="0"/>
                <w:sz w:val="21"/>
                <w:szCs w:val="21"/>
                <w:highlight w:val="black"/>
              </w:rPr>
              <w:t>193</w:t>
            </w:r>
          </w:p>
        </w:tc>
        <w:tc>
          <w:tcPr>
            <w:tcW w:w="560" w:type="dxa"/>
            <w:tcBorders>
              <w:tl2br w:val="nil"/>
              <w:tr2bl w:val="nil"/>
            </w:tcBorders>
            <w:shd w:val="clear" w:color="auto" w:fill="auto"/>
            <w:noWrap/>
            <w:vAlign w:val="center"/>
          </w:tcPr>
          <w:p w14:paraId="0EF06631">
            <w:pPr>
              <w:widowControl/>
              <w:spacing w:line="240" w:lineRule="auto"/>
              <w:ind w:firstLine="0" w:firstLineChars="0"/>
              <w:jc w:val="center"/>
              <w:rPr>
                <w:kern w:val="0"/>
                <w:sz w:val="21"/>
                <w:szCs w:val="21"/>
                <w:highlight w:val="black"/>
              </w:rPr>
            </w:pPr>
            <w:r>
              <w:rPr>
                <w:kern w:val="0"/>
                <w:sz w:val="21"/>
                <w:szCs w:val="21"/>
                <w:highlight w:val="black"/>
              </w:rPr>
              <w:t>297</w:t>
            </w:r>
          </w:p>
        </w:tc>
      </w:tr>
      <w:tr w14:paraId="15E25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3CB61774">
            <w:pPr>
              <w:widowControl/>
              <w:spacing w:line="240" w:lineRule="auto"/>
              <w:ind w:firstLine="0" w:firstLineChars="0"/>
              <w:jc w:val="center"/>
              <w:rPr>
                <w:kern w:val="0"/>
                <w:sz w:val="21"/>
                <w:szCs w:val="21"/>
                <w:highlight w:val="black"/>
              </w:rPr>
            </w:pPr>
            <w:r>
              <w:rPr>
                <w:kern w:val="0"/>
                <w:sz w:val="21"/>
                <w:szCs w:val="21"/>
                <w:highlight w:val="black"/>
              </w:rPr>
              <w:t>13</w:t>
            </w:r>
          </w:p>
        </w:tc>
        <w:tc>
          <w:tcPr>
            <w:tcW w:w="686" w:type="dxa"/>
            <w:tcBorders>
              <w:tl2br w:val="nil"/>
              <w:tr2bl w:val="nil"/>
            </w:tcBorders>
            <w:shd w:val="clear" w:color="auto" w:fill="auto"/>
            <w:noWrap/>
            <w:vAlign w:val="center"/>
          </w:tcPr>
          <w:p w14:paraId="30AE9E8C">
            <w:pPr>
              <w:widowControl/>
              <w:spacing w:line="240" w:lineRule="auto"/>
              <w:ind w:firstLine="0" w:firstLineChars="0"/>
              <w:jc w:val="center"/>
              <w:rPr>
                <w:kern w:val="0"/>
                <w:sz w:val="21"/>
                <w:szCs w:val="21"/>
                <w:highlight w:val="black"/>
              </w:rPr>
            </w:pPr>
            <w:r>
              <w:rPr>
                <w:kern w:val="0"/>
                <w:sz w:val="21"/>
                <w:szCs w:val="21"/>
                <w:highlight w:val="black"/>
              </w:rPr>
              <w:t>Fe4-12</w:t>
            </w:r>
          </w:p>
        </w:tc>
        <w:tc>
          <w:tcPr>
            <w:tcW w:w="605" w:type="dxa"/>
            <w:tcBorders>
              <w:tl2br w:val="nil"/>
              <w:tr2bl w:val="nil"/>
            </w:tcBorders>
            <w:shd w:val="clear" w:color="auto" w:fill="auto"/>
            <w:noWrap/>
            <w:vAlign w:val="center"/>
          </w:tcPr>
          <w:p w14:paraId="36053FCB">
            <w:pPr>
              <w:widowControl/>
              <w:spacing w:line="240" w:lineRule="auto"/>
              <w:ind w:firstLine="0" w:firstLineChars="0"/>
              <w:jc w:val="center"/>
              <w:rPr>
                <w:kern w:val="0"/>
                <w:sz w:val="21"/>
                <w:szCs w:val="21"/>
                <w:highlight w:val="black"/>
              </w:rPr>
            </w:pPr>
            <w:r>
              <w:rPr>
                <w:kern w:val="0"/>
                <w:sz w:val="21"/>
                <w:szCs w:val="21"/>
                <w:highlight w:val="black"/>
              </w:rPr>
              <w:t>似层状</w:t>
            </w:r>
          </w:p>
        </w:tc>
        <w:tc>
          <w:tcPr>
            <w:tcW w:w="1017" w:type="dxa"/>
            <w:tcBorders>
              <w:tl2br w:val="nil"/>
              <w:tr2bl w:val="nil"/>
            </w:tcBorders>
            <w:shd w:val="clear" w:color="auto" w:fill="auto"/>
            <w:noWrap/>
            <w:vAlign w:val="center"/>
          </w:tcPr>
          <w:p w14:paraId="026D2DE9">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3186EAFC">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1FF186E4">
            <w:pPr>
              <w:widowControl/>
              <w:spacing w:line="240" w:lineRule="auto"/>
              <w:ind w:firstLine="0" w:firstLineChars="0"/>
              <w:jc w:val="center"/>
              <w:rPr>
                <w:kern w:val="0"/>
                <w:sz w:val="21"/>
                <w:szCs w:val="21"/>
                <w:highlight w:val="black"/>
              </w:rPr>
            </w:pPr>
            <w:r>
              <w:rPr>
                <w:kern w:val="0"/>
                <w:sz w:val="21"/>
                <w:szCs w:val="21"/>
                <w:highlight w:val="black"/>
              </w:rPr>
              <w:t>268</w:t>
            </w:r>
            <w:r>
              <w:rPr>
                <w:rFonts w:hint="eastAsia" w:ascii="宋体" w:hAnsi="宋体" w:cs="宋体"/>
                <w:kern w:val="0"/>
                <w:sz w:val="21"/>
                <w:szCs w:val="21"/>
                <w:highlight w:val="black"/>
              </w:rPr>
              <w:t>∠</w:t>
            </w:r>
            <w:r>
              <w:rPr>
                <w:kern w:val="0"/>
                <w:sz w:val="21"/>
                <w:szCs w:val="21"/>
                <w:highlight w:val="black"/>
              </w:rPr>
              <w:t>2</w:t>
            </w:r>
          </w:p>
        </w:tc>
        <w:tc>
          <w:tcPr>
            <w:tcW w:w="559" w:type="dxa"/>
            <w:tcBorders>
              <w:tl2br w:val="nil"/>
              <w:tr2bl w:val="nil"/>
            </w:tcBorders>
            <w:shd w:val="clear" w:color="auto" w:fill="auto"/>
            <w:noWrap/>
            <w:vAlign w:val="center"/>
          </w:tcPr>
          <w:p w14:paraId="0FD08BEF">
            <w:pPr>
              <w:widowControl/>
              <w:spacing w:line="240" w:lineRule="auto"/>
              <w:ind w:firstLine="0" w:firstLineChars="0"/>
              <w:jc w:val="center"/>
              <w:rPr>
                <w:kern w:val="0"/>
                <w:sz w:val="21"/>
                <w:szCs w:val="21"/>
                <w:highlight w:val="black"/>
              </w:rPr>
            </w:pPr>
            <w:r>
              <w:rPr>
                <w:kern w:val="0"/>
                <w:sz w:val="21"/>
                <w:szCs w:val="21"/>
                <w:highlight w:val="black"/>
              </w:rPr>
              <w:t>227</w:t>
            </w:r>
          </w:p>
        </w:tc>
        <w:tc>
          <w:tcPr>
            <w:tcW w:w="622" w:type="dxa"/>
            <w:tcBorders>
              <w:tl2br w:val="nil"/>
              <w:tr2bl w:val="nil"/>
            </w:tcBorders>
            <w:shd w:val="clear" w:color="auto" w:fill="auto"/>
            <w:noWrap/>
            <w:vAlign w:val="center"/>
          </w:tcPr>
          <w:p w14:paraId="4E94FEA7">
            <w:pPr>
              <w:widowControl/>
              <w:spacing w:line="240" w:lineRule="auto"/>
              <w:ind w:firstLine="0" w:firstLineChars="0"/>
              <w:jc w:val="center"/>
              <w:rPr>
                <w:kern w:val="0"/>
                <w:sz w:val="21"/>
                <w:szCs w:val="21"/>
                <w:highlight w:val="black"/>
              </w:rPr>
            </w:pPr>
            <w:r>
              <w:rPr>
                <w:kern w:val="0"/>
                <w:sz w:val="21"/>
                <w:szCs w:val="21"/>
                <w:highlight w:val="black"/>
              </w:rPr>
              <w:t>207</w:t>
            </w:r>
          </w:p>
        </w:tc>
        <w:tc>
          <w:tcPr>
            <w:tcW w:w="613" w:type="dxa"/>
            <w:tcBorders>
              <w:tl2br w:val="nil"/>
              <w:tr2bl w:val="nil"/>
            </w:tcBorders>
            <w:shd w:val="clear" w:color="auto" w:fill="auto"/>
            <w:noWrap/>
            <w:vAlign w:val="center"/>
          </w:tcPr>
          <w:p w14:paraId="44FA3AAA">
            <w:pPr>
              <w:widowControl/>
              <w:spacing w:line="240" w:lineRule="auto"/>
              <w:ind w:firstLine="0" w:firstLineChars="0"/>
              <w:jc w:val="center"/>
              <w:rPr>
                <w:kern w:val="0"/>
                <w:sz w:val="21"/>
                <w:szCs w:val="21"/>
                <w:highlight w:val="black"/>
              </w:rPr>
            </w:pPr>
            <w:r>
              <w:rPr>
                <w:kern w:val="0"/>
                <w:sz w:val="21"/>
                <w:szCs w:val="21"/>
                <w:highlight w:val="black"/>
              </w:rPr>
              <w:t>34.90</w:t>
            </w:r>
          </w:p>
        </w:tc>
        <w:tc>
          <w:tcPr>
            <w:tcW w:w="613" w:type="dxa"/>
            <w:tcBorders>
              <w:tl2br w:val="nil"/>
              <w:tr2bl w:val="nil"/>
            </w:tcBorders>
            <w:shd w:val="clear" w:color="auto" w:fill="auto"/>
            <w:noWrap/>
            <w:vAlign w:val="center"/>
          </w:tcPr>
          <w:p w14:paraId="4EA9581C">
            <w:pPr>
              <w:widowControl/>
              <w:spacing w:line="240" w:lineRule="auto"/>
              <w:ind w:firstLine="0" w:firstLineChars="0"/>
              <w:jc w:val="center"/>
              <w:rPr>
                <w:kern w:val="0"/>
                <w:sz w:val="21"/>
                <w:szCs w:val="21"/>
                <w:highlight w:val="black"/>
              </w:rPr>
            </w:pPr>
            <w:r>
              <w:rPr>
                <w:kern w:val="0"/>
                <w:sz w:val="21"/>
                <w:szCs w:val="21"/>
                <w:highlight w:val="black"/>
              </w:rPr>
              <w:t>30.57</w:t>
            </w:r>
          </w:p>
        </w:tc>
        <w:tc>
          <w:tcPr>
            <w:tcW w:w="847" w:type="dxa"/>
            <w:tcBorders>
              <w:tl2br w:val="nil"/>
              <w:tr2bl w:val="nil"/>
            </w:tcBorders>
            <w:shd w:val="clear" w:color="auto" w:fill="auto"/>
            <w:noWrap/>
            <w:vAlign w:val="center"/>
          </w:tcPr>
          <w:p w14:paraId="51A60788">
            <w:pPr>
              <w:widowControl/>
              <w:spacing w:line="240" w:lineRule="auto"/>
              <w:ind w:firstLine="0" w:firstLineChars="0"/>
              <w:jc w:val="center"/>
              <w:rPr>
                <w:kern w:val="0"/>
                <w:sz w:val="21"/>
                <w:szCs w:val="21"/>
                <w:highlight w:val="black"/>
              </w:rPr>
            </w:pPr>
            <w:r>
              <w:rPr>
                <w:kern w:val="0"/>
                <w:sz w:val="21"/>
                <w:szCs w:val="21"/>
                <w:highlight w:val="black"/>
              </w:rPr>
              <w:t>23.95</w:t>
            </w:r>
          </w:p>
        </w:tc>
        <w:tc>
          <w:tcPr>
            <w:tcW w:w="1234" w:type="dxa"/>
            <w:tcBorders>
              <w:tl2br w:val="nil"/>
              <w:tr2bl w:val="nil"/>
            </w:tcBorders>
            <w:shd w:val="clear" w:color="auto" w:fill="auto"/>
            <w:vAlign w:val="center"/>
          </w:tcPr>
          <w:p w14:paraId="697BD2AE">
            <w:pPr>
              <w:widowControl/>
              <w:spacing w:line="240" w:lineRule="auto"/>
              <w:ind w:firstLine="0" w:firstLineChars="0"/>
              <w:jc w:val="center"/>
              <w:rPr>
                <w:kern w:val="0"/>
                <w:sz w:val="21"/>
                <w:szCs w:val="21"/>
                <w:highlight w:val="black"/>
              </w:rPr>
            </w:pPr>
            <w:r>
              <w:rPr>
                <w:kern w:val="0"/>
                <w:sz w:val="21"/>
                <w:szCs w:val="21"/>
                <w:highlight w:val="black"/>
              </w:rPr>
              <w:t>-38</w:t>
            </w:r>
            <w:r>
              <w:rPr>
                <w:rFonts w:hint="eastAsia"/>
                <w:kern w:val="0"/>
                <w:sz w:val="21"/>
                <w:szCs w:val="21"/>
                <w:highlight w:val="black"/>
              </w:rPr>
              <w:t>~</w:t>
            </w:r>
            <w:r>
              <w:rPr>
                <w:kern w:val="0"/>
                <w:sz w:val="21"/>
                <w:szCs w:val="21"/>
                <w:highlight w:val="black"/>
              </w:rPr>
              <w:t>2</w:t>
            </w:r>
          </w:p>
        </w:tc>
        <w:tc>
          <w:tcPr>
            <w:tcW w:w="503" w:type="dxa"/>
            <w:tcBorders>
              <w:tl2br w:val="nil"/>
              <w:tr2bl w:val="nil"/>
            </w:tcBorders>
            <w:shd w:val="clear" w:color="auto" w:fill="auto"/>
            <w:noWrap/>
            <w:vAlign w:val="center"/>
          </w:tcPr>
          <w:p w14:paraId="4E4E5B17">
            <w:pPr>
              <w:widowControl/>
              <w:spacing w:line="240" w:lineRule="auto"/>
              <w:ind w:firstLine="0" w:firstLineChars="0"/>
              <w:jc w:val="center"/>
              <w:rPr>
                <w:kern w:val="0"/>
                <w:sz w:val="21"/>
                <w:szCs w:val="21"/>
                <w:highlight w:val="black"/>
              </w:rPr>
            </w:pPr>
            <w:r>
              <w:rPr>
                <w:kern w:val="0"/>
                <w:sz w:val="21"/>
                <w:szCs w:val="21"/>
                <w:highlight w:val="black"/>
              </w:rPr>
              <w:t>176</w:t>
            </w:r>
          </w:p>
        </w:tc>
        <w:tc>
          <w:tcPr>
            <w:tcW w:w="560" w:type="dxa"/>
            <w:tcBorders>
              <w:tl2br w:val="nil"/>
              <w:tr2bl w:val="nil"/>
            </w:tcBorders>
            <w:shd w:val="clear" w:color="auto" w:fill="auto"/>
            <w:noWrap/>
            <w:vAlign w:val="center"/>
          </w:tcPr>
          <w:p w14:paraId="2F096131">
            <w:pPr>
              <w:widowControl/>
              <w:spacing w:line="240" w:lineRule="auto"/>
              <w:ind w:firstLine="0" w:firstLineChars="0"/>
              <w:jc w:val="center"/>
              <w:rPr>
                <w:kern w:val="0"/>
                <w:sz w:val="21"/>
                <w:szCs w:val="21"/>
                <w:highlight w:val="black"/>
              </w:rPr>
            </w:pPr>
            <w:r>
              <w:rPr>
                <w:kern w:val="0"/>
                <w:sz w:val="21"/>
                <w:szCs w:val="21"/>
                <w:highlight w:val="black"/>
              </w:rPr>
              <w:t>215</w:t>
            </w:r>
          </w:p>
        </w:tc>
      </w:tr>
      <w:tr w14:paraId="7EA06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26D02863">
            <w:pPr>
              <w:widowControl/>
              <w:spacing w:line="240" w:lineRule="auto"/>
              <w:ind w:firstLine="0" w:firstLineChars="0"/>
              <w:jc w:val="center"/>
              <w:rPr>
                <w:kern w:val="0"/>
                <w:sz w:val="21"/>
                <w:szCs w:val="21"/>
                <w:highlight w:val="black"/>
              </w:rPr>
            </w:pPr>
            <w:r>
              <w:rPr>
                <w:kern w:val="0"/>
                <w:sz w:val="21"/>
                <w:szCs w:val="21"/>
                <w:highlight w:val="black"/>
              </w:rPr>
              <w:t>14</w:t>
            </w:r>
          </w:p>
        </w:tc>
        <w:tc>
          <w:tcPr>
            <w:tcW w:w="686" w:type="dxa"/>
            <w:tcBorders>
              <w:tl2br w:val="nil"/>
              <w:tr2bl w:val="nil"/>
            </w:tcBorders>
            <w:shd w:val="clear" w:color="auto" w:fill="auto"/>
            <w:noWrap/>
            <w:vAlign w:val="center"/>
          </w:tcPr>
          <w:p w14:paraId="1AAA23CD">
            <w:pPr>
              <w:widowControl/>
              <w:spacing w:line="240" w:lineRule="auto"/>
              <w:ind w:firstLine="0" w:firstLineChars="0"/>
              <w:jc w:val="center"/>
              <w:rPr>
                <w:kern w:val="0"/>
                <w:sz w:val="21"/>
                <w:szCs w:val="21"/>
                <w:highlight w:val="black"/>
              </w:rPr>
            </w:pPr>
            <w:r>
              <w:rPr>
                <w:kern w:val="0"/>
                <w:sz w:val="21"/>
                <w:szCs w:val="21"/>
                <w:highlight w:val="black"/>
              </w:rPr>
              <w:t>Fe9</w:t>
            </w:r>
          </w:p>
        </w:tc>
        <w:tc>
          <w:tcPr>
            <w:tcW w:w="605" w:type="dxa"/>
            <w:tcBorders>
              <w:tl2br w:val="nil"/>
              <w:tr2bl w:val="nil"/>
            </w:tcBorders>
            <w:shd w:val="clear" w:color="auto" w:fill="auto"/>
            <w:noWrap/>
            <w:vAlign w:val="center"/>
          </w:tcPr>
          <w:p w14:paraId="0C2C2E0B">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15EF02D0">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0D4B9C7D">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28BF205B">
            <w:pPr>
              <w:widowControl/>
              <w:spacing w:line="240" w:lineRule="auto"/>
              <w:ind w:firstLine="0" w:firstLineChars="0"/>
              <w:jc w:val="center"/>
              <w:rPr>
                <w:kern w:val="0"/>
                <w:sz w:val="21"/>
                <w:szCs w:val="21"/>
                <w:highlight w:val="black"/>
              </w:rPr>
            </w:pPr>
            <w:r>
              <w:rPr>
                <w:kern w:val="0"/>
                <w:sz w:val="21"/>
                <w:szCs w:val="21"/>
                <w:highlight w:val="black"/>
              </w:rPr>
              <w:t>275</w:t>
            </w:r>
            <w:r>
              <w:rPr>
                <w:rFonts w:hint="eastAsia" w:ascii="宋体" w:hAnsi="宋体" w:cs="宋体"/>
                <w:kern w:val="0"/>
                <w:sz w:val="21"/>
                <w:szCs w:val="21"/>
                <w:highlight w:val="black"/>
              </w:rPr>
              <w:t>∠</w:t>
            </w:r>
            <w:r>
              <w:rPr>
                <w:kern w:val="0"/>
                <w:sz w:val="21"/>
                <w:szCs w:val="21"/>
                <w:highlight w:val="black"/>
              </w:rPr>
              <w:t>35</w:t>
            </w:r>
          </w:p>
        </w:tc>
        <w:tc>
          <w:tcPr>
            <w:tcW w:w="559" w:type="dxa"/>
            <w:tcBorders>
              <w:tl2br w:val="nil"/>
              <w:tr2bl w:val="nil"/>
            </w:tcBorders>
            <w:shd w:val="clear" w:color="auto" w:fill="auto"/>
            <w:noWrap/>
            <w:vAlign w:val="center"/>
          </w:tcPr>
          <w:p w14:paraId="47491EB2">
            <w:pPr>
              <w:widowControl/>
              <w:spacing w:line="240" w:lineRule="auto"/>
              <w:ind w:firstLine="0" w:firstLineChars="0"/>
              <w:jc w:val="center"/>
              <w:rPr>
                <w:kern w:val="0"/>
                <w:sz w:val="21"/>
                <w:szCs w:val="21"/>
                <w:highlight w:val="black"/>
              </w:rPr>
            </w:pPr>
            <w:r>
              <w:rPr>
                <w:kern w:val="0"/>
                <w:sz w:val="21"/>
                <w:szCs w:val="21"/>
                <w:highlight w:val="black"/>
              </w:rPr>
              <w:t>49</w:t>
            </w:r>
          </w:p>
        </w:tc>
        <w:tc>
          <w:tcPr>
            <w:tcW w:w="622" w:type="dxa"/>
            <w:tcBorders>
              <w:tl2br w:val="nil"/>
              <w:tr2bl w:val="nil"/>
            </w:tcBorders>
            <w:shd w:val="clear" w:color="auto" w:fill="auto"/>
            <w:noWrap/>
            <w:vAlign w:val="center"/>
          </w:tcPr>
          <w:p w14:paraId="5B2B721F">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2CC5F8D6">
            <w:pPr>
              <w:widowControl/>
              <w:spacing w:line="240" w:lineRule="auto"/>
              <w:ind w:firstLine="0" w:firstLineChars="0"/>
              <w:jc w:val="center"/>
              <w:rPr>
                <w:kern w:val="0"/>
                <w:sz w:val="21"/>
                <w:szCs w:val="21"/>
                <w:highlight w:val="black"/>
              </w:rPr>
            </w:pPr>
            <w:r>
              <w:rPr>
                <w:kern w:val="0"/>
                <w:sz w:val="21"/>
                <w:szCs w:val="21"/>
                <w:highlight w:val="black"/>
              </w:rPr>
              <w:t>1.80</w:t>
            </w:r>
          </w:p>
        </w:tc>
        <w:tc>
          <w:tcPr>
            <w:tcW w:w="613" w:type="dxa"/>
            <w:tcBorders>
              <w:tl2br w:val="nil"/>
              <w:tr2bl w:val="nil"/>
            </w:tcBorders>
            <w:shd w:val="clear" w:color="auto" w:fill="auto"/>
            <w:noWrap/>
            <w:vAlign w:val="center"/>
          </w:tcPr>
          <w:p w14:paraId="41E800F5">
            <w:pPr>
              <w:widowControl/>
              <w:spacing w:line="240" w:lineRule="auto"/>
              <w:ind w:firstLine="0" w:firstLineChars="0"/>
              <w:jc w:val="center"/>
              <w:rPr>
                <w:kern w:val="0"/>
                <w:sz w:val="21"/>
                <w:szCs w:val="21"/>
                <w:highlight w:val="black"/>
              </w:rPr>
            </w:pPr>
            <w:r>
              <w:rPr>
                <w:kern w:val="0"/>
                <w:sz w:val="21"/>
                <w:szCs w:val="21"/>
                <w:highlight w:val="black"/>
              </w:rPr>
              <w:t>30.19</w:t>
            </w:r>
          </w:p>
        </w:tc>
        <w:tc>
          <w:tcPr>
            <w:tcW w:w="847" w:type="dxa"/>
            <w:tcBorders>
              <w:tl2br w:val="nil"/>
              <w:tr2bl w:val="nil"/>
            </w:tcBorders>
            <w:shd w:val="clear" w:color="auto" w:fill="auto"/>
            <w:noWrap/>
            <w:vAlign w:val="center"/>
          </w:tcPr>
          <w:p w14:paraId="7C79A153">
            <w:pPr>
              <w:widowControl/>
              <w:spacing w:line="240" w:lineRule="auto"/>
              <w:ind w:firstLine="0" w:firstLineChars="0"/>
              <w:jc w:val="center"/>
              <w:rPr>
                <w:kern w:val="0"/>
                <w:sz w:val="21"/>
                <w:szCs w:val="21"/>
                <w:highlight w:val="black"/>
              </w:rPr>
            </w:pPr>
            <w:r>
              <w:rPr>
                <w:kern w:val="0"/>
                <w:sz w:val="21"/>
                <w:szCs w:val="21"/>
                <w:highlight w:val="black"/>
              </w:rPr>
              <w:t>27.36</w:t>
            </w:r>
          </w:p>
        </w:tc>
        <w:tc>
          <w:tcPr>
            <w:tcW w:w="1234" w:type="dxa"/>
            <w:tcBorders>
              <w:tl2br w:val="nil"/>
              <w:tr2bl w:val="nil"/>
            </w:tcBorders>
            <w:shd w:val="clear" w:color="auto" w:fill="auto"/>
            <w:vAlign w:val="center"/>
          </w:tcPr>
          <w:p w14:paraId="612EE3B0">
            <w:pPr>
              <w:widowControl/>
              <w:spacing w:line="240" w:lineRule="auto"/>
              <w:ind w:firstLine="0" w:firstLineChars="0"/>
              <w:jc w:val="center"/>
              <w:rPr>
                <w:kern w:val="0"/>
                <w:sz w:val="21"/>
                <w:szCs w:val="21"/>
                <w:highlight w:val="black"/>
              </w:rPr>
            </w:pPr>
            <w:r>
              <w:rPr>
                <w:kern w:val="0"/>
                <w:sz w:val="21"/>
                <w:szCs w:val="21"/>
                <w:highlight w:val="black"/>
              </w:rPr>
              <w:t>168</w:t>
            </w:r>
            <w:r>
              <w:rPr>
                <w:rFonts w:hint="eastAsia"/>
                <w:kern w:val="0"/>
                <w:sz w:val="21"/>
                <w:szCs w:val="21"/>
                <w:highlight w:val="black"/>
              </w:rPr>
              <w:t>~</w:t>
            </w:r>
            <w:r>
              <w:rPr>
                <w:kern w:val="0"/>
                <w:sz w:val="21"/>
                <w:szCs w:val="21"/>
                <w:highlight w:val="black"/>
              </w:rPr>
              <w:t>208</w:t>
            </w:r>
          </w:p>
        </w:tc>
        <w:tc>
          <w:tcPr>
            <w:tcW w:w="503" w:type="dxa"/>
            <w:tcBorders>
              <w:tl2br w:val="nil"/>
              <w:tr2bl w:val="nil"/>
            </w:tcBorders>
            <w:shd w:val="clear" w:color="auto" w:fill="auto"/>
            <w:noWrap/>
            <w:vAlign w:val="center"/>
          </w:tcPr>
          <w:p w14:paraId="5EE1BE90">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15587C2C">
            <w:pPr>
              <w:widowControl/>
              <w:spacing w:line="240" w:lineRule="auto"/>
              <w:ind w:firstLine="0" w:firstLineChars="0"/>
              <w:jc w:val="center"/>
              <w:rPr>
                <w:kern w:val="0"/>
                <w:sz w:val="21"/>
                <w:szCs w:val="21"/>
                <w:highlight w:val="black"/>
              </w:rPr>
            </w:pPr>
            <w:r>
              <w:rPr>
                <w:kern w:val="0"/>
                <w:sz w:val="21"/>
                <w:szCs w:val="21"/>
                <w:highlight w:val="black"/>
              </w:rPr>
              <w:t>37</w:t>
            </w:r>
          </w:p>
        </w:tc>
      </w:tr>
      <w:tr w14:paraId="17CA0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698FCCCB">
            <w:pPr>
              <w:widowControl/>
              <w:spacing w:line="240" w:lineRule="auto"/>
              <w:ind w:firstLine="0" w:firstLineChars="0"/>
              <w:jc w:val="center"/>
              <w:rPr>
                <w:kern w:val="0"/>
                <w:sz w:val="21"/>
                <w:szCs w:val="21"/>
                <w:highlight w:val="black"/>
              </w:rPr>
            </w:pPr>
            <w:r>
              <w:rPr>
                <w:kern w:val="0"/>
                <w:sz w:val="21"/>
                <w:szCs w:val="21"/>
                <w:highlight w:val="black"/>
              </w:rPr>
              <w:t>15</w:t>
            </w:r>
          </w:p>
        </w:tc>
        <w:tc>
          <w:tcPr>
            <w:tcW w:w="686" w:type="dxa"/>
            <w:tcBorders>
              <w:tl2br w:val="nil"/>
              <w:tr2bl w:val="nil"/>
            </w:tcBorders>
            <w:shd w:val="clear" w:color="auto" w:fill="auto"/>
            <w:noWrap/>
            <w:vAlign w:val="center"/>
          </w:tcPr>
          <w:p w14:paraId="4CB07E0F">
            <w:pPr>
              <w:widowControl/>
              <w:spacing w:line="240" w:lineRule="auto"/>
              <w:ind w:firstLine="0" w:firstLineChars="0"/>
              <w:jc w:val="center"/>
              <w:rPr>
                <w:kern w:val="0"/>
                <w:sz w:val="21"/>
                <w:szCs w:val="21"/>
                <w:highlight w:val="black"/>
              </w:rPr>
            </w:pPr>
            <w:r>
              <w:rPr>
                <w:kern w:val="0"/>
                <w:sz w:val="21"/>
                <w:szCs w:val="21"/>
                <w:highlight w:val="black"/>
              </w:rPr>
              <w:t>Fe10</w:t>
            </w:r>
          </w:p>
        </w:tc>
        <w:tc>
          <w:tcPr>
            <w:tcW w:w="605" w:type="dxa"/>
            <w:tcBorders>
              <w:tl2br w:val="nil"/>
              <w:tr2bl w:val="nil"/>
            </w:tcBorders>
            <w:shd w:val="clear" w:color="auto" w:fill="auto"/>
            <w:noWrap/>
            <w:vAlign w:val="center"/>
          </w:tcPr>
          <w:p w14:paraId="29E0D806">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31CC181A">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7DC56094">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18170461">
            <w:pPr>
              <w:widowControl/>
              <w:spacing w:line="240" w:lineRule="auto"/>
              <w:ind w:firstLine="0" w:firstLineChars="0"/>
              <w:jc w:val="center"/>
              <w:rPr>
                <w:kern w:val="0"/>
                <w:sz w:val="21"/>
                <w:szCs w:val="21"/>
                <w:highlight w:val="black"/>
              </w:rPr>
            </w:pPr>
            <w:r>
              <w:rPr>
                <w:kern w:val="0"/>
                <w:sz w:val="21"/>
                <w:szCs w:val="21"/>
                <w:highlight w:val="black"/>
              </w:rPr>
              <w:t>270</w:t>
            </w:r>
            <w:r>
              <w:rPr>
                <w:rFonts w:hint="eastAsia" w:ascii="宋体" w:hAnsi="宋体" w:cs="宋体"/>
                <w:kern w:val="0"/>
                <w:sz w:val="21"/>
                <w:szCs w:val="21"/>
                <w:highlight w:val="black"/>
              </w:rPr>
              <w:t>∠</w:t>
            </w:r>
            <w:r>
              <w:rPr>
                <w:kern w:val="0"/>
                <w:sz w:val="21"/>
                <w:szCs w:val="21"/>
                <w:highlight w:val="black"/>
              </w:rPr>
              <w:t>32</w:t>
            </w:r>
          </w:p>
        </w:tc>
        <w:tc>
          <w:tcPr>
            <w:tcW w:w="559" w:type="dxa"/>
            <w:tcBorders>
              <w:tl2br w:val="nil"/>
              <w:tr2bl w:val="nil"/>
            </w:tcBorders>
            <w:shd w:val="clear" w:color="auto" w:fill="auto"/>
            <w:noWrap/>
            <w:vAlign w:val="center"/>
          </w:tcPr>
          <w:p w14:paraId="460FC565">
            <w:pPr>
              <w:widowControl/>
              <w:spacing w:line="240" w:lineRule="auto"/>
              <w:ind w:firstLine="0" w:firstLineChars="0"/>
              <w:jc w:val="center"/>
              <w:rPr>
                <w:kern w:val="0"/>
                <w:sz w:val="21"/>
                <w:szCs w:val="21"/>
                <w:highlight w:val="black"/>
              </w:rPr>
            </w:pPr>
            <w:r>
              <w:rPr>
                <w:kern w:val="0"/>
                <w:sz w:val="21"/>
                <w:szCs w:val="21"/>
                <w:highlight w:val="black"/>
              </w:rPr>
              <w:t>32</w:t>
            </w:r>
          </w:p>
        </w:tc>
        <w:tc>
          <w:tcPr>
            <w:tcW w:w="622" w:type="dxa"/>
            <w:tcBorders>
              <w:tl2br w:val="nil"/>
              <w:tr2bl w:val="nil"/>
            </w:tcBorders>
            <w:shd w:val="clear" w:color="auto" w:fill="auto"/>
            <w:noWrap/>
            <w:vAlign w:val="center"/>
          </w:tcPr>
          <w:p w14:paraId="66148A75">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3D109162">
            <w:pPr>
              <w:widowControl/>
              <w:spacing w:line="240" w:lineRule="auto"/>
              <w:ind w:firstLine="0" w:firstLineChars="0"/>
              <w:jc w:val="center"/>
              <w:rPr>
                <w:kern w:val="0"/>
                <w:sz w:val="21"/>
                <w:szCs w:val="21"/>
                <w:highlight w:val="black"/>
              </w:rPr>
            </w:pPr>
            <w:r>
              <w:rPr>
                <w:kern w:val="0"/>
                <w:sz w:val="21"/>
                <w:szCs w:val="21"/>
                <w:highlight w:val="black"/>
              </w:rPr>
              <w:t>1.87</w:t>
            </w:r>
          </w:p>
        </w:tc>
        <w:tc>
          <w:tcPr>
            <w:tcW w:w="613" w:type="dxa"/>
            <w:tcBorders>
              <w:tl2br w:val="nil"/>
              <w:tr2bl w:val="nil"/>
            </w:tcBorders>
            <w:shd w:val="clear" w:color="auto" w:fill="auto"/>
            <w:noWrap/>
            <w:vAlign w:val="center"/>
          </w:tcPr>
          <w:p w14:paraId="3FA61F23">
            <w:pPr>
              <w:widowControl/>
              <w:spacing w:line="240" w:lineRule="auto"/>
              <w:ind w:firstLine="0" w:firstLineChars="0"/>
              <w:jc w:val="center"/>
              <w:rPr>
                <w:kern w:val="0"/>
                <w:sz w:val="21"/>
                <w:szCs w:val="21"/>
                <w:highlight w:val="black"/>
              </w:rPr>
            </w:pPr>
            <w:r>
              <w:rPr>
                <w:kern w:val="0"/>
                <w:sz w:val="21"/>
                <w:szCs w:val="21"/>
                <w:highlight w:val="black"/>
              </w:rPr>
              <w:t>30.12</w:t>
            </w:r>
          </w:p>
        </w:tc>
        <w:tc>
          <w:tcPr>
            <w:tcW w:w="847" w:type="dxa"/>
            <w:tcBorders>
              <w:tl2br w:val="nil"/>
              <w:tr2bl w:val="nil"/>
            </w:tcBorders>
            <w:shd w:val="clear" w:color="auto" w:fill="auto"/>
            <w:noWrap/>
            <w:vAlign w:val="center"/>
          </w:tcPr>
          <w:p w14:paraId="630566F1">
            <w:pPr>
              <w:widowControl/>
              <w:spacing w:line="240" w:lineRule="auto"/>
              <w:ind w:firstLine="0" w:firstLineChars="0"/>
              <w:jc w:val="center"/>
              <w:rPr>
                <w:kern w:val="0"/>
                <w:sz w:val="21"/>
                <w:szCs w:val="21"/>
                <w:highlight w:val="black"/>
              </w:rPr>
            </w:pPr>
            <w:r>
              <w:rPr>
                <w:kern w:val="0"/>
                <w:sz w:val="21"/>
                <w:szCs w:val="21"/>
                <w:highlight w:val="black"/>
              </w:rPr>
              <w:t>28.35</w:t>
            </w:r>
          </w:p>
        </w:tc>
        <w:tc>
          <w:tcPr>
            <w:tcW w:w="1234" w:type="dxa"/>
            <w:tcBorders>
              <w:tl2br w:val="nil"/>
              <w:tr2bl w:val="nil"/>
            </w:tcBorders>
            <w:shd w:val="clear" w:color="auto" w:fill="auto"/>
            <w:vAlign w:val="center"/>
          </w:tcPr>
          <w:p w14:paraId="614B1499">
            <w:pPr>
              <w:widowControl/>
              <w:spacing w:line="240" w:lineRule="auto"/>
              <w:ind w:firstLine="0" w:firstLineChars="0"/>
              <w:jc w:val="center"/>
              <w:rPr>
                <w:kern w:val="0"/>
                <w:sz w:val="21"/>
                <w:szCs w:val="21"/>
                <w:highlight w:val="black"/>
              </w:rPr>
            </w:pPr>
            <w:r>
              <w:rPr>
                <w:kern w:val="0"/>
                <w:sz w:val="21"/>
                <w:szCs w:val="21"/>
                <w:highlight w:val="black"/>
              </w:rPr>
              <w:t>175</w:t>
            </w:r>
            <w:r>
              <w:rPr>
                <w:rFonts w:hint="eastAsia"/>
                <w:kern w:val="0"/>
                <w:sz w:val="21"/>
                <w:szCs w:val="21"/>
                <w:highlight w:val="black"/>
              </w:rPr>
              <w:t>~</w:t>
            </w:r>
            <w:r>
              <w:rPr>
                <w:kern w:val="0"/>
                <w:sz w:val="21"/>
                <w:szCs w:val="21"/>
                <w:highlight w:val="black"/>
              </w:rPr>
              <w:t>215</w:t>
            </w:r>
          </w:p>
        </w:tc>
        <w:tc>
          <w:tcPr>
            <w:tcW w:w="503" w:type="dxa"/>
            <w:tcBorders>
              <w:tl2br w:val="nil"/>
              <w:tr2bl w:val="nil"/>
            </w:tcBorders>
            <w:shd w:val="clear" w:color="auto" w:fill="auto"/>
            <w:noWrap/>
            <w:vAlign w:val="center"/>
          </w:tcPr>
          <w:p w14:paraId="186224C0">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08289433">
            <w:pPr>
              <w:widowControl/>
              <w:spacing w:line="240" w:lineRule="auto"/>
              <w:ind w:firstLine="0" w:firstLineChars="0"/>
              <w:jc w:val="center"/>
              <w:rPr>
                <w:kern w:val="0"/>
                <w:sz w:val="21"/>
                <w:szCs w:val="21"/>
                <w:highlight w:val="black"/>
              </w:rPr>
            </w:pPr>
            <w:r>
              <w:rPr>
                <w:kern w:val="0"/>
                <w:sz w:val="21"/>
                <w:szCs w:val="21"/>
                <w:highlight w:val="black"/>
              </w:rPr>
              <w:t>32</w:t>
            </w:r>
          </w:p>
        </w:tc>
      </w:tr>
      <w:tr w14:paraId="35C4B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3DC9B93F">
            <w:pPr>
              <w:widowControl/>
              <w:spacing w:line="240" w:lineRule="auto"/>
              <w:ind w:firstLine="0" w:firstLineChars="0"/>
              <w:jc w:val="center"/>
              <w:rPr>
                <w:kern w:val="0"/>
                <w:sz w:val="21"/>
                <w:szCs w:val="21"/>
                <w:highlight w:val="black"/>
              </w:rPr>
            </w:pPr>
            <w:r>
              <w:rPr>
                <w:kern w:val="0"/>
                <w:sz w:val="21"/>
                <w:szCs w:val="21"/>
                <w:highlight w:val="black"/>
              </w:rPr>
              <w:t>16</w:t>
            </w:r>
          </w:p>
        </w:tc>
        <w:tc>
          <w:tcPr>
            <w:tcW w:w="686" w:type="dxa"/>
            <w:tcBorders>
              <w:tl2br w:val="nil"/>
              <w:tr2bl w:val="nil"/>
            </w:tcBorders>
            <w:shd w:val="clear" w:color="auto" w:fill="auto"/>
            <w:noWrap/>
            <w:vAlign w:val="center"/>
          </w:tcPr>
          <w:p w14:paraId="7ED47096">
            <w:pPr>
              <w:widowControl/>
              <w:spacing w:line="240" w:lineRule="auto"/>
              <w:ind w:firstLine="0" w:firstLineChars="0"/>
              <w:jc w:val="center"/>
              <w:rPr>
                <w:kern w:val="0"/>
                <w:sz w:val="21"/>
                <w:szCs w:val="21"/>
                <w:highlight w:val="black"/>
              </w:rPr>
            </w:pPr>
            <w:r>
              <w:rPr>
                <w:kern w:val="0"/>
                <w:sz w:val="21"/>
                <w:szCs w:val="21"/>
                <w:highlight w:val="black"/>
              </w:rPr>
              <w:t>Fe12</w:t>
            </w:r>
          </w:p>
        </w:tc>
        <w:tc>
          <w:tcPr>
            <w:tcW w:w="605" w:type="dxa"/>
            <w:tcBorders>
              <w:tl2br w:val="nil"/>
              <w:tr2bl w:val="nil"/>
            </w:tcBorders>
            <w:shd w:val="clear" w:color="auto" w:fill="auto"/>
            <w:noWrap/>
            <w:vAlign w:val="center"/>
          </w:tcPr>
          <w:p w14:paraId="36F02E5E">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372F9A00">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3833C146">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348A7B03">
            <w:pPr>
              <w:widowControl/>
              <w:spacing w:line="240" w:lineRule="auto"/>
              <w:ind w:firstLine="0" w:firstLineChars="0"/>
              <w:jc w:val="center"/>
              <w:rPr>
                <w:kern w:val="0"/>
                <w:sz w:val="21"/>
                <w:szCs w:val="21"/>
                <w:highlight w:val="black"/>
              </w:rPr>
            </w:pPr>
            <w:r>
              <w:rPr>
                <w:kern w:val="0"/>
                <w:sz w:val="21"/>
                <w:szCs w:val="21"/>
                <w:highlight w:val="black"/>
              </w:rPr>
              <w:t>286</w:t>
            </w:r>
            <w:r>
              <w:rPr>
                <w:rFonts w:hint="eastAsia" w:ascii="宋体" w:hAnsi="宋体" w:cs="宋体"/>
                <w:kern w:val="0"/>
                <w:sz w:val="21"/>
                <w:szCs w:val="21"/>
                <w:highlight w:val="black"/>
              </w:rPr>
              <w:t>∠</w:t>
            </w:r>
            <w:r>
              <w:rPr>
                <w:kern w:val="0"/>
                <w:sz w:val="21"/>
                <w:szCs w:val="21"/>
                <w:highlight w:val="black"/>
              </w:rPr>
              <w:t>40</w:t>
            </w:r>
          </w:p>
        </w:tc>
        <w:tc>
          <w:tcPr>
            <w:tcW w:w="559" w:type="dxa"/>
            <w:tcBorders>
              <w:tl2br w:val="nil"/>
              <w:tr2bl w:val="nil"/>
            </w:tcBorders>
            <w:shd w:val="clear" w:color="auto" w:fill="auto"/>
            <w:noWrap/>
            <w:vAlign w:val="center"/>
          </w:tcPr>
          <w:p w14:paraId="3F9E0119">
            <w:pPr>
              <w:widowControl/>
              <w:spacing w:line="240" w:lineRule="auto"/>
              <w:ind w:firstLine="0" w:firstLineChars="0"/>
              <w:jc w:val="center"/>
              <w:rPr>
                <w:kern w:val="0"/>
                <w:sz w:val="21"/>
                <w:szCs w:val="21"/>
                <w:highlight w:val="black"/>
              </w:rPr>
            </w:pPr>
            <w:r>
              <w:rPr>
                <w:kern w:val="0"/>
                <w:sz w:val="21"/>
                <w:szCs w:val="21"/>
                <w:highlight w:val="black"/>
              </w:rPr>
              <w:t>46</w:t>
            </w:r>
          </w:p>
        </w:tc>
        <w:tc>
          <w:tcPr>
            <w:tcW w:w="622" w:type="dxa"/>
            <w:tcBorders>
              <w:tl2br w:val="nil"/>
              <w:tr2bl w:val="nil"/>
            </w:tcBorders>
            <w:shd w:val="clear" w:color="auto" w:fill="auto"/>
            <w:noWrap/>
            <w:vAlign w:val="center"/>
          </w:tcPr>
          <w:p w14:paraId="2B9D0236">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416A9B32">
            <w:pPr>
              <w:widowControl/>
              <w:spacing w:line="240" w:lineRule="auto"/>
              <w:ind w:firstLine="0" w:firstLineChars="0"/>
              <w:jc w:val="center"/>
              <w:rPr>
                <w:kern w:val="0"/>
                <w:sz w:val="21"/>
                <w:szCs w:val="21"/>
                <w:highlight w:val="black"/>
              </w:rPr>
            </w:pPr>
            <w:r>
              <w:rPr>
                <w:kern w:val="0"/>
                <w:sz w:val="21"/>
                <w:szCs w:val="21"/>
                <w:highlight w:val="black"/>
              </w:rPr>
              <w:t>1.93</w:t>
            </w:r>
          </w:p>
        </w:tc>
        <w:tc>
          <w:tcPr>
            <w:tcW w:w="613" w:type="dxa"/>
            <w:tcBorders>
              <w:tl2br w:val="nil"/>
              <w:tr2bl w:val="nil"/>
            </w:tcBorders>
            <w:shd w:val="clear" w:color="auto" w:fill="auto"/>
            <w:noWrap/>
            <w:vAlign w:val="center"/>
          </w:tcPr>
          <w:p w14:paraId="31D0B53E">
            <w:pPr>
              <w:widowControl/>
              <w:spacing w:line="240" w:lineRule="auto"/>
              <w:ind w:firstLine="0" w:firstLineChars="0"/>
              <w:jc w:val="center"/>
              <w:rPr>
                <w:kern w:val="0"/>
                <w:sz w:val="21"/>
                <w:szCs w:val="21"/>
                <w:highlight w:val="black"/>
              </w:rPr>
            </w:pPr>
            <w:r>
              <w:rPr>
                <w:kern w:val="0"/>
                <w:sz w:val="21"/>
                <w:szCs w:val="21"/>
                <w:highlight w:val="black"/>
              </w:rPr>
              <w:t>32.51</w:t>
            </w:r>
          </w:p>
        </w:tc>
        <w:tc>
          <w:tcPr>
            <w:tcW w:w="847" w:type="dxa"/>
            <w:tcBorders>
              <w:tl2br w:val="nil"/>
              <w:tr2bl w:val="nil"/>
            </w:tcBorders>
            <w:shd w:val="clear" w:color="auto" w:fill="auto"/>
            <w:noWrap/>
            <w:vAlign w:val="center"/>
          </w:tcPr>
          <w:p w14:paraId="2EC5CA77">
            <w:pPr>
              <w:widowControl/>
              <w:spacing w:line="240" w:lineRule="auto"/>
              <w:ind w:firstLine="0" w:firstLineChars="0"/>
              <w:jc w:val="center"/>
              <w:rPr>
                <w:kern w:val="0"/>
                <w:sz w:val="21"/>
                <w:szCs w:val="21"/>
                <w:highlight w:val="black"/>
              </w:rPr>
            </w:pPr>
            <w:r>
              <w:rPr>
                <w:kern w:val="0"/>
                <w:sz w:val="21"/>
                <w:szCs w:val="21"/>
                <w:highlight w:val="black"/>
              </w:rPr>
              <w:t>29.06</w:t>
            </w:r>
          </w:p>
        </w:tc>
        <w:tc>
          <w:tcPr>
            <w:tcW w:w="1234" w:type="dxa"/>
            <w:tcBorders>
              <w:tl2br w:val="nil"/>
              <w:tr2bl w:val="nil"/>
            </w:tcBorders>
            <w:shd w:val="clear" w:color="auto" w:fill="auto"/>
            <w:vAlign w:val="center"/>
          </w:tcPr>
          <w:p w14:paraId="74F500E2">
            <w:pPr>
              <w:widowControl/>
              <w:spacing w:line="240" w:lineRule="auto"/>
              <w:ind w:firstLine="0" w:firstLineChars="0"/>
              <w:jc w:val="center"/>
              <w:rPr>
                <w:kern w:val="0"/>
                <w:sz w:val="21"/>
                <w:szCs w:val="21"/>
                <w:highlight w:val="black"/>
              </w:rPr>
            </w:pPr>
            <w:r>
              <w:rPr>
                <w:kern w:val="0"/>
                <w:sz w:val="21"/>
                <w:szCs w:val="21"/>
                <w:highlight w:val="black"/>
              </w:rPr>
              <w:t>148</w:t>
            </w:r>
            <w:r>
              <w:rPr>
                <w:rFonts w:hint="eastAsia"/>
                <w:kern w:val="0"/>
                <w:sz w:val="21"/>
                <w:szCs w:val="21"/>
                <w:highlight w:val="black"/>
              </w:rPr>
              <w:t>~</w:t>
            </w:r>
            <w:r>
              <w:rPr>
                <w:kern w:val="0"/>
                <w:sz w:val="21"/>
                <w:szCs w:val="21"/>
                <w:highlight w:val="black"/>
              </w:rPr>
              <w:t>188</w:t>
            </w:r>
          </w:p>
        </w:tc>
        <w:tc>
          <w:tcPr>
            <w:tcW w:w="503" w:type="dxa"/>
            <w:tcBorders>
              <w:tl2br w:val="nil"/>
              <w:tr2bl w:val="nil"/>
            </w:tcBorders>
            <w:shd w:val="clear" w:color="auto" w:fill="auto"/>
            <w:noWrap/>
            <w:vAlign w:val="center"/>
          </w:tcPr>
          <w:p w14:paraId="762FCD24">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22DDE5C6">
            <w:pPr>
              <w:widowControl/>
              <w:spacing w:line="240" w:lineRule="auto"/>
              <w:ind w:firstLine="0" w:firstLineChars="0"/>
              <w:jc w:val="center"/>
              <w:rPr>
                <w:kern w:val="0"/>
                <w:sz w:val="21"/>
                <w:szCs w:val="21"/>
                <w:highlight w:val="black"/>
              </w:rPr>
            </w:pPr>
            <w:r>
              <w:rPr>
                <w:kern w:val="0"/>
                <w:sz w:val="21"/>
                <w:szCs w:val="21"/>
                <w:highlight w:val="black"/>
              </w:rPr>
              <w:t>24</w:t>
            </w:r>
          </w:p>
        </w:tc>
      </w:tr>
      <w:tr w14:paraId="51384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565F7857">
            <w:pPr>
              <w:widowControl/>
              <w:spacing w:line="240" w:lineRule="auto"/>
              <w:ind w:firstLine="0" w:firstLineChars="0"/>
              <w:jc w:val="center"/>
              <w:rPr>
                <w:kern w:val="0"/>
                <w:sz w:val="21"/>
                <w:szCs w:val="21"/>
                <w:highlight w:val="black"/>
              </w:rPr>
            </w:pPr>
            <w:r>
              <w:rPr>
                <w:kern w:val="0"/>
                <w:sz w:val="21"/>
                <w:szCs w:val="21"/>
                <w:highlight w:val="black"/>
              </w:rPr>
              <w:t>17</w:t>
            </w:r>
          </w:p>
        </w:tc>
        <w:tc>
          <w:tcPr>
            <w:tcW w:w="686" w:type="dxa"/>
            <w:tcBorders>
              <w:tl2br w:val="nil"/>
              <w:tr2bl w:val="nil"/>
            </w:tcBorders>
            <w:shd w:val="clear" w:color="auto" w:fill="auto"/>
            <w:noWrap/>
            <w:vAlign w:val="center"/>
          </w:tcPr>
          <w:p w14:paraId="2798912D">
            <w:pPr>
              <w:widowControl/>
              <w:spacing w:line="240" w:lineRule="auto"/>
              <w:ind w:firstLine="0" w:firstLineChars="0"/>
              <w:jc w:val="center"/>
              <w:rPr>
                <w:kern w:val="0"/>
                <w:sz w:val="21"/>
                <w:szCs w:val="21"/>
                <w:highlight w:val="black"/>
              </w:rPr>
            </w:pPr>
            <w:r>
              <w:rPr>
                <w:kern w:val="0"/>
                <w:sz w:val="21"/>
                <w:szCs w:val="21"/>
                <w:highlight w:val="black"/>
              </w:rPr>
              <w:t>Fe13</w:t>
            </w:r>
          </w:p>
        </w:tc>
        <w:tc>
          <w:tcPr>
            <w:tcW w:w="605" w:type="dxa"/>
            <w:tcBorders>
              <w:tl2br w:val="nil"/>
              <w:tr2bl w:val="nil"/>
            </w:tcBorders>
            <w:shd w:val="clear" w:color="auto" w:fill="auto"/>
            <w:noWrap/>
            <w:vAlign w:val="center"/>
          </w:tcPr>
          <w:p w14:paraId="23063095">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3F8297AD">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vAlign w:val="center"/>
          </w:tcPr>
          <w:p w14:paraId="10018FA2">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26EFEDC7">
            <w:pPr>
              <w:widowControl/>
              <w:spacing w:line="240" w:lineRule="auto"/>
              <w:ind w:firstLine="0" w:firstLineChars="0"/>
              <w:jc w:val="center"/>
              <w:rPr>
                <w:kern w:val="0"/>
                <w:sz w:val="21"/>
                <w:szCs w:val="21"/>
                <w:highlight w:val="black"/>
              </w:rPr>
            </w:pPr>
            <w:r>
              <w:rPr>
                <w:kern w:val="0"/>
                <w:sz w:val="21"/>
                <w:szCs w:val="21"/>
                <w:highlight w:val="black"/>
              </w:rPr>
              <w:t>251</w:t>
            </w:r>
            <w:r>
              <w:rPr>
                <w:rFonts w:hint="eastAsia" w:ascii="宋体" w:hAnsi="宋体" w:cs="宋体"/>
                <w:kern w:val="0"/>
                <w:sz w:val="21"/>
                <w:szCs w:val="21"/>
                <w:highlight w:val="black"/>
              </w:rPr>
              <w:t>∠</w:t>
            </w:r>
            <w:r>
              <w:rPr>
                <w:kern w:val="0"/>
                <w:sz w:val="21"/>
                <w:szCs w:val="21"/>
                <w:highlight w:val="black"/>
              </w:rPr>
              <w:t>38</w:t>
            </w:r>
          </w:p>
        </w:tc>
        <w:tc>
          <w:tcPr>
            <w:tcW w:w="559" w:type="dxa"/>
            <w:tcBorders>
              <w:tl2br w:val="nil"/>
              <w:tr2bl w:val="nil"/>
            </w:tcBorders>
            <w:shd w:val="clear" w:color="auto" w:fill="auto"/>
            <w:noWrap/>
            <w:vAlign w:val="center"/>
          </w:tcPr>
          <w:p w14:paraId="5D81C069">
            <w:pPr>
              <w:widowControl/>
              <w:spacing w:line="240" w:lineRule="auto"/>
              <w:ind w:firstLine="0" w:firstLineChars="0"/>
              <w:jc w:val="center"/>
              <w:rPr>
                <w:kern w:val="0"/>
                <w:sz w:val="21"/>
                <w:szCs w:val="21"/>
                <w:highlight w:val="black"/>
              </w:rPr>
            </w:pPr>
            <w:r>
              <w:rPr>
                <w:kern w:val="0"/>
                <w:sz w:val="21"/>
                <w:szCs w:val="21"/>
                <w:highlight w:val="black"/>
              </w:rPr>
              <w:t>51</w:t>
            </w:r>
          </w:p>
        </w:tc>
        <w:tc>
          <w:tcPr>
            <w:tcW w:w="622" w:type="dxa"/>
            <w:tcBorders>
              <w:tl2br w:val="nil"/>
              <w:tr2bl w:val="nil"/>
            </w:tcBorders>
            <w:shd w:val="clear" w:color="auto" w:fill="auto"/>
            <w:noWrap/>
            <w:vAlign w:val="center"/>
          </w:tcPr>
          <w:p w14:paraId="55BF632C">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2A4C5F76">
            <w:pPr>
              <w:widowControl/>
              <w:spacing w:line="240" w:lineRule="auto"/>
              <w:ind w:firstLine="0" w:firstLineChars="0"/>
              <w:jc w:val="center"/>
              <w:rPr>
                <w:kern w:val="0"/>
                <w:sz w:val="21"/>
                <w:szCs w:val="21"/>
                <w:highlight w:val="black"/>
              </w:rPr>
            </w:pPr>
            <w:r>
              <w:rPr>
                <w:kern w:val="0"/>
                <w:sz w:val="21"/>
                <w:szCs w:val="21"/>
                <w:highlight w:val="black"/>
              </w:rPr>
              <w:t>1.74</w:t>
            </w:r>
          </w:p>
        </w:tc>
        <w:tc>
          <w:tcPr>
            <w:tcW w:w="613" w:type="dxa"/>
            <w:tcBorders>
              <w:tl2br w:val="nil"/>
              <w:tr2bl w:val="nil"/>
            </w:tcBorders>
            <w:shd w:val="clear" w:color="auto" w:fill="auto"/>
            <w:noWrap/>
            <w:vAlign w:val="center"/>
          </w:tcPr>
          <w:p w14:paraId="4EF6E87D">
            <w:pPr>
              <w:widowControl/>
              <w:spacing w:line="240" w:lineRule="auto"/>
              <w:ind w:firstLine="0" w:firstLineChars="0"/>
              <w:jc w:val="center"/>
              <w:rPr>
                <w:kern w:val="0"/>
                <w:sz w:val="21"/>
                <w:szCs w:val="21"/>
                <w:highlight w:val="black"/>
              </w:rPr>
            </w:pPr>
            <w:r>
              <w:rPr>
                <w:kern w:val="0"/>
                <w:sz w:val="21"/>
                <w:szCs w:val="21"/>
                <w:highlight w:val="black"/>
              </w:rPr>
              <w:t>33.39</w:t>
            </w:r>
          </w:p>
        </w:tc>
        <w:tc>
          <w:tcPr>
            <w:tcW w:w="847" w:type="dxa"/>
            <w:tcBorders>
              <w:tl2br w:val="nil"/>
              <w:tr2bl w:val="nil"/>
            </w:tcBorders>
            <w:shd w:val="clear" w:color="auto" w:fill="auto"/>
            <w:noWrap/>
            <w:vAlign w:val="center"/>
          </w:tcPr>
          <w:p w14:paraId="7141ED35">
            <w:pPr>
              <w:widowControl/>
              <w:spacing w:line="240" w:lineRule="auto"/>
              <w:ind w:firstLine="0" w:firstLineChars="0"/>
              <w:jc w:val="center"/>
              <w:rPr>
                <w:kern w:val="0"/>
                <w:sz w:val="21"/>
                <w:szCs w:val="21"/>
                <w:highlight w:val="black"/>
              </w:rPr>
            </w:pPr>
            <w:r>
              <w:rPr>
                <w:kern w:val="0"/>
                <w:sz w:val="21"/>
                <w:szCs w:val="21"/>
                <w:highlight w:val="black"/>
              </w:rPr>
              <w:t>28.06</w:t>
            </w:r>
          </w:p>
        </w:tc>
        <w:tc>
          <w:tcPr>
            <w:tcW w:w="1234" w:type="dxa"/>
            <w:tcBorders>
              <w:tl2br w:val="nil"/>
              <w:tr2bl w:val="nil"/>
            </w:tcBorders>
            <w:shd w:val="clear" w:color="auto" w:fill="auto"/>
            <w:vAlign w:val="center"/>
          </w:tcPr>
          <w:p w14:paraId="0935F661">
            <w:pPr>
              <w:widowControl/>
              <w:spacing w:line="240" w:lineRule="auto"/>
              <w:ind w:firstLine="0" w:firstLineChars="0"/>
              <w:jc w:val="center"/>
              <w:rPr>
                <w:kern w:val="0"/>
                <w:sz w:val="21"/>
                <w:szCs w:val="21"/>
                <w:highlight w:val="black"/>
              </w:rPr>
            </w:pPr>
            <w:r>
              <w:rPr>
                <w:kern w:val="0"/>
                <w:sz w:val="21"/>
                <w:szCs w:val="21"/>
                <w:highlight w:val="black"/>
              </w:rPr>
              <w:t>145</w:t>
            </w:r>
            <w:r>
              <w:rPr>
                <w:rFonts w:hint="eastAsia"/>
                <w:kern w:val="0"/>
                <w:sz w:val="21"/>
                <w:szCs w:val="21"/>
                <w:highlight w:val="black"/>
              </w:rPr>
              <w:t>~</w:t>
            </w:r>
            <w:r>
              <w:rPr>
                <w:kern w:val="0"/>
                <w:sz w:val="21"/>
                <w:szCs w:val="21"/>
                <w:highlight w:val="black"/>
              </w:rPr>
              <w:t>188</w:t>
            </w:r>
          </w:p>
        </w:tc>
        <w:tc>
          <w:tcPr>
            <w:tcW w:w="503" w:type="dxa"/>
            <w:tcBorders>
              <w:tl2br w:val="nil"/>
              <w:tr2bl w:val="nil"/>
            </w:tcBorders>
            <w:shd w:val="clear" w:color="auto" w:fill="auto"/>
            <w:noWrap/>
            <w:vAlign w:val="center"/>
          </w:tcPr>
          <w:p w14:paraId="76399EE8">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1B9228EA">
            <w:pPr>
              <w:widowControl/>
              <w:spacing w:line="240" w:lineRule="auto"/>
              <w:ind w:firstLine="0" w:firstLineChars="0"/>
              <w:jc w:val="center"/>
              <w:rPr>
                <w:kern w:val="0"/>
                <w:sz w:val="21"/>
                <w:szCs w:val="21"/>
                <w:highlight w:val="black"/>
              </w:rPr>
            </w:pPr>
            <w:r>
              <w:rPr>
                <w:kern w:val="0"/>
                <w:sz w:val="21"/>
                <w:szCs w:val="21"/>
                <w:highlight w:val="black"/>
              </w:rPr>
              <w:t>26</w:t>
            </w:r>
          </w:p>
        </w:tc>
      </w:tr>
      <w:tr w14:paraId="13CDF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77B88444">
            <w:pPr>
              <w:widowControl/>
              <w:spacing w:line="240" w:lineRule="auto"/>
              <w:ind w:firstLine="0" w:firstLineChars="0"/>
              <w:jc w:val="center"/>
              <w:rPr>
                <w:kern w:val="0"/>
                <w:sz w:val="21"/>
                <w:szCs w:val="21"/>
                <w:highlight w:val="black"/>
              </w:rPr>
            </w:pPr>
            <w:r>
              <w:rPr>
                <w:kern w:val="0"/>
                <w:sz w:val="21"/>
                <w:szCs w:val="21"/>
                <w:highlight w:val="black"/>
              </w:rPr>
              <w:t>18</w:t>
            </w:r>
          </w:p>
        </w:tc>
        <w:tc>
          <w:tcPr>
            <w:tcW w:w="686" w:type="dxa"/>
            <w:tcBorders>
              <w:tl2br w:val="nil"/>
              <w:tr2bl w:val="nil"/>
            </w:tcBorders>
            <w:shd w:val="clear" w:color="auto" w:fill="auto"/>
            <w:noWrap/>
            <w:vAlign w:val="center"/>
          </w:tcPr>
          <w:p w14:paraId="7CB72F8B">
            <w:pPr>
              <w:widowControl/>
              <w:spacing w:line="240" w:lineRule="auto"/>
              <w:ind w:firstLine="0" w:firstLineChars="0"/>
              <w:jc w:val="center"/>
              <w:rPr>
                <w:kern w:val="0"/>
                <w:sz w:val="21"/>
                <w:szCs w:val="21"/>
                <w:highlight w:val="black"/>
              </w:rPr>
            </w:pPr>
            <w:r>
              <w:rPr>
                <w:kern w:val="0"/>
                <w:sz w:val="21"/>
                <w:szCs w:val="21"/>
                <w:highlight w:val="black"/>
              </w:rPr>
              <w:t>Fe18</w:t>
            </w:r>
          </w:p>
        </w:tc>
        <w:tc>
          <w:tcPr>
            <w:tcW w:w="605" w:type="dxa"/>
            <w:tcBorders>
              <w:tl2br w:val="nil"/>
              <w:tr2bl w:val="nil"/>
            </w:tcBorders>
            <w:shd w:val="clear" w:color="auto" w:fill="auto"/>
            <w:noWrap/>
            <w:vAlign w:val="center"/>
          </w:tcPr>
          <w:p w14:paraId="1AA7D7AB">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34096B73">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vAlign w:val="center"/>
          </w:tcPr>
          <w:p w14:paraId="686BFAAF">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117CF899">
            <w:pPr>
              <w:widowControl/>
              <w:spacing w:line="240" w:lineRule="auto"/>
              <w:ind w:firstLine="0" w:firstLineChars="0"/>
              <w:jc w:val="center"/>
              <w:rPr>
                <w:kern w:val="0"/>
                <w:sz w:val="21"/>
                <w:szCs w:val="21"/>
                <w:highlight w:val="black"/>
              </w:rPr>
            </w:pPr>
            <w:r>
              <w:rPr>
                <w:kern w:val="0"/>
                <w:sz w:val="21"/>
                <w:szCs w:val="21"/>
                <w:highlight w:val="black"/>
              </w:rPr>
              <w:t>270</w:t>
            </w:r>
            <w:r>
              <w:rPr>
                <w:rFonts w:hint="eastAsia" w:ascii="宋体" w:hAnsi="宋体" w:cs="宋体"/>
                <w:kern w:val="0"/>
                <w:sz w:val="21"/>
                <w:szCs w:val="21"/>
                <w:highlight w:val="black"/>
              </w:rPr>
              <w:t>∠</w:t>
            </w:r>
            <w:r>
              <w:rPr>
                <w:kern w:val="0"/>
                <w:sz w:val="21"/>
                <w:szCs w:val="21"/>
                <w:highlight w:val="black"/>
              </w:rPr>
              <w:t>45</w:t>
            </w:r>
          </w:p>
        </w:tc>
        <w:tc>
          <w:tcPr>
            <w:tcW w:w="559" w:type="dxa"/>
            <w:tcBorders>
              <w:tl2br w:val="nil"/>
              <w:tr2bl w:val="nil"/>
            </w:tcBorders>
            <w:shd w:val="clear" w:color="auto" w:fill="auto"/>
            <w:noWrap/>
            <w:vAlign w:val="center"/>
          </w:tcPr>
          <w:p w14:paraId="0259C414">
            <w:pPr>
              <w:widowControl/>
              <w:spacing w:line="240" w:lineRule="auto"/>
              <w:ind w:firstLine="0" w:firstLineChars="0"/>
              <w:jc w:val="center"/>
              <w:rPr>
                <w:kern w:val="0"/>
                <w:sz w:val="21"/>
                <w:szCs w:val="21"/>
                <w:highlight w:val="black"/>
              </w:rPr>
            </w:pPr>
            <w:r>
              <w:rPr>
                <w:kern w:val="0"/>
                <w:sz w:val="21"/>
                <w:szCs w:val="21"/>
                <w:highlight w:val="black"/>
              </w:rPr>
              <w:t>39</w:t>
            </w:r>
          </w:p>
        </w:tc>
        <w:tc>
          <w:tcPr>
            <w:tcW w:w="622" w:type="dxa"/>
            <w:tcBorders>
              <w:tl2br w:val="nil"/>
              <w:tr2bl w:val="nil"/>
            </w:tcBorders>
            <w:shd w:val="clear" w:color="auto" w:fill="auto"/>
            <w:noWrap/>
            <w:vAlign w:val="center"/>
          </w:tcPr>
          <w:p w14:paraId="48C3D31C">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1B86BA95">
            <w:pPr>
              <w:widowControl/>
              <w:spacing w:line="240" w:lineRule="auto"/>
              <w:ind w:firstLine="0" w:firstLineChars="0"/>
              <w:jc w:val="center"/>
              <w:rPr>
                <w:kern w:val="0"/>
                <w:sz w:val="21"/>
                <w:szCs w:val="21"/>
                <w:highlight w:val="black"/>
              </w:rPr>
            </w:pPr>
            <w:r>
              <w:rPr>
                <w:kern w:val="0"/>
                <w:sz w:val="21"/>
                <w:szCs w:val="21"/>
                <w:highlight w:val="black"/>
              </w:rPr>
              <w:t>1.63</w:t>
            </w:r>
          </w:p>
        </w:tc>
        <w:tc>
          <w:tcPr>
            <w:tcW w:w="613" w:type="dxa"/>
            <w:tcBorders>
              <w:tl2br w:val="nil"/>
              <w:tr2bl w:val="nil"/>
            </w:tcBorders>
            <w:shd w:val="clear" w:color="auto" w:fill="auto"/>
            <w:noWrap/>
            <w:vAlign w:val="center"/>
          </w:tcPr>
          <w:p w14:paraId="1AB0B5B5">
            <w:pPr>
              <w:widowControl/>
              <w:spacing w:line="240" w:lineRule="auto"/>
              <w:ind w:firstLine="0" w:firstLineChars="0"/>
              <w:jc w:val="center"/>
              <w:rPr>
                <w:kern w:val="0"/>
                <w:sz w:val="21"/>
                <w:szCs w:val="21"/>
                <w:highlight w:val="black"/>
              </w:rPr>
            </w:pPr>
            <w:r>
              <w:rPr>
                <w:kern w:val="0"/>
                <w:sz w:val="21"/>
                <w:szCs w:val="21"/>
                <w:highlight w:val="black"/>
              </w:rPr>
              <w:t>30.92</w:t>
            </w:r>
          </w:p>
        </w:tc>
        <w:tc>
          <w:tcPr>
            <w:tcW w:w="847" w:type="dxa"/>
            <w:tcBorders>
              <w:tl2br w:val="nil"/>
              <w:tr2bl w:val="nil"/>
            </w:tcBorders>
            <w:shd w:val="clear" w:color="auto" w:fill="auto"/>
            <w:noWrap/>
            <w:vAlign w:val="center"/>
          </w:tcPr>
          <w:p w14:paraId="0837907D">
            <w:pPr>
              <w:widowControl/>
              <w:spacing w:line="240" w:lineRule="auto"/>
              <w:ind w:firstLine="0" w:firstLineChars="0"/>
              <w:jc w:val="center"/>
              <w:rPr>
                <w:kern w:val="0"/>
                <w:sz w:val="21"/>
                <w:szCs w:val="21"/>
                <w:highlight w:val="black"/>
              </w:rPr>
            </w:pPr>
            <w:r>
              <w:rPr>
                <w:kern w:val="0"/>
                <w:sz w:val="21"/>
                <w:szCs w:val="21"/>
                <w:highlight w:val="black"/>
              </w:rPr>
              <w:t>29.66</w:t>
            </w:r>
          </w:p>
        </w:tc>
        <w:tc>
          <w:tcPr>
            <w:tcW w:w="1234" w:type="dxa"/>
            <w:tcBorders>
              <w:tl2br w:val="nil"/>
              <w:tr2bl w:val="nil"/>
            </w:tcBorders>
            <w:shd w:val="clear" w:color="auto" w:fill="auto"/>
            <w:vAlign w:val="center"/>
          </w:tcPr>
          <w:p w14:paraId="56AEB392">
            <w:pPr>
              <w:widowControl/>
              <w:spacing w:line="240" w:lineRule="auto"/>
              <w:ind w:firstLine="0" w:firstLineChars="0"/>
              <w:jc w:val="center"/>
              <w:rPr>
                <w:kern w:val="0"/>
                <w:sz w:val="21"/>
                <w:szCs w:val="21"/>
                <w:highlight w:val="black"/>
              </w:rPr>
            </w:pPr>
            <w:r>
              <w:rPr>
                <w:kern w:val="0"/>
                <w:sz w:val="21"/>
                <w:szCs w:val="21"/>
                <w:highlight w:val="black"/>
              </w:rPr>
              <w:t>196</w:t>
            </w:r>
            <w:r>
              <w:rPr>
                <w:rFonts w:hint="eastAsia"/>
                <w:kern w:val="0"/>
                <w:sz w:val="21"/>
                <w:szCs w:val="21"/>
                <w:highlight w:val="black"/>
              </w:rPr>
              <w:t>~</w:t>
            </w:r>
            <w:r>
              <w:rPr>
                <w:kern w:val="0"/>
                <w:sz w:val="21"/>
                <w:szCs w:val="21"/>
                <w:highlight w:val="black"/>
              </w:rPr>
              <w:t>236</w:t>
            </w:r>
          </w:p>
        </w:tc>
        <w:tc>
          <w:tcPr>
            <w:tcW w:w="503" w:type="dxa"/>
            <w:tcBorders>
              <w:tl2br w:val="nil"/>
              <w:tr2bl w:val="nil"/>
            </w:tcBorders>
            <w:shd w:val="clear" w:color="auto" w:fill="auto"/>
            <w:noWrap/>
            <w:vAlign w:val="center"/>
          </w:tcPr>
          <w:p w14:paraId="072BCFAB">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36CA8E9D">
            <w:pPr>
              <w:widowControl/>
              <w:spacing w:line="240" w:lineRule="auto"/>
              <w:ind w:firstLine="0" w:firstLineChars="0"/>
              <w:jc w:val="center"/>
              <w:rPr>
                <w:kern w:val="0"/>
                <w:sz w:val="21"/>
                <w:szCs w:val="21"/>
                <w:highlight w:val="black"/>
              </w:rPr>
            </w:pPr>
            <w:r>
              <w:rPr>
                <w:kern w:val="0"/>
                <w:sz w:val="21"/>
                <w:szCs w:val="21"/>
                <w:highlight w:val="black"/>
              </w:rPr>
              <w:t>46</w:t>
            </w:r>
          </w:p>
        </w:tc>
      </w:tr>
      <w:tr w14:paraId="744B3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vAlign w:val="center"/>
          </w:tcPr>
          <w:p w14:paraId="60CC724D">
            <w:pPr>
              <w:widowControl/>
              <w:spacing w:line="240" w:lineRule="auto"/>
              <w:ind w:firstLine="0" w:firstLineChars="0"/>
              <w:jc w:val="center"/>
              <w:rPr>
                <w:kern w:val="0"/>
                <w:sz w:val="21"/>
                <w:szCs w:val="21"/>
                <w:highlight w:val="black"/>
              </w:rPr>
            </w:pPr>
            <w:r>
              <w:rPr>
                <w:kern w:val="0"/>
                <w:sz w:val="21"/>
                <w:szCs w:val="21"/>
                <w:highlight w:val="black"/>
              </w:rPr>
              <w:t>19</w:t>
            </w:r>
          </w:p>
        </w:tc>
        <w:tc>
          <w:tcPr>
            <w:tcW w:w="686" w:type="dxa"/>
            <w:tcBorders>
              <w:tl2br w:val="nil"/>
              <w:tr2bl w:val="nil"/>
            </w:tcBorders>
            <w:shd w:val="clear" w:color="auto" w:fill="auto"/>
            <w:noWrap/>
            <w:vAlign w:val="center"/>
          </w:tcPr>
          <w:p w14:paraId="1E49EA49">
            <w:pPr>
              <w:widowControl/>
              <w:spacing w:line="240" w:lineRule="auto"/>
              <w:ind w:firstLine="0" w:firstLineChars="0"/>
              <w:jc w:val="center"/>
              <w:rPr>
                <w:kern w:val="0"/>
                <w:sz w:val="21"/>
                <w:szCs w:val="21"/>
                <w:highlight w:val="black"/>
              </w:rPr>
            </w:pPr>
            <w:r>
              <w:rPr>
                <w:kern w:val="0"/>
                <w:sz w:val="21"/>
                <w:szCs w:val="21"/>
                <w:highlight w:val="black"/>
              </w:rPr>
              <w:t>Fe21</w:t>
            </w:r>
          </w:p>
        </w:tc>
        <w:tc>
          <w:tcPr>
            <w:tcW w:w="605" w:type="dxa"/>
            <w:tcBorders>
              <w:tl2br w:val="nil"/>
              <w:tr2bl w:val="nil"/>
            </w:tcBorders>
            <w:shd w:val="clear" w:color="auto" w:fill="auto"/>
            <w:noWrap/>
            <w:vAlign w:val="center"/>
          </w:tcPr>
          <w:p w14:paraId="14ADC518">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696EE3A3">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vAlign w:val="center"/>
          </w:tcPr>
          <w:p w14:paraId="5E1FCDB6">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0523B5BC">
            <w:pPr>
              <w:widowControl/>
              <w:spacing w:line="240" w:lineRule="auto"/>
              <w:ind w:firstLine="0" w:firstLineChars="0"/>
              <w:jc w:val="center"/>
              <w:rPr>
                <w:kern w:val="0"/>
                <w:sz w:val="21"/>
                <w:szCs w:val="21"/>
                <w:highlight w:val="black"/>
              </w:rPr>
            </w:pPr>
            <w:r>
              <w:rPr>
                <w:kern w:val="0"/>
                <w:sz w:val="21"/>
                <w:szCs w:val="21"/>
                <w:highlight w:val="black"/>
              </w:rPr>
              <w:t>240</w:t>
            </w:r>
            <w:r>
              <w:rPr>
                <w:rFonts w:hint="eastAsia" w:ascii="宋体" w:hAnsi="宋体" w:cs="宋体"/>
                <w:kern w:val="0"/>
                <w:sz w:val="21"/>
                <w:szCs w:val="21"/>
                <w:highlight w:val="black"/>
              </w:rPr>
              <w:t>∠</w:t>
            </w:r>
            <w:r>
              <w:rPr>
                <w:kern w:val="0"/>
                <w:sz w:val="21"/>
                <w:szCs w:val="21"/>
                <w:highlight w:val="black"/>
              </w:rPr>
              <w:t>38</w:t>
            </w:r>
          </w:p>
        </w:tc>
        <w:tc>
          <w:tcPr>
            <w:tcW w:w="559" w:type="dxa"/>
            <w:tcBorders>
              <w:tl2br w:val="nil"/>
              <w:tr2bl w:val="nil"/>
            </w:tcBorders>
            <w:shd w:val="clear" w:color="auto" w:fill="auto"/>
            <w:noWrap/>
            <w:vAlign w:val="center"/>
          </w:tcPr>
          <w:p w14:paraId="45FF8F04">
            <w:pPr>
              <w:widowControl/>
              <w:spacing w:line="240" w:lineRule="auto"/>
              <w:ind w:firstLine="0" w:firstLineChars="0"/>
              <w:jc w:val="center"/>
              <w:rPr>
                <w:kern w:val="0"/>
                <w:sz w:val="21"/>
                <w:szCs w:val="21"/>
                <w:highlight w:val="black"/>
              </w:rPr>
            </w:pPr>
            <w:r>
              <w:rPr>
                <w:kern w:val="0"/>
                <w:sz w:val="21"/>
                <w:szCs w:val="21"/>
                <w:highlight w:val="black"/>
              </w:rPr>
              <w:t>49</w:t>
            </w:r>
          </w:p>
        </w:tc>
        <w:tc>
          <w:tcPr>
            <w:tcW w:w="622" w:type="dxa"/>
            <w:tcBorders>
              <w:tl2br w:val="nil"/>
              <w:tr2bl w:val="nil"/>
            </w:tcBorders>
            <w:shd w:val="clear" w:color="auto" w:fill="auto"/>
            <w:noWrap/>
            <w:vAlign w:val="center"/>
          </w:tcPr>
          <w:p w14:paraId="781E5C40">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3FC5EE3F">
            <w:pPr>
              <w:widowControl/>
              <w:spacing w:line="240" w:lineRule="auto"/>
              <w:ind w:firstLine="0" w:firstLineChars="0"/>
              <w:jc w:val="center"/>
              <w:rPr>
                <w:kern w:val="0"/>
                <w:sz w:val="21"/>
                <w:szCs w:val="21"/>
                <w:highlight w:val="black"/>
              </w:rPr>
            </w:pPr>
            <w:r>
              <w:rPr>
                <w:kern w:val="0"/>
                <w:sz w:val="21"/>
                <w:szCs w:val="21"/>
                <w:highlight w:val="black"/>
              </w:rPr>
              <w:t>1.82</w:t>
            </w:r>
          </w:p>
        </w:tc>
        <w:tc>
          <w:tcPr>
            <w:tcW w:w="613" w:type="dxa"/>
            <w:tcBorders>
              <w:tl2br w:val="nil"/>
              <w:tr2bl w:val="nil"/>
            </w:tcBorders>
            <w:shd w:val="clear" w:color="auto" w:fill="auto"/>
            <w:noWrap/>
            <w:vAlign w:val="center"/>
          </w:tcPr>
          <w:p w14:paraId="2751CF6A">
            <w:pPr>
              <w:widowControl/>
              <w:spacing w:line="240" w:lineRule="auto"/>
              <w:ind w:firstLine="0" w:firstLineChars="0"/>
              <w:jc w:val="center"/>
              <w:rPr>
                <w:kern w:val="0"/>
                <w:sz w:val="21"/>
                <w:szCs w:val="21"/>
                <w:highlight w:val="black"/>
              </w:rPr>
            </w:pPr>
            <w:r>
              <w:rPr>
                <w:kern w:val="0"/>
                <w:sz w:val="21"/>
                <w:szCs w:val="21"/>
                <w:highlight w:val="black"/>
              </w:rPr>
              <w:t>28.44</w:t>
            </w:r>
          </w:p>
        </w:tc>
        <w:tc>
          <w:tcPr>
            <w:tcW w:w="847" w:type="dxa"/>
            <w:tcBorders>
              <w:tl2br w:val="nil"/>
              <w:tr2bl w:val="nil"/>
            </w:tcBorders>
            <w:shd w:val="clear" w:color="auto" w:fill="auto"/>
            <w:noWrap/>
            <w:vAlign w:val="center"/>
          </w:tcPr>
          <w:p w14:paraId="088ED7E6">
            <w:pPr>
              <w:widowControl/>
              <w:spacing w:line="240" w:lineRule="auto"/>
              <w:ind w:firstLine="0" w:firstLineChars="0"/>
              <w:jc w:val="center"/>
              <w:rPr>
                <w:kern w:val="0"/>
                <w:sz w:val="21"/>
                <w:szCs w:val="21"/>
                <w:highlight w:val="black"/>
              </w:rPr>
            </w:pPr>
            <w:r>
              <w:rPr>
                <w:kern w:val="0"/>
                <w:sz w:val="21"/>
                <w:szCs w:val="21"/>
                <w:highlight w:val="black"/>
              </w:rPr>
              <w:t>25.47</w:t>
            </w:r>
          </w:p>
        </w:tc>
        <w:tc>
          <w:tcPr>
            <w:tcW w:w="1234" w:type="dxa"/>
            <w:tcBorders>
              <w:tl2br w:val="nil"/>
              <w:tr2bl w:val="nil"/>
            </w:tcBorders>
            <w:shd w:val="clear" w:color="auto" w:fill="auto"/>
            <w:vAlign w:val="center"/>
          </w:tcPr>
          <w:p w14:paraId="6AFD437B">
            <w:pPr>
              <w:widowControl/>
              <w:spacing w:line="240" w:lineRule="auto"/>
              <w:ind w:firstLine="0" w:firstLineChars="0"/>
              <w:jc w:val="center"/>
              <w:rPr>
                <w:kern w:val="0"/>
                <w:sz w:val="21"/>
                <w:szCs w:val="21"/>
                <w:highlight w:val="black"/>
              </w:rPr>
            </w:pPr>
            <w:r>
              <w:rPr>
                <w:kern w:val="0"/>
                <w:sz w:val="21"/>
                <w:szCs w:val="21"/>
                <w:highlight w:val="black"/>
              </w:rPr>
              <w:t>242</w:t>
            </w:r>
            <w:r>
              <w:rPr>
                <w:rFonts w:hint="eastAsia"/>
                <w:kern w:val="0"/>
                <w:sz w:val="21"/>
                <w:szCs w:val="21"/>
                <w:highlight w:val="black"/>
              </w:rPr>
              <w:t>~</w:t>
            </w:r>
            <w:r>
              <w:rPr>
                <w:kern w:val="0"/>
                <w:sz w:val="21"/>
                <w:szCs w:val="21"/>
                <w:highlight w:val="black"/>
              </w:rPr>
              <w:t>282</w:t>
            </w:r>
          </w:p>
        </w:tc>
        <w:tc>
          <w:tcPr>
            <w:tcW w:w="503" w:type="dxa"/>
            <w:tcBorders>
              <w:tl2br w:val="nil"/>
              <w:tr2bl w:val="nil"/>
            </w:tcBorders>
            <w:shd w:val="clear" w:color="auto" w:fill="auto"/>
            <w:noWrap/>
            <w:vAlign w:val="center"/>
          </w:tcPr>
          <w:p w14:paraId="1112B6FA">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160260E0">
            <w:pPr>
              <w:widowControl/>
              <w:spacing w:line="240" w:lineRule="auto"/>
              <w:ind w:firstLine="0" w:firstLineChars="0"/>
              <w:jc w:val="center"/>
              <w:rPr>
                <w:kern w:val="0"/>
                <w:sz w:val="21"/>
                <w:szCs w:val="21"/>
                <w:highlight w:val="black"/>
              </w:rPr>
            </w:pPr>
            <w:r>
              <w:rPr>
                <w:kern w:val="0"/>
                <w:sz w:val="21"/>
                <w:szCs w:val="21"/>
                <w:highlight w:val="black"/>
              </w:rPr>
              <w:t>37</w:t>
            </w:r>
          </w:p>
        </w:tc>
      </w:tr>
      <w:tr w14:paraId="0E894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tcBorders>
              <w:tl2br w:val="nil"/>
              <w:tr2bl w:val="nil"/>
            </w:tcBorders>
            <w:shd w:val="clear" w:color="auto" w:fill="auto"/>
            <w:noWrap/>
            <w:vAlign w:val="center"/>
          </w:tcPr>
          <w:p w14:paraId="03EB18B0">
            <w:pPr>
              <w:widowControl/>
              <w:spacing w:line="240" w:lineRule="auto"/>
              <w:ind w:firstLine="0" w:firstLineChars="0"/>
              <w:jc w:val="center"/>
              <w:rPr>
                <w:kern w:val="0"/>
                <w:sz w:val="21"/>
                <w:szCs w:val="21"/>
                <w:highlight w:val="black"/>
              </w:rPr>
            </w:pPr>
            <w:r>
              <w:rPr>
                <w:kern w:val="0"/>
                <w:sz w:val="21"/>
                <w:szCs w:val="21"/>
                <w:highlight w:val="black"/>
              </w:rPr>
              <w:t>20</w:t>
            </w:r>
          </w:p>
        </w:tc>
        <w:tc>
          <w:tcPr>
            <w:tcW w:w="686" w:type="dxa"/>
            <w:tcBorders>
              <w:tl2br w:val="nil"/>
              <w:tr2bl w:val="nil"/>
            </w:tcBorders>
            <w:shd w:val="clear" w:color="auto" w:fill="auto"/>
            <w:noWrap/>
            <w:vAlign w:val="center"/>
          </w:tcPr>
          <w:p w14:paraId="6D1EC7AA">
            <w:pPr>
              <w:widowControl/>
              <w:spacing w:line="240" w:lineRule="auto"/>
              <w:ind w:firstLine="0" w:firstLineChars="0"/>
              <w:jc w:val="center"/>
              <w:rPr>
                <w:kern w:val="0"/>
                <w:sz w:val="21"/>
                <w:szCs w:val="21"/>
                <w:highlight w:val="black"/>
              </w:rPr>
            </w:pPr>
            <w:r>
              <w:rPr>
                <w:kern w:val="0"/>
                <w:sz w:val="21"/>
                <w:szCs w:val="21"/>
                <w:highlight w:val="black"/>
              </w:rPr>
              <w:t>Fe22</w:t>
            </w:r>
          </w:p>
        </w:tc>
        <w:tc>
          <w:tcPr>
            <w:tcW w:w="605" w:type="dxa"/>
            <w:tcBorders>
              <w:tl2br w:val="nil"/>
              <w:tr2bl w:val="nil"/>
            </w:tcBorders>
            <w:shd w:val="clear" w:color="auto" w:fill="auto"/>
            <w:noWrap/>
            <w:vAlign w:val="center"/>
          </w:tcPr>
          <w:p w14:paraId="50DEB9A5">
            <w:pPr>
              <w:widowControl/>
              <w:spacing w:line="240" w:lineRule="auto"/>
              <w:ind w:firstLine="0" w:firstLineChars="0"/>
              <w:jc w:val="center"/>
              <w:rPr>
                <w:kern w:val="0"/>
                <w:sz w:val="21"/>
                <w:szCs w:val="21"/>
                <w:highlight w:val="black"/>
              </w:rPr>
            </w:pPr>
            <w:r>
              <w:rPr>
                <w:kern w:val="0"/>
                <w:sz w:val="21"/>
                <w:szCs w:val="21"/>
                <w:highlight w:val="black"/>
              </w:rPr>
              <w:t>透镜体</w:t>
            </w:r>
          </w:p>
        </w:tc>
        <w:tc>
          <w:tcPr>
            <w:tcW w:w="1017" w:type="dxa"/>
            <w:tcBorders>
              <w:tl2br w:val="nil"/>
              <w:tr2bl w:val="nil"/>
            </w:tcBorders>
            <w:shd w:val="clear" w:color="auto" w:fill="auto"/>
            <w:noWrap/>
            <w:vAlign w:val="center"/>
          </w:tcPr>
          <w:p w14:paraId="0B84D692">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1096" w:type="dxa"/>
            <w:tcBorders>
              <w:tl2br w:val="nil"/>
              <w:tr2bl w:val="nil"/>
            </w:tcBorders>
            <w:shd w:val="clear" w:color="auto" w:fill="auto"/>
            <w:noWrap/>
            <w:vAlign w:val="center"/>
          </w:tcPr>
          <w:p w14:paraId="02285A89">
            <w:pPr>
              <w:widowControl/>
              <w:spacing w:line="240" w:lineRule="auto"/>
              <w:ind w:firstLine="0" w:firstLineChars="0"/>
              <w:jc w:val="center"/>
              <w:rPr>
                <w:kern w:val="0"/>
                <w:sz w:val="21"/>
                <w:szCs w:val="21"/>
                <w:highlight w:val="black"/>
              </w:rPr>
            </w:pPr>
            <w:r>
              <w:rPr>
                <w:kern w:val="0"/>
                <w:sz w:val="21"/>
                <w:szCs w:val="21"/>
                <w:highlight w:val="black"/>
              </w:rPr>
              <w:t>斜长角闪片麻岩</w:t>
            </w:r>
          </w:p>
        </w:tc>
        <w:tc>
          <w:tcPr>
            <w:tcW w:w="622" w:type="dxa"/>
            <w:tcBorders>
              <w:tl2br w:val="nil"/>
              <w:tr2bl w:val="nil"/>
            </w:tcBorders>
            <w:shd w:val="clear" w:color="auto" w:fill="auto"/>
            <w:noWrap/>
            <w:vAlign w:val="center"/>
          </w:tcPr>
          <w:p w14:paraId="6125F5C9">
            <w:pPr>
              <w:widowControl/>
              <w:spacing w:line="240" w:lineRule="auto"/>
              <w:ind w:firstLine="0" w:firstLineChars="0"/>
              <w:jc w:val="center"/>
              <w:rPr>
                <w:kern w:val="0"/>
                <w:sz w:val="21"/>
                <w:szCs w:val="21"/>
                <w:highlight w:val="black"/>
              </w:rPr>
            </w:pPr>
            <w:r>
              <w:rPr>
                <w:kern w:val="0"/>
                <w:sz w:val="21"/>
                <w:szCs w:val="21"/>
                <w:highlight w:val="black"/>
              </w:rPr>
              <w:t>251</w:t>
            </w:r>
            <w:r>
              <w:rPr>
                <w:rFonts w:hint="eastAsia" w:ascii="宋体" w:hAnsi="宋体" w:cs="宋体"/>
                <w:kern w:val="0"/>
                <w:sz w:val="21"/>
                <w:szCs w:val="21"/>
                <w:highlight w:val="black"/>
              </w:rPr>
              <w:t>∠</w:t>
            </w:r>
            <w:r>
              <w:rPr>
                <w:kern w:val="0"/>
                <w:sz w:val="21"/>
                <w:szCs w:val="21"/>
                <w:highlight w:val="black"/>
              </w:rPr>
              <w:t>31</w:t>
            </w:r>
          </w:p>
        </w:tc>
        <w:tc>
          <w:tcPr>
            <w:tcW w:w="559" w:type="dxa"/>
            <w:tcBorders>
              <w:tl2br w:val="nil"/>
              <w:tr2bl w:val="nil"/>
            </w:tcBorders>
            <w:shd w:val="clear" w:color="auto" w:fill="auto"/>
            <w:noWrap/>
            <w:vAlign w:val="center"/>
          </w:tcPr>
          <w:p w14:paraId="08530CD2">
            <w:pPr>
              <w:widowControl/>
              <w:spacing w:line="240" w:lineRule="auto"/>
              <w:ind w:firstLine="0" w:firstLineChars="0"/>
              <w:jc w:val="center"/>
              <w:rPr>
                <w:kern w:val="0"/>
                <w:sz w:val="21"/>
                <w:szCs w:val="21"/>
                <w:highlight w:val="black"/>
              </w:rPr>
            </w:pPr>
            <w:r>
              <w:rPr>
                <w:kern w:val="0"/>
                <w:sz w:val="21"/>
                <w:szCs w:val="21"/>
                <w:highlight w:val="black"/>
              </w:rPr>
              <w:t>38</w:t>
            </w:r>
          </w:p>
        </w:tc>
        <w:tc>
          <w:tcPr>
            <w:tcW w:w="622" w:type="dxa"/>
            <w:tcBorders>
              <w:tl2br w:val="nil"/>
              <w:tr2bl w:val="nil"/>
            </w:tcBorders>
            <w:shd w:val="clear" w:color="auto" w:fill="auto"/>
            <w:noWrap/>
            <w:vAlign w:val="center"/>
          </w:tcPr>
          <w:p w14:paraId="751F94E0">
            <w:pPr>
              <w:widowControl/>
              <w:spacing w:line="240" w:lineRule="auto"/>
              <w:ind w:firstLine="0" w:firstLineChars="0"/>
              <w:jc w:val="center"/>
              <w:rPr>
                <w:kern w:val="0"/>
                <w:sz w:val="21"/>
                <w:szCs w:val="21"/>
                <w:highlight w:val="black"/>
              </w:rPr>
            </w:pPr>
            <w:r>
              <w:rPr>
                <w:kern w:val="0"/>
                <w:sz w:val="21"/>
                <w:szCs w:val="21"/>
                <w:highlight w:val="black"/>
              </w:rPr>
              <w:t>25</w:t>
            </w:r>
          </w:p>
        </w:tc>
        <w:tc>
          <w:tcPr>
            <w:tcW w:w="613" w:type="dxa"/>
            <w:tcBorders>
              <w:tl2br w:val="nil"/>
              <w:tr2bl w:val="nil"/>
            </w:tcBorders>
            <w:shd w:val="clear" w:color="auto" w:fill="auto"/>
            <w:noWrap/>
            <w:vAlign w:val="center"/>
          </w:tcPr>
          <w:p w14:paraId="579F453E">
            <w:pPr>
              <w:widowControl/>
              <w:spacing w:line="240" w:lineRule="auto"/>
              <w:ind w:firstLine="0" w:firstLineChars="0"/>
              <w:jc w:val="center"/>
              <w:rPr>
                <w:kern w:val="0"/>
                <w:sz w:val="21"/>
                <w:szCs w:val="21"/>
                <w:highlight w:val="black"/>
              </w:rPr>
            </w:pPr>
            <w:r>
              <w:rPr>
                <w:kern w:val="0"/>
                <w:sz w:val="21"/>
                <w:szCs w:val="21"/>
                <w:highlight w:val="black"/>
              </w:rPr>
              <w:t>2.00</w:t>
            </w:r>
          </w:p>
        </w:tc>
        <w:tc>
          <w:tcPr>
            <w:tcW w:w="613" w:type="dxa"/>
            <w:tcBorders>
              <w:tl2br w:val="nil"/>
              <w:tr2bl w:val="nil"/>
            </w:tcBorders>
            <w:shd w:val="clear" w:color="auto" w:fill="auto"/>
            <w:noWrap/>
            <w:vAlign w:val="center"/>
          </w:tcPr>
          <w:p w14:paraId="14303CB5">
            <w:pPr>
              <w:widowControl/>
              <w:spacing w:line="240" w:lineRule="auto"/>
              <w:ind w:firstLine="0" w:firstLineChars="0"/>
              <w:jc w:val="center"/>
              <w:rPr>
                <w:kern w:val="0"/>
                <w:sz w:val="21"/>
                <w:szCs w:val="21"/>
                <w:highlight w:val="black"/>
              </w:rPr>
            </w:pPr>
            <w:r>
              <w:rPr>
                <w:kern w:val="0"/>
                <w:sz w:val="21"/>
                <w:szCs w:val="21"/>
                <w:highlight w:val="black"/>
              </w:rPr>
              <w:t>32.33</w:t>
            </w:r>
          </w:p>
        </w:tc>
        <w:tc>
          <w:tcPr>
            <w:tcW w:w="847" w:type="dxa"/>
            <w:tcBorders>
              <w:tl2br w:val="nil"/>
              <w:tr2bl w:val="nil"/>
            </w:tcBorders>
            <w:shd w:val="clear" w:color="auto" w:fill="auto"/>
            <w:noWrap/>
            <w:vAlign w:val="center"/>
          </w:tcPr>
          <w:p w14:paraId="1995B5C9">
            <w:pPr>
              <w:widowControl/>
              <w:spacing w:line="240" w:lineRule="auto"/>
              <w:ind w:firstLine="0" w:firstLineChars="0"/>
              <w:jc w:val="center"/>
              <w:rPr>
                <w:kern w:val="0"/>
                <w:sz w:val="21"/>
                <w:szCs w:val="21"/>
                <w:highlight w:val="black"/>
              </w:rPr>
            </w:pPr>
            <w:r>
              <w:rPr>
                <w:kern w:val="0"/>
                <w:sz w:val="21"/>
                <w:szCs w:val="21"/>
                <w:highlight w:val="black"/>
              </w:rPr>
              <w:t>29.30</w:t>
            </w:r>
          </w:p>
        </w:tc>
        <w:tc>
          <w:tcPr>
            <w:tcW w:w="1234" w:type="dxa"/>
            <w:tcBorders>
              <w:tl2br w:val="nil"/>
              <w:tr2bl w:val="nil"/>
            </w:tcBorders>
            <w:shd w:val="clear" w:color="auto" w:fill="auto"/>
            <w:vAlign w:val="center"/>
          </w:tcPr>
          <w:p w14:paraId="1F6BA52E">
            <w:pPr>
              <w:widowControl/>
              <w:spacing w:line="240" w:lineRule="auto"/>
              <w:ind w:firstLine="0" w:firstLineChars="0"/>
              <w:jc w:val="center"/>
              <w:rPr>
                <w:kern w:val="0"/>
                <w:sz w:val="21"/>
                <w:szCs w:val="21"/>
                <w:highlight w:val="black"/>
              </w:rPr>
            </w:pPr>
            <w:r>
              <w:rPr>
                <w:kern w:val="0"/>
                <w:sz w:val="21"/>
                <w:szCs w:val="21"/>
                <w:highlight w:val="black"/>
              </w:rPr>
              <w:t>243</w:t>
            </w:r>
            <w:r>
              <w:rPr>
                <w:rFonts w:hint="eastAsia"/>
                <w:kern w:val="0"/>
                <w:sz w:val="21"/>
                <w:szCs w:val="21"/>
                <w:highlight w:val="black"/>
              </w:rPr>
              <w:t>~</w:t>
            </w:r>
            <w:r>
              <w:rPr>
                <w:kern w:val="0"/>
                <w:sz w:val="21"/>
                <w:szCs w:val="21"/>
                <w:highlight w:val="black"/>
              </w:rPr>
              <w:t>283</w:t>
            </w:r>
          </w:p>
        </w:tc>
        <w:tc>
          <w:tcPr>
            <w:tcW w:w="503" w:type="dxa"/>
            <w:tcBorders>
              <w:tl2br w:val="nil"/>
              <w:tr2bl w:val="nil"/>
            </w:tcBorders>
            <w:shd w:val="clear" w:color="auto" w:fill="auto"/>
            <w:noWrap/>
            <w:vAlign w:val="center"/>
          </w:tcPr>
          <w:p w14:paraId="7FACA249">
            <w:pPr>
              <w:widowControl/>
              <w:spacing w:line="240" w:lineRule="auto"/>
              <w:ind w:firstLine="0" w:firstLineChars="0"/>
              <w:jc w:val="center"/>
              <w:rPr>
                <w:kern w:val="0"/>
                <w:sz w:val="21"/>
                <w:szCs w:val="21"/>
                <w:highlight w:val="black"/>
              </w:rPr>
            </w:pPr>
            <w:r>
              <w:rPr>
                <w:kern w:val="0"/>
                <w:sz w:val="21"/>
                <w:szCs w:val="21"/>
                <w:highlight w:val="black"/>
              </w:rPr>
              <w:t>0</w:t>
            </w:r>
          </w:p>
        </w:tc>
        <w:tc>
          <w:tcPr>
            <w:tcW w:w="560" w:type="dxa"/>
            <w:tcBorders>
              <w:tl2br w:val="nil"/>
              <w:tr2bl w:val="nil"/>
            </w:tcBorders>
            <w:shd w:val="clear" w:color="auto" w:fill="auto"/>
            <w:noWrap/>
            <w:vAlign w:val="center"/>
          </w:tcPr>
          <w:p w14:paraId="1CDABCCA">
            <w:pPr>
              <w:widowControl/>
              <w:spacing w:line="240" w:lineRule="auto"/>
              <w:ind w:firstLine="0" w:firstLineChars="0"/>
              <w:jc w:val="center"/>
              <w:rPr>
                <w:kern w:val="0"/>
                <w:sz w:val="21"/>
                <w:szCs w:val="21"/>
                <w:highlight w:val="black"/>
              </w:rPr>
            </w:pPr>
            <w:r>
              <w:rPr>
                <w:kern w:val="0"/>
                <w:sz w:val="21"/>
                <w:szCs w:val="21"/>
                <w:highlight w:val="black"/>
              </w:rPr>
              <w:t>29</w:t>
            </w:r>
          </w:p>
        </w:tc>
      </w:tr>
    </w:tbl>
    <w:p w14:paraId="43293D56">
      <w:pPr>
        <w:numPr>
          <w:ilvl w:val="0"/>
          <w:numId w:val="5"/>
        </w:numPr>
        <w:ind w:firstLine="583"/>
        <w:rPr>
          <w:highlight w:val="black"/>
        </w:rPr>
      </w:pPr>
      <w:r>
        <w:rPr>
          <w:highlight w:val="black"/>
        </w:rPr>
        <w:t>矿石</w:t>
      </w:r>
      <w:r>
        <w:rPr>
          <w:rFonts w:hint="eastAsia"/>
          <w:highlight w:val="black"/>
        </w:rPr>
        <w:t>质量</w:t>
      </w:r>
    </w:p>
    <w:p w14:paraId="2022DD64">
      <w:pPr>
        <w:ind w:firstLine="583"/>
        <w:rPr>
          <w:highlight w:val="black"/>
        </w:rPr>
      </w:pPr>
      <w:r>
        <w:rPr>
          <w:highlight w:val="black"/>
        </w:rPr>
        <w:t>矿石粒度以中细粒为主，偶见粗粒，总体粒径约为0.03～2mm。结构主要为粒状结构，其次为自形晶和包含结构，少量侵蚀结构；构造以条纹状为主，少量脉状、团块状和斑杂状构造。</w:t>
      </w:r>
    </w:p>
    <w:p w14:paraId="7494144D">
      <w:pPr>
        <w:ind w:firstLine="583"/>
        <w:rPr>
          <w:highlight w:val="black"/>
        </w:rPr>
      </w:pPr>
      <w:r>
        <w:rPr>
          <w:highlight w:val="black"/>
        </w:rPr>
        <w:t>矿石物质组成主要由矿石矿物磁铁矿及脉石矿物石英、角闪石、长石及云母组成，其中磁铁矿含量在15.36</w:t>
      </w:r>
      <w:r>
        <w:rPr>
          <w:rFonts w:hint="eastAsia"/>
          <w:highlight w:val="black"/>
        </w:rPr>
        <w:t>%～</w:t>
      </w:r>
      <w:r>
        <w:rPr>
          <w:highlight w:val="black"/>
        </w:rPr>
        <w:t>33.22%、石英含量在34</w:t>
      </w:r>
      <w:r>
        <w:rPr>
          <w:rFonts w:hint="eastAsia"/>
          <w:highlight w:val="black"/>
        </w:rPr>
        <w:t>%～</w:t>
      </w:r>
      <w:r>
        <w:rPr>
          <w:highlight w:val="black"/>
        </w:rPr>
        <w:t>50%、角闪石含量在6</w:t>
      </w:r>
      <w:r>
        <w:rPr>
          <w:rFonts w:hint="eastAsia"/>
          <w:highlight w:val="black"/>
        </w:rPr>
        <w:t>%～</w:t>
      </w:r>
      <w:r>
        <w:rPr>
          <w:highlight w:val="black"/>
        </w:rPr>
        <w:t>42%、长石含量在2</w:t>
      </w:r>
      <w:r>
        <w:rPr>
          <w:rFonts w:hint="eastAsia"/>
          <w:highlight w:val="black"/>
        </w:rPr>
        <w:t>%～</w:t>
      </w:r>
      <w:r>
        <w:rPr>
          <w:highlight w:val="black"/>
        </w:rPr>
        <w:t>7.77%、云母含量在1</w:t>
      </w:r>
      <w:r>
        <w:rPr>
          <w:rFonts w:hint="eastAsia"/>
          <w:highlight w:val="black"/>
        </w:rPr>
        <w:t>%～</w:t>
      </w:r>
      <w:r>
        <w:rPr>
          <w:highlight w:val="black"/>
        </w:rPr>
        <w:t>3%。</w:t>
      </w:r>
    </w:p>
    <w:p w14:paraId="6FDBB90B">
      <w:pPr>
        <w:ind w:firstLine="583"/>
        <w:rPr>
          <w:highlight w:val="black"/>
        </w:rPr>
      </w:pPr>
      <w:r>
        <w:rPr>
          <w:highlight w:val="black"/>
        </w:rPr>
        <w:t>磁铁矿颗粒在岩石中相对集中形成条纹状分布，与石英呈黑、白条纹相间排列，结构主要为粒状结构</w:t>
      </w:r>
      <w:r>
        <w:rPr>
          <w:rFonts w:hint="eastAsia"/>
          <w:highlight w:val="black"/>
        </w:rPr>
        <w:t>。</w:t>
      </w:r>
    </w:p>
    <w:p w14:paraId="5B56CA90">
      <w:pPr>
        <w:ind w:firstLine="583"/>
        <w:rPr>
          <w:highlight w:val="black"/>
        </w:rPr>
      </w:pPr>
      <w:r>
        <w:rPr>
          <w:rFonts w:hint="eastAsia"/>
          <w:highlight w:val="black"/>
        </w:rPr>
        <w:t>3、矿石自然类型</w:t>
      </w:r>
    </w:p>
    <w:p w14:paraId="2BA5E1FC">
      <w:pPr>
        <w:ind w:firstLine="583"/>
        <w:rPr>
          <w:highlight w:val="black"/>
        </w:rPr>
      </w:pPr>
      <w:r>
        <w:rPr>
          <w:highlight w:val="black"/>
        </w:rPr>
        <w:t>矿石自然类型主要为磁铁石英岩。</w:t>
      </w:r>
    </w:p>
    <w:p w14:paraId="15DB5B10">
      <w:pPr>
        <w:ind w:firstLine="583"/>
        <w:rPr>
          <w:highlight w:val="black"/>
        </w:rPr>
      </w:pPr>
      <w:r>
        <w:rPr>
          <w:highlight w:val="black"/>
        </w:rPr>
        <w:t>磁铁石英岩：矿石为灰黑色和钢灰色，粒状变晶结构，条带状构造，部分条带不明显而呈块状构造，条带由白色石英与磁铁矿相混合的黑色条带相间分布而成。条带宽度不等，条带宽0.5～6.0mm。矿石以石英、磁铁矿为主，常含有少量赤铁矿、白云母、黄铁矿。</w:t>
      </w:r>
    </w:p>
    <w:p w14:paraId="1B41387A">
      <w:pPr>
        <w:ind w:firstLine="583"/>
        <w:rPr>
          <w:highlight w:val="black"/>
        </w:rPr>
      </w:pPr>
      <w:r>
        <w:rPr>
          <w:rFonts w:hint="eastAsia"/>
          <w:highlight w:val="black"/>
        </w:rPr>
        <w:t>（1）</w:t>
      </w:r>
      <w:r>
        <w:rPr>
          <w:highlight w:val="black"/>
        </w:rPr>
        <w:t>按组成矿石的主要铁矿物可分为磁铁石英岩型：铁矿物与石英呈黑白相间的韵律层分布，形成磁铁石英岩型铁矿石，具强磁性。</w:t>
      </w:r>
    </w:p>
    <w:p w14:paraId="3020549F">
      <w:pPr>
        <w:ind w:firstLine="583"/>
        <w:rPr>
          <w:highlight w:val="black"/>
        </w:rPr>
      </w:pPr>
      <w:r>
        <w:rPr>
          <w:rFonts w:hint="eastAsia"/>
          <w:highlight w:val="black"/>
        </w:rPr>
        <w:t>（2）</w:t>
      </w:r>
      <w:r>
        <w:rPr>
          <w:highlight w:val="black"/>
        </w:rPr>
        <w:t>按矿石主要脉石矿物的种类可分为石英型：脉石矿物以石英为主。</w:t>
      </w:r>
    </w:p>
    <w:p w14:paraId="635B295B">
      <w:pPr>
        <w:ind w:firstLine="583"/>
        <w:rPr>
          <w:highlight w:val="black"/>
        </w:rPr>
      </w:pPr>
      <w:r>
        <w:rPr>
          <w:rFonts w:hint="eastAsia"/>
          <w:highlight w:val="black"/>
        </w:rPr>
        <w:t>（3）</w:t>
      </w:r>
      <w:r>
        <w:rPr>
          <w:highlight w:val="black"/>
        </w:rPr>
        <w:t>按结构构造又可分为条纹状、条带状、块状，其中以条纹状为主。</w:t>
      </w:r>
    </w:p>
    <w:p w14:paraId="3B4E80D8">
      <w:pPr>
        <w:ind w:firstLine="583"/>
        <w:rPr>
          <w:highlight w:val="black"/>
        </w:rPr>
      </w:pPr>
      <w:r>
        <w:rPr>
          <w:rFonts w:hint="eastAsia"/>
          <w:highlight w:val="black"/>
        </w:rPr>
        <w:t>4、矿体围岩和夹石</w:t>
      </w:r>
    </w:p>
    <w:p w14:paraId="4DB1B0D0">
      <w:pPr>
        <w:ind w:firstLine="583"/>
        <w:rPr>
          <w:highlight w:val="black"/>
        </w:rPr>
      </w:pPr>
      <w:r>
        <w:rPr>
          <w:highlight w:val="black"/>
        </w:rPr>
        <w:t>铁矿体围岩主要为斜长角闪片麻岩和二长花岗片麻岩，矿体与围岩产状基本一致。</w:t>
      </w:r>
    </w:p>
    <w:p w14:paraId="34D90D4E">
      <w:pPr>
        <w:ind w:firstLine="583"/>
        <w:rPr>
          <w:highlight w:val="black"/>
        </w:rPr>
      </w:pPr>
      <w:r>
        <w:rPr>
          <w:rFonts w:hint="eastAsia"/>
          <w:highlight w:val="black"/>
        </w:rPr>
        <w:t>主矿体Fe4及其他矿体上下盘围岩岩性主要为斜长角闪片麻岩，局部二长花岗片麻岩与矿体呈侵入接触。主矿体上下盘围岩TFe含量6.85%，mFe含量2.35%，对矿体完整性影响较小</w:t>
      </w:r>
      <w:r>
        <w:rPr>
          <w:highlight w:val="black"/>
        </w:rPr>
        <w:t>。</w:t>
      </w:r>
    </w:p>
    <w:p w14:paraId="05E038D7">
      <w:pPr>
        <w:ind w:firstLine="583"/>
        <w:rPr>
          <w:highlight w:val="black"/>
        </w:rPr>
      </w:pPr>
      <w:r>
        <w:rPr>
          <w:rFonts w:hint="eastAsia"/>
          <w:highlight w:val="black"/>
        </w:rPr>
        <w:t>矿体中见有夹石，岩性为斜长角闪片麻岩，一般规模较小且不连续，长100</w:t>
      </w:r>
      <w:r>
        <w:rPr>
          <w:highlight w:val="black"/>
        </w:rPr>
        <w:t>～</w:t>
      </w:r>
      <w:r>
        <w:rPr>
          <w:rFonts w:hint="eastAsia"/>
          <w:highlight w:val="black"/>
        </w:rPr>
        <w:t>165m，厚度1.70</w:t>
      </w:r>
      <w:r>
        <w:rPr>
          <w:highlight w:val="black"/>
        </w:rPr>
        <w:t>～</w:t>
      </w:r>
      <w:r>
        <w:rPr>
          <w:rFonts w:hint="eastAsia"/>
          <w:highlight w:val="black"/>
        </w:rPr>
        <w:t>3.30m，夹石与矿体产状基本一致，TFe含量7.20%～23.26%，mFe含量2.60%～14.18%，对矿体完整性影响较小</w:t>
      </w:r>
      <w:r>
        <w:rPr>
          <w:highlight w:val="black"/>
        </w:rPr>
        <w:t>。</w:t>
      </w:r>
    </w:p>
    <w:p w14:paraId="05F138DF">
      <w:pPr>
        <w:pStyle w:val="3"/>
        <w:ind w:firstLine="0" w:firstLineChars="0"/>
      </w:pPr>
      <w:bookmarkStart w:id="149" w:name="_Toc29254"/>
      <w:r>
        <w:t>2.4</w:t>
      </w:r>
      <w:r>
        <w:rPr>
          <w:rFonts w:hint="eastAsia"/>
        </w:rPr>
        <w:t xml:space="preserve"> </w:t>
      </w:r>
      <w:r>
        <w:t>工程建设方案概况</w:t>
      </w:r>
      <w:bookmarkEnd w:id="149"/>
    </w:p>
    <w:p w14:paraId="121F6F4C">
      <w:pPr>
        <w:pStyle w:val="4"/>
        <w:ind w:firstLine="0" w:firstLineChars="0"/>
      </w:pPr>
      <w:r>
        <w:t>2.4.1矿山开采现状</w:t>
      </w:r>
    </w:p>
    <w:p w14:paraId="5AFD777F">
      <w:pPr>
        <w:ind w:firstLine="583"/>
        <w:rPr>
          <w:highlight w:val="black"/>
        </w:rPr>
      </w:pPr>
      <w:r>
        <w:rPr>
          <w:highlight w:val="black"/>
        </w:rPr>
        <w:t>本溪市昱蕴铁选有限公司大柳峪铁矿为探转采项目，并未进行过大规模开采活动，仅在地表存在小规模早期民采露天采坑，并未进行过任何地下开采。</w:t>
      </w:r>
    </w:p>
    <w:p w14:paraId="48DE2884">
      <w:pPr>
        <w:ind w:firstLine="583"/>
        <w:rPr>
          <w:highlight w:val="black"/>
        </w:rPr>
      </w:pPr>
      <w:r>
        <w:rPr>
          <w:rFonts w:hint="eastAsia"/>
          <w:highlight w:val="black"/>
        </w:rPr>
        <w:t>矿区</w:t>
      </w:r>
      <w:r>
        <w:rPr>
          <w:highlight w:val="black"/>
        </w:rPr>
        <w:t>范围内存在4处小规模早期民采露天采坑，其中大部分极小，未形成封闭圈，多为取土坑，已经废弃多年，</w:t>
      </w:r>
      <w:r>
        <w:rPr>
          <w:rFonts w:hint="eastAsia"/>
          <w:highlight w:val="black"/>
        </w:rPr>
        <w:t>全部</w:t>
      </w:r>
      <w:r>
        <w:rPr>
          <w:highlight w:val="black"/>
        </w:rPr>
        <w:t>已经自然植被。目前矿区内较大的采坑有1个，编号</w:t>
      </w:r>
      <w:r>
        <w:rPr>
          <w:rFonts w:hint="eastAsia"/>
          <w:highlight w:val="black"/>
        </w:rPr>
        <w:t>为</w:t>
      </w:r>
      <w:r>
        <w:rPr>
          <w:highlight w:val="black"/>
        </w:rPr>
        <w:t>CC1，为早期对矿区内赋存矿体地表露头的民采采坑，采坑目前边坡稳定，其详细参数见下表。</w:t>
      </w:r>
    </w:p>
    <w:p w14:paraId="0DC52094">
      <w:pPr>
        <w:spacing w:line="240" w:lineRule="auto"/>
        <w:ind w:firstLine="0" w:firstLineChars="0"/>
        <w:jc w:val="center"/>
        <w:rPr>
          <w:b/>
          <w:sz w:val="21"/>
          <w:szCs w:val="21"/>
        </w:rPr>
      </w:pPr>
      <w:r>
        <w:rPr>
          <w:b/>
          <w:sz w:val="21"/>
          <w:szCs w:val="21"/>
        </w:rPr>
        <w:t>表</w:t>
      </w:r>
      <w:r>
        <w:rPr>
          <w:rFonts w:hint="eastAsia"/>
          <w:b/>
          <w:sz w:val="21"/>
          <w:szCs w:val="21"/>
        </w:rPr>
        <w:t>2</w:t>
      </w:r>
      <w:r>
        <w:rPr>
          <w:b/>
          <w:sz w:val="21"/>
          <w:szCs w:val="21"/>
        </w:rPr>
        <w:t>-</w:t>
      </w:r>
      <w:r>
        <w:rPr>
          <w:rFonts w:hint="eastAsia"/>
          <w:b/>
          <w:sz w:val="21"/>
          <w:szCs w:val="21"/>
        </w:rPr>
        <w:t xml:space="preserve">10 </w:t>
      </w:r>
      <w:r>
        <w:rPr>
          <w:b/>
          <w:sz w:val="21"/>
          <w:szCs w:val="21"/>
        </w:rPr>
        <w:t>现有地表采坑参数表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933"/>
        <w:gridCol w:w="935"/>
        <w:gridCol w:w="1505"/>
        <w:gridCol w:w="1504"/>
        <w:gridCol w:w="975"/>
        <w:gridCol w:w="1357"/>
        <w:gridCol w:w="859"/>
      </w:tblGrid>
      <w:tr w14:paraId="14920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5E7F9253">
            <w:pPr>
              <w:widowControl/>
              <w:snapToGrid w:val="0"/>
              <w:spacing w:line="240" w:lineRule="atLeast"/>
              <w:ind w:firstLine="0" w:firstLineChars="0"/>
              <w:jc w:val="center"/>
              <w:rPr>
                <w:kern w:val="0"/>
                <w:sz w:val="21"/>
                <w:szCs w:val="21"/>
                <w:highlight w:val="black"/>
              </w:rPr>
            </w:pPr>
            <w:r>
              <w:rPr>
                <w:kern w:val="0"/>
                <w:sz w:val="21"/>
                <w:szCs w:val="21"/>
                <w:highlight w:val="black"/>
              </w:rPr>
              <w:t>采坑</w:t>
            </w:r>
          </w:p>
        </w:tc>
        <w:tc>
          <w:tcPr>
            <w:tcW w:w="538" w:type="pct"/>
            <w:tcBorders>
              <w:tl2br w:val="nil"/>
              <w:tr2bl w:val="nil"/>
            </w:tcBorders>
            <w:noWrap/>
            <w:vAlign w:val="center"/>
          </w:tcPr>
          <w:p w14:paraId="5F1D5BB5">
            <w:pPr>
              <w:widowControl/>
              <w:snapToGrid w:val="0"/>
              <w:spacing w:line="240" w:lineRule="atLeast"/>
              <w:ind w:firstLine="0" w:firstLineChars="0"/>
              <w:jc w:val="center"/>
              <w:rPr>
                <w:kern w:val="0"/>
                <w:sz w:val="21"/>
                <w:szCs w:val="21"/>
                <w:highlight w:val="black"/>
              </w:rPr>
            </w:pPr>
            <w:r>
              <w:rPr>
                <w:kern w:val="0"/>
                <w:sz w:val="21"/>
                <w:szCs w:val="21"/>
                <w:highlight w:val="black"/>
              </w:rPr>
              <w:t>长</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539" w:type="pct"/>
            <w:tcBorders>
              <w:tl2br w:val="nil"/>
              <w:tr2bl w:val="nil"/>
            </w:tcBorders>
            <w:noWrap/>
            <w:vAlign w:val="center"/>
          </w:tcPr>
          <w:p w14:paraId="04541BA1">
            <w:pPr>
              <w:widowControl/>
              <w:snapToGrid w:val="0"/>
              <w:spacing w:line="240" w:lineRule="atLeast"/>
              <w:ind w:firstLine="0" w:firstLineChars="0"/>
              <w:jc w:val="center"/>
              <w:rPr>
                <w:kern w:val="0"/>
                <w:sz w:val="21"/>
                <w:szCs w:val="21"/>
                <w:highlight w:val="black"/>
              </w:rPr>
            </w:pPr>
            <w:r>
              <w:rPr>
                <w:kern w:val="0"/>
                <w:sz w:val="21"/>
                <w:szCs w:val="21"/>
                <w:highlight w:val="black"/>
              </w:rPr>
              <w:t>宽</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868" w:type="pct"/>
            <w:tcBorders>
              <w:tl2br w:val="nil"/>
              <w:tr2bl w:val="nil"/>
            </w:tcBorders>
            <w:noWrap/>
            <w:vAlign w:val="center"/>
          </w:tcPr>
          <w:p w14:paraId="29B4A00B">
            <w:pPr>
              <w:widowControl/>
              <w:snapToGrid w:val="0"/>
              <w:spacing w:line="240" w:lineRule="atLeast"/>
              <w:ind w:firstLine="0" w:firstLineChars="0"/>
              <w:jc w:val="center"/>
              <w:rPr>
                <w:kern w:val="0"/>
                <w:sz w:val="21"/>
                <w:szCs w:val="21"/>
                <w:highlight w:val="black"/>
              </w:rPr>
            </w:pPr>
            <w:r>
              <w:rPr>
                <w:kern w:val="0"/>
                <w:sz w:val="21"/>
                <w:szCs w:val="21"/>
                <w:highlight w:val="black"/>
              </w:rPr>
              <w:t>边坡高度</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868" w:type="pct"/>
            <w:tcBorders>
              <w:tl2br w:val="nil"/>
              <w:tr2bl w:val="nil"/>
            </w:tcBorders>
            <w:noWrap/>
            <w:vAlign w:val="center"/>
          </w:tcPr>
          <w:p w14:paraId="116C9473">
            <w:pPr>
              <w:widowControl/>
              <w:snapToGrid w:val="0"/>
              <w:spacing w:line="240" w:lineRule="atLeast"/>
              <w:ind w:firstLine="0" w:firstLineChars="0"/>
              <w:jc w:val="center"/>
              <w:rPr>
                <w:kern w:val="0"/>
                <w:sz w:val="21"/>
                <w:szCs w:val="21"/>
                <w:highlight w:val="black"/>
              </w:rPr>
            </w:pPr>
            <w:r>
              <w:rPr>
                <w:kern w:val="0"/>
                <w:sz w:val="21"/>
                <w:szCs w:val="21"/>
                <w:highlight w:val="black"/>
              </w:rPr>
              <w:t>开采标高</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563" w:type="pct"/>
            <w:tcBorders>
              <w:tl2br w:val="nil"/>
              <w:tr2bl w:val="nil"/>
            </w:tcBorders>
            <w:noWrap/>
            <w:vAlign w:val="center"/>
          </w:tcPr>
          <w:p w14:paraId="0D87BA13">
            <w:pPr>
              <w:widowControl/>
              <w:snapToGrid w:val="0"/>
              <w:spacing w:line="240" w:lineRule="atLeast"/>
              <w:ind w:firstLine="0" w:firstLineChars="0"/>
              <w:jc w:val="center"/>
              <w:rPr>
                <w:kern w:val="0"/>
                <w:sz w:val="21"/>
                <w:szCs w:val="21"/>
                <w:highlight w:val="black"/>
              </w:rPr>
            </w:pPr>
            <w:r>
              <w:rPr>
                <w:kern w:val="0"/>
                <w:sz w:val="21"/>
                <w:szCs w:val="21"/>
                <w:highlight w:val="black"/>
              </w:rPr>
              <w:t>台阶高度</w:t>
            </w:r>
          </w:p>
        </w:tc>
        <w:tc>
          <w:tcPr>
            <w:tcW w:w="783" w:type="pct"/>
            <w:tcBorders>
              <w:tl2br w:val="nil"/>
              <w:tr2bl w:val="nil"/>
            </w:tcBorders>
            <w:noWrap/>
            <w:vAlign w:val="center"/>
          </w:tcPr>
          <w:p w14:paraId="2AFA2A85">
            <w:pPr>
              <w:widowControl/>
              <w:snapToGrid w:val="0"/>
              <w:spacing w:line="240" w:lineRule="atLeast"/>
              <w:ind w:firstLine="0" w:firstLineChars="0"/>
              <w:jc w:val="center"/>
              <w:rPr>
                <w:kern w:val="0"/>
                <w:sz w:val="21"/>
                <w:szCs w:val="21"/>
                <w:highlight w:val="black"/>
              </w:rPr>
            </w:pPr>
            <w:r>
              <w:rPr>
                <w:kern w:val="0"/>
                <w:sz w:val="21"/>
                <w:szCs w:val="21"/>
                <w:highlight w:val="black"/>
              </w:rPr>
              <w:t>最终边坡角</w:t>
            </w:r>
            <w:r>
              <w:rPr>
                <w:rFonts w:hint="eastAsia"/>
                <w:kern w:val="0"/>
                <w:sz w:val="21"/>
                <w:szCs w:val="21"/>
                <w:highlight w:val="black"/>
              </w:rPr>
              <w:t>（</w:t>
            </w:r>
            <w:r>
              <w:rPr>
                <w:kern w:val="0"/>
                <w:sz w:val="21"/>
                <w:szCs w:val="21"/>
                <w:highlight w:val="black"/>
              </w:rPr>
              <w:t>°</w:t>
            </w:r>
            <w:r>
              <w:rPr>
                <w:rFonts w:hint="eastAsia"/>
                <w:kern w:val="0"/>
                <w:sz w:val="21"/>
                <w:szCs w:val="21"/>
                <w:highlight w:val="black"/>
              </w:rPr>
              <w:t>）</w:t>
            </w:r>
          </w:p>
        </w:tc>
        <w:tc>
          <w:tcPr>
            <w:tcW w:w="496" w:type="pct"/>
            <w:tcBorders>
              <w:tl2br w:val="nil"/>
              <w:tr2bl w:val="nil"/>
            </w:tcBorders>
            <w:vAlign w:val="center"/>
          </w:tcPr>
          <w:p w14:paraId="5A3DEBF5">
            <w:pPr>
              <w:widowControl/>
              <w:snapToGrid w:val="0"/>
              <w:spacing w:line="240" w:lineRule="atLeast"/>
              <w:ind w:firstLine="0" w:firstLineChars="0"/>
              <w:jc w:val="center"/>
              <w:rPr>
                <w:kern w:val="0"/>
                <w:sz w:val="21"/>
                <w:szCs w:val="21"/>
                <w:highlight w:val="black"/>
              </w:rPr>
            </w:pPr>
            <w:r>
              <w:rPr>
                <w:kern w:val="0"/>
                <w:sz w:val="21"/>
                <w:szCs w:val="21"/>
                <w:highlight w:val="black"/>
              </w:rPr>
              <w:t>备注</w:t>
            </w:r>
          </w:p>
        </w:tc>
      </w:tr>
      <w:tr w14:paraId="34452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41095C58">
            <w:pPr>
              <w:widowControl/>
              <w:snapToGrid w:val="0"/>
              <w:spacing w:line="240" w:lineRule="atLeast"/>
              <w:ind w:firstLine="0" w:firstLineChars="0"/>
              <w:jc w:val="center"/>
              <w:rPr>
                <w:kern w:val="0"/>
                <w:sz w:val="21"/>
                <w:szCs w:val="21"/>
                <w:highlight w:val="black"/>
              </w:rPr>
            </w:pPr>
            <w:r>
              <w:rPr>
                <w:kern w:val="0"/>
                <w:sz w:val="21"/>
                <w:szCs w:val="21"/>
                <w:highlight w:val="black"/>
              </w:rPr>
              <w:t>CC1</w:t>
            </w:r>
          </w:p>
        </w:tc>
        <w:tc>
          <w:tcPr>
            <w:tcW w:w="538" w:type="pct"/>
            <w:tcBorders>
              <w:tl2br w:val="nil"/>
              <w:tr2bl w:val="nil"/>
            </w:tcBorders>
            <w:noWrap/>
            <w:vAlign w:val="center"/>
          </w:tcPr>
          <w:p w14:paraId="1F286CAB">
            <w:pPr>
              <w:widowControl/>
              <w:snapToGrid w:val="0"/>
              <w:spacing w:line="240" w:lineRule="atLeast"/>
              <w:ind w:firstLine="0" w:firstLineChars="0"/>
              <w:jc w:val="center"/>
              <w:rPr>
                <w:kern w:val="0"/>
                <w:sz w:val="21"/>
                <w:szCs w:val="21"/>
                <w:highlight w:val="black"/>
              </w:rPr>
            </w:pPr>
            <w:r>
              <w:rPr>
                <w:kern w:val="0"/>
                <w:sz w:val="21"/>
                <w:szCs w:val="21"/>
                <w:highlight w:val="black"/>
              </w:rPr>
              <w:t>102</w:t>
            </w:r>
          </w:p>
        </w:tc>
        <w:tc>
          <w:tcPr>
            <w:tcW w:w="539" w:type="pct"/>
            <w:tcBorders>
              <w:tl2br w:val="nil"/>
              <w:tr2bl w:val="nil"/>
            </w:tcBorders>
            <w:noWrap/>
            <w:vAlign w:val="center"/>
          </w:tcPr>
          <w:p w14:paraId="6CDDA7A5">
            <w:pPr>
              <w:widowControl/>
              <w:snapToGrid w:val="0"/>
              <w:spacing w:line="240" w:lineRule="atLeast"/>
              <w:ind w:firstLine="0" w:firstLineChars="0"/>
              <w:jc w:val="center"/>
              <w:rPr>
                <w:kern w:val="0"/>
                <w:sz w:val="21"/>
                <w:szCs w:val="21"/>
                <w:highlight w:val="black"/>
              </w:rPr>
            </w:pPr>
            <w:r>
              <w:rPr>
                <w:kern w:val="0"/>
                <w:sz w:val="21"/>
                <w:szCs w:val="21"/>
                <w:highlight w:val="black"/>
              </w:rPr>
              <w:t>48</w:t>
            </w:r>
          </w:p>
        </w:tc>
        <w:tc>
          <w:tcPr>
            <w:tcW w:w="868" w:type="pct"/>
            <w:tcBorders>
              <w:tl2br w:val="nil"/>
              <w:tr2bl w:val="nil"/>
            </w:tcBorders>
            <w:noWrap/>
            <w:vAlign w:val="center"/>
          </w:tcPr>
          <w:p w14:paraId="0E7568BE">
            <w:pPr>
              <w:widowControl/>
              <w:snapToGrid w:val="0"/>
              <w:spacing w:line="240" w:lineRule="atLeast"/>
              <w:ind w:firstLine="0" w:firstLineChars="0"/>
              <w:jc w:val="center"/>
              <w:rPr>
                <w:kern w:val="0"/>
                <w:sz w:val="21"/>
                <w:szCs w:val="21"/>
                <w:highlight w:val="black"/>
              </w:rPr>
            </w:pPr>
            <w:r>
              <w:rPr>
                <w:kern w:val="0"/>
                <w:sz w:val="21"/>
                <w:szCs w:val="21"/>
                <w:highlight w:val="black"/>
              </w:rPr>
              <w:t>24</w:t>
            </w:r>
          </w:p>
        </w:tc>
        <w:tc>
          <w:tcPr>
            <w:tcW w:w="868" w:type="pct"/>
            <w:tcBorders>
              <w:tl2br w:val="nil"/>
              <w:tr2bl w:val="nil"/>
            </w:tcBorders>
            <w:noWrap/>
            <w:vAlign w:val="center"/>
          </w:tcPr>
          <w:p w14:paraId="494007FB">
            <w:pPr>
              <w:widowControl/>
              <w:snapToGrid w:val="0"/>
              <w:spacing w:line="240" w:lineRule="atLeast"/>
              <w:ind w:firstLine="0" w:firstLineChars="0"/>
              <w:jc w:val="center"/>
              <w:rPr>
                <w:kern w:val="0"/>
                <w:sz w:val="21"/>
                <w:szCs w:val="21"/>
                <w:highlight w:val="black"/>
              </w:rPr>
            </w:pPr>
            <w:r>
              <w:rPr>
                <w:kern w:val="0"/>
                <w:sz w:val="21"/>
                <w:szCs w:val="21"/>
                <w:highlight w:val="black"/>
              </w:rPr>
              <w:t>175-199</w:t>
            </w:r>
          </w:p>
        </w:tc>
        <w:tc>
          <w:tcPr>
            <w:tcW w:w="563" w:type="pct"/>
            <w:tcBorders>
              <w:tl2br w:val="nil"/>
              <w:tr2bl w:val="nil"/>
            </w:tcBorders>
            <w:noWrap/>
            <w:vAlign w:val="center"/>
          </w:tcPr>
          <w:p w14:paraId="387F028C">
            <w:pPr>
              <w:widowControl/>
              <w:snapToGrid w:val="0"/>
              <w:spacing w:line="240" w:lineRule="atLeast"/>
              <w:ind w:firstLine="0" w:firstLineChars="0"/>
              <w:jc w:val="center"/>
              <w:rPr>
                <w:kern w:val="0"/>
                <w:sz w:val="21"/>
                <w:szCs w:val="21"/>
                <w:highlight w:val="black"/>
              </w:rPr>
            </w:pPr>
            <w:r>
              <w:rPr>
                <w:kern w:val="0"/>
                <w:sz w:val="21"/>
                <w:szCs w:val="21"/>
                <w:highlight w:val="black"/>
              </w:rPr>
              <w:t>6-10</w:t>
            </w:r>
          </w:p>
        </w:tc>
        <w:tc>
          <w:tcPr>
            <w:tcW w:w="783" w:type="pct"/>
            <w:tcBorders>
              <w:tl2br w:val="nil"/>
              <w:tr2bl w:val="nil"/>
            </w:tcBorders>
            <w:noWrap/>
            <w:vAlign w:val="center"/>
          </w:tcPr>
          <w:p w14:paraId="7B9190F1">
            <w:pPr>
              <w:widowControl/>
              <w:snapToGrid w:val="0"/>
              <w:spacing w:line="240" w:lineRule="atLeast"/>
              <w:ind w:firstLine="0" w:firstLineChars="0"/>
              <w:jc w:val="center"/>
              <w:rPr>
                <w:kern w:val="0"/>
                <w:sz w:val="21"/>
                <w:szCs w:val="21"/>
                <w:highlight w:val="black"/>
              </w:rPr>
            </w:pPr>
            <w:r>
              <w:rPr>
                <w:kern w:val="0"/>
                <w:sz w:val="21"/>
                <w:szCs w:val="21"/>
                <w:highlight w:val="black"/>
              </w:rPr>
              <w:t>48</w:t>
            </w:r>
          </w:p>
        </w:tc>
        <w:tc>
          <w:tcPr>
            <w:tcW w:w="496" w:type="pct"/>
            <w:tcBorders>
              <w:tl2br w:val="nil"/>
              <w:tr2bl w:val="nil"/>
            </w:tcBorders>
            <w:vAlign w:val="center"/>
          </w:tcPr>
          <w:p w14:paraId="1A7276D2">
            <w:pPr>
              <w:widowControl/>
              <w:snapToGrid w:val="0"/>
              <w:spacing w:line="240" w:lineRule="atLeast"/>
              <w:ind w:firstLine="0" w:firstLineChars="0"/>
              <w:jc w:val="center"/>
              <w:rPr>
                <w:kern w:val="0"/>
                <w:sz w:val="21"/>
                <w:szCs w:val="21"/>
                <w:highlight w:val="black"/>
              </w:rPr>
            </w:pPr>
            <w:r>
              <w:rPr>
                <w:kern w:val="0"/>
                <w:sz w:val="21"/>
                <w:szCs w:val="21"/>
                <w:highlight w:val="black"/>
              </w:rPr>
              <w:t>采坑未封闭，无积水</w:t>
            </w:r>
          </w:p>
        </w:tc>
      </w:tr>
    </w:tbl>
    <w:p w14:paraId="0FC406BA">
      <w:pPr>
        <w:ind w:firstLine="583"/>
        <w:rPr>
          <w:rFonts w:hint="eastAsia"/>
          <w:highlight w:val="black"/>
        </w:rPr>
      </w:pPr>
      <w:r>
        <w:rPr>
          <w:rFonts w:hint="eastAsia"/>
          <w:highlight w:val="black"/>
        </w:rPr>
        <w:t>本矿山为新建矿山，无</w:t>
      </w:r>
      <w:r>
        <w:rPr>
          <w:rFonts w:hint="eastAsia"/>
          <w:highlight w:val="black"/>
          <w:lang w:val="en-US" w:eastAsia="zh-CN"/>
        </w:rPr>
        <w:t>利旧工程、</w:t>
      </w:r>
      <w:r>
        <w:rPr>
          <w:rFonts w:hint="eastAsia"/>
          <w:highlight w:val="black"/>
        </w:rPr>
        <w:t>辅助设施</w:t>
      </w:r>
      <w:r>
        <w:rPr>
          <w:rFonts w:hint="eastAsia"/>
          <w:highlight w:val="black"/>
          <w:lang w:eastAsia="zh-CN"/>
        </w:rPr>
        <w:t>。</w:t>
      </w:r>
    </w:p>
    <w:p w14:paraId="5BFB432E">
      <w:pPr>
        <w:ind w:firstLine="583"/>
        <w:rPr>
          <w:highlight w:val="black"/>
        </w:rPr>
      </w:pPr>
      <w:r>
        <w:rPr>
          <w:rFonts w:hint="eastAsia"/>
          <w:highlight w:val="black"/>
        </w:rPr>
        <w:t>根据中盎工程设计咨询有限公司于2024年11月编制的《本溪市昱蕴铁选有限公司大柳峪铁矿隐蔽致灾因素普查报告》，矿区范围内未发现硐口，矿体未进行地下开采，无采空区。</w:t>
      </w:r>
    </w:p>
    <w:p w14:paraId="148E5BEA">
      <w:pPr>
        <w:pStyle w:val="4"/>
        <w:ind w:firstLine="0" w:firstLineChars="0"/>
      </w:pPr>
      <w:r>
        <w:t>2.4.2建设规模及工作制度</w:t>
      </w:r>
    </w:p>
    <w:p w14:paraId="3468EC5C">
      <w:pPr>
        <w:ind w:firstLine="583"/>
        <w:rPr>
          <w:rFonts w:ascii="宋体" w:hAnsi="宋体" w:cs="宋体"/>
          <w:highlight w:val="black"/>
        </w:rPr>
      </w:pPr>
      <w:r>
        <w:rPr>
          <w:rFonts w:hint="eastAsia" w:ascii="宋体" w:hAnsi="宋体" w:cs="宋体"/>
          <w:highlight w:val="black"/>
        </w:rPr>
        <w:t>（1）矿区范围</w:t>
      </w:r>
    </w:p>
    <w:p w14:paraId="384062C9">
      <w:pPr>
        <w:ind w:firstLine="583"/>
        <w:rPr>
          <w:highlight w:val="black"/>
        </w:rPr>
      </w:pPr>
      <w:r>
        <w:rPr>
          <w:rFonts w:hint="eastAsia"/>
          <w:highlight w:val="black"/>
        </w:rPr>
        <w:t>根据该项目采矿许可证（证号：C2100002010042130062379）确定的本溪市昱蕴铁选有限公司大柳峪铁矿北采区地下开采</w:t>
      </w:r>
      <w:r>
        <w:rPr>
          <w:highlight w:val="black"/>
        </w:rPr>
        <w:t>矿区范围由7个拐点圈定，开采</w:t>
      </w:r>
      <w:r>
        <w:rPr>
          <w:rFonts w:hint="eastAsia"/>
          <w:highlight w:val="black"/>
        </w:rPr>
        <w:t>标高</w:t>
      </w:r>
      <w:r>
        <w:rPr>
          <w:highlight w:val="black"/>
        </w:rPr>
        <w:t>由360m至-50m标高。</w:t>
      </w:r>
      <w:r>
        <w:rPr>
          <w:rFonts w:hint="eastAsia"/>
          <w:highlight w:val="black"/>
        </w:rPr>
        <w:t>矿区面积</w:t>
      </w:r>
      <w:r>
        <w:rPr>
          <w:highlight w:val="black"/>
        </w:rPr>
        <w:t>0.8729km</w:t>
      </w:r>
      <w:r>
        <w:rPr>
          <w:highlight w:val="black"/>
          <w:vertAlign w:val="superscript"/>
        </w:rPr>
        <w:t>2</w:t>
      </w:r>
      <w:r>
        <w:rPr>
          <w:rFonts w:hint="eastAsia"/>
          <w:highlight w:val="black"/>
        </w:rPr>
        <w:t>。</w:t>
      </w:r>
    </w:p>
    <w:p w14:paraId="191A78F0">
      <w:pPr>
        <w:ind w:firstLine="583"/>
        <w:rPr>
          <w:highlight w:val="black"/>
        </w:rPr>
      </w:pPr>
      <w:r>
        <w:rPr>
          <w:rFonts w:hint="eastAsia"/>
          <w:highlight w:val="black"/>
        </w:rPr>
        <w:t>该项目矿区范围坐标见表2-11。</w:t>
      </w:r>
    </w:p>
    <w:p w14:paraId="279E4058">
      <w:pPr>
        <w:spacing w:line="240" w:lineRule="auto"/>
        <w:ind w:firstLine="0" w:firstLineChars="0"/>
        <w:jc w:val="center"/>
      </w:pPr>
      <w:r>
        <w:rPr>
          <w:rFonts w:hint="eastAsia"/>
          <w:b/>
          <w:sz w:val="21"/>
          <w:szCs w:val="21"/>
        </w:rPr>
        <w:t>表2-11</w:t>
      </w:r>
      <w:r>
        <w:rPr>
          <w:b/>
          <w:sz w:val="21"/>
          <w:szCs w:val="21"/>
        </w:rPr>
        <w:t xml:space="preserve"> </w:t>
      </w:r>
      <w:r>
        <w:rPr>
          <w:rFonts w:hint="eastAsia"/>
          <w:b/>
          <w:sz w:val="21"/>
          <w:szCs w:val="21"/>
        </w:rPr>
        <w:t>矿区范围拐点坐标表</w:t>
      </w:r>
    </w:p>
    <w:tbl>
      <w:tblPr>
        <w:tblStyle w:val="25"/>
        <w:tblW w:w="5000" w:type="pct"/>
        <w:jc w:val="center"/>
        <w:tblLayout w:type="autofit"/>
        <w:tblCellMar>
          <w:top w:w="0" w:type="dxa"/>
          <w:left w:w="108" w:type="dxa"/>
          <w:bottom w:w="0" w:type="dxa"/>
          <w:right w:w="108" w:type="dxa"/>
        </w:tblCellMar>
      </w:tblPr>
      <w:tblGrid>
        <w:gridCol w:w="1677"/>
        <w:gridCol w:w="3651"/>
        <w:gridCol w:w="3335"/>
      </w:tblGrid>
      <w:tr w14:paraId="4439A2C9">
        <w:tblPrEx>
          <w:tblCellMar>
            <w:top w:w="0" w:type="dxa"/>
            <w:left w:w="108" w:type="dxa"/>
            <w:bottom w:w="0" w:type="dxa"/>
            <w:right w:w="108" w:type="dxa"/>
          </w:tblCellMar>
        </w:tblPrEx>
        <w:trPr>
          <w:trHeight w:val="397" w:hRule="atLeast"/>
          <w:tblHeader/>
          <w:jc w:val="center"/>
        </w:trPr>
        <w:tc>
          <w:tcPr>
            <w:tcW w:w="968" w:type="pct"/>
            <w:vMerge w:val="restart"/>
            <w:tcBorders>
              <w:top w:val="single" w:color="auto" w:sz="4" w:space="0"/>
              <w:left w:val="single" w:color="auto" w:sz="4" w:space="0"/>
              <w:bottom w:val="single" w:color="auto" w:sz="4" w:space="0"/>
              <w:right w:val="single" w:color="auto" w:sz="4" w:space="0"/>
            </w:tcBorders>
            <w:vAlign w:val="center"/>
          </w:tcPr>
          <w:p w14:paraId="7D17296F">
            <w:pPr>
              <w:snapToGrid w:val="0"/>
              <w:spacing w:line="240" w:lineRule="auto"/>
              <w:ind w:firstLine="0" w:firstLineChars="0"/>
              <w:jc w:val="center"/>
              <w:rPr>
                <w:sz w:val="21"/>
                <w:szCs w:val="21"/>
                <w:highlight w:val="black"/>
                <w:u w:color="000000"/>
              </w:rPr>
            </w:pPr>
            <w:bookmarkStart w:id="150" w:name="_Hlk185460035"/>
            <w:r>
              <w:rPr>
                <w:sz w:val="21"/>
                <w:szCs w:val="21"/>
                <w:highlight w:val="black"/>
              </w:rPr>
              <w:t>拐点坐标</w:t>
            </w:r>
          </w:p>
        </w:tc>
        <w:tc>
          <w:tcPr>
            <w:tcW w:w="4032" w:type="pct"/>
            <w:gridSpan w:val="2"/>
            <w:tcBorders>
              <w:top w:val="single" w:color="auto" w:sz="4" w:space="0"/>
              <w:left w:val="nil"/>
              <w:bottom w:val="single" w:color="auto" w:sz="4" w:space="0"/>
              <w:right w:val="single" w:color="auto" w:sz="4" w:space="0"/>
            </w:tcBorders>
            <w:noWrap/>
            <w:vAlign w:val="center"/>
          </w:tcPr>
          <w:p w14:paraId="7C9D93BD">
            <w:pPr>
              <w:snapToGrid w:val="0"/>
              <w:spacing w:line="240" w:lineRule="auto"/>
              <w:ind w:firstLine="0" w:firstLineChars="0"/>
              <w:jc w:val="center"/>
              <w:rPr>
                <w:sz w:val="21"/>
                <w:szCs w:val="21"/>
                <w:highlight w:val="black"/>
                <w:u w:color="000000"/>
              </w:rPr>
            </w:pPr>
            <w:r>
              <w:rPr>
                <w:sz w:val="21"/>
                <w:szCs w:val="21"/>
                <w:highlight w:val="black"/>
              </w:rPr>
              <w:t>2000国家大地坐标系</w:t>
            </w:r>
          </w:p>
        </w:tc>
      </w:tr>
      <w:tr w14:paraId="792BE96A">
        <w:tblPrEx>
          <w:tblCellMar>
            <w:top w:w="0" w:type="dxa"/>
            <w:left w:w="108" w:type="dxa"/>
            <w:bottom w:w="0" w:type="dxa"/>
            <w:right w:w="108" w:type="dxa"/>
          </w:tblCellMar>
        </w:tblPrEx>
        <w:trPr>
          <w:trHeight w:val="397" w:hRule="atLeast"/>
          <w:tblHeader/>
          <w:jc w:val="center"/>
        </w:trPr>
        <w:tc>
          <w:tcPr>
            <w:tcW w:w="968" w:type="pct"/>
            <w:vMerge w:val="continue"/>
            <w:tcBorders>
              <w:top w:val="single" w:color="auto" w:sz="4" w:space="0"/>
              <w:left w:val="single" w:color="auto" w:sz="4" w:space="0"/>
              <w:bottom w:val="single" w:color="auto" w:sz="4" w:space="0"/>
              <w:right w:val="single" w:color="auto" w:sz="4" w:space="0"/>
            </w:tcBorders>
            <w:vAlign w:val="center"/>
          </w:tcPr>
          <w:p w14:paraId="7226CCDD">
            <w:pPr>
              <w:snapToGrid w:val="0"/>
              <w:spacing w:line="240" w:lineRule="auto"/>
              <w:ind w:firstLine="0" w:firstLineChars="0"/>
              <w:jc w:val="center"/>
              <w:rPr>
                <w:sz w:val="21"/>
                <w:szCs w:val="21"/>
                <w:highlight w:val="black"/>
                <w:u w:color="000000"/>
              </w:rPr>
            </w:pPr>
          </w:p>
        </w:tc>
        <w:tc>
          <w:tcPr>
            <w:tcW w:w="2107" w:type="pct"/>
            <w:tcBorders>
              <w:top w:val="nil"/>
              <w:left w:val="nil"/>
              <w:bottom w:val="single" w:color="auto" w:sz="4" w:space="0"/>
              <w:right w:val="single" w:color="auto" w:sz="4" w:space="0"/>
            </w:tcBorders>
            <w:noWrap/>
            <w:vAlign w:val="center"/>
          </w:tcPr>
          <w:p w14:paraId="558E1DF0">
            <w:pPr>
              <w:snapToGrid w:val="0"/>
              <w:spacing w:line="240" w:lineRule="auto"/>
              <w:ind w:firstLine="0" w:firstLineChars="0"/>
              <w:jc w:val="center"/>
              <w:rPr>
                <w:sz w:val="21"/>
                <w:szCs w:val="21"/>
                <w:highlight w:val="black"/>
                <w:u w:color="000000"/>
              </w:rPr>
            </w:pPr>
            <w:r>
              <w:rPr>
                <w:sz w:val="21"/>
                <w:szCs w:val="21"/>
                <w:highlight w:val="black"/>
              </w:rPr>
              <w:t>X</w:t>
            </w:r>
          </w:p>
        </w:tc>
        <w:tc>
          <w:tcPr>
            <w:tcW w:w="1925" w:type="pct"/>
            <w:tcBorders>
              <w:top w:val="nil"/>
              <w:left w:val="nil"/>
              <w:bottom w:val="single" w:color="auto" w:sz="4" w:space="0"/>
              <w:right w:val="single" w:color="auto" w:sz="4" w:space="0"/>
            </w:tcBorders>
            <w:noWrap/>
            <w:vAlign w:val="center"/>
          </w:tcPr>
          <w:p w14:paraId="481F7081">
            <w:pPr>
              <w:snapToGrid w:val="0"/>
              <w:spacing w:line="240" w:lineRule="auto"/>
              <w:ind w:firstLine="0" w:firstLineChars="0"/>
              <w:jc w:val="center"/>
              <w:rPr>
                <w:sz w:val="21"/>
                <w:szCs w:val="21"/>
                <w:highlight w:val="black"/>
                <w:u w:color="000000"/>
              </w:rPr>
            </w:pPr>
            <w:r>
              <w:rPr>
                <w:sz w:val="21"/>
                <w:szCs w:val="21"/>
                <w:highlight w:val="black"/>
              </w:rPr>
              <w:t>Y</w:t>
            </w:r>
          </w:p>
        </w:tc>
      </w:tr>
      <w:tr w14:paraId="665E434E">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24A67E92">
            <w:pPr>
              <w:snapToGrid w:val="0"/>
              <w:spacing w:line="240" w:lineRule="auto"/>
              <w:ind w:firstLine="0" w:firstLineChars="0"/>
              <w:jc w:val="center"/>
              <w:rPr>
                <w:sz w:val="21"/>
                <w:szCs w:val="21"/>
                <w:highlight w:val="black"/>
                <w:u w:color="000000"/>
              </w:rPr>
            </w:pPr>
            <w:r>
              <w:rPr>
                <w:sz w:val="21"/>
                <w:szCs w:val="21"/>
                <w:highlight w:val="black"/>
              </w:rPr>
              <w:t>1</w:t>
            </w:r>
          </w:p>
        </w:tc>
        <w:tc>
          <w:tcPr>
            <w:tcW w:w="2107" w:type="pct"/>
            <w:tcBorders>
              <w:top w:val="nil"/>
              <w:left w:val="nil"/>
              <w:bottom w:val="single" w:color="auto" w:sz="4" w:space="0"/>
              <w:right w:val="single" w:color="auto" w:sz="4" w:space="0"/>
            </w:tcBorders>
            <w:noWrap/>
            <w:vAlign w:val="center"/>
          </w:tcPr>
          <w:p w14:paraId="225272A5">
            <w:pPr>
              <w:snapToGrid w:val="0"/>
              <w:spacing w:line="240" w:lineRule="auto"/>
              <w:ind w:firstLine="0" w:firstLineChars="0"/>
              <w:jc w:val="center"/>
              <w:rPr>
                <w:sz w:val="21"/>
                <w:szCs w:val="21"/>
                <w:highlight w:val="black"/>
              </w:rPr>
            </w:pPr>
            <w:r>
              <w:rPr>
                <w:sz w:val="21"/>
                <w:szCs w:val="21"/>
                <w:highlight w:val="black"/>
              </w:rPr>
              <w:t>4593555.1159</w:t>
            </w:r>
          </w:p>
        </w:tc>
        <w:tc>
          <w:tcPr>
            <w:tcW w:w="1925" w:type="pct"/>
            <w:tcBorders>
              <w:top w:val="nil"/>
              <w:left w:val="nil"/>
              <w:bottom w:val="single" w:color="auto" w:sz="4" w:space="0"/>
              <w:right w:val="single" w:color="auto" w:sz="4" w:space="0"/>
            </w:tcBorders>
            <w:noWrap/>
            <w:vAlign w:val="center"/>
          </w:tcPr>
          <w:p w14:paraId="5004E1FB">
            <w:pPr>
              <w:snapToGrid w:val="0"/>
              <w:spacing w:line="240" w:lineRule="auto"/>
              <w:ind w:firstLine="0" w:firstLineChars="0"/>
              <w:jc w:val="center"/>
              <w:rPr>
                <w:sz w:val="21"/>
                <w:szCs w:val="21"/>
                <w:highlight w:val="black"/>
              </w:rPr>
            </w:pPr>
            <w:r>
              <w:rPr>
                <w:sz w:val="21"/>
                <w:szCs w:val="21"/>
                <w:highlight w:val="black"/>
              </w:rPr>
              <w:t>41554132.9216</w:t>
            </w:r>
          </w:p>
        </w:tc>
      </w:tr>
      <w:tr w14:paraId="7616D0DE">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49490178">
            <w:pPr>
              <w:snapToGrid w:val="0"/>
              <w:spacing w:line="240" w:lineRule="auto"/>
              <w:ind w:firstLine="0" w:firstLineChars="0"/>
              <w:jc w:val="center"/>
              <w:rPr>
                <w:sz w:val="21"/>
                <w:szCs w:val="21"/>
                <w:highlight w:val="black"/>
                <w:u w:color="000000"/>
              </w:rPr>
            </w:pPr>
            <w:r>
              <w:rPr>
                <w:sz w:val="21"/>
                <w:szCs w:val="21"/>
                <w:highlight w:val="black"/>
              </w:rPr>
              <w:t>2</w:t>
            </w:r>
          </w:p>
        </w:tc>
        <w:tc>
          <w:tcPr>
            <w:tcW w:w="2107" w:type="pct"/>
            <w:tcBorders>
              <w:top w:val="nil"/>
              <w:left w:val="nil"/>
              <w:bottom w:val="single" w:color="auto" w:sz="4" w:space="0"/>
              <w:right w:val="single" w:color="auto" w:sz="4" w:space="0"/>
            </w:tcBorders>
            <w:noWrap/>
            <w:vAlign w:val="center"/>
          </w:tcPr>
          <w:p w14:paraId="10CA3549">
            <w:pPr>
              <w:snapToGrid w:val="0"/>
              <w:spacing w:line="240" w:lineRule="auto"/>
              <w:ind w:firstLine="0" w:firstLineChars="0"/>
              <w:jc w:val="center"/>
              <w:rPr>
                <w:sz w:val="21"/>
                <w:szCs w:val="21"/>
                <w:highlight w:val="black"/>
              </w:rPr>
            </w:pPr>
            <w:r>
              <w:rPr>
                <w:sz w:val="21"/>
                <w:szCs w:val="21"/>
                <w:highlight w:val="black"/>
              </w:rPr>
              <w:t>4593563.6919</w:t>
            </w:r>
          </w:p>
        </w:tc>
        <w:tc>
          <w:tcPr>
            <w:tcW w:w="1925" w:type="pct"/>
            <w:tcBorders>
              <w:top w:val="nil"/>
              <w:left w:val="nil"/>
              <w:bottom w:val="single" w:color="auto" w:sz="4" w:space="0"/>
              <w:right w:val="single" w:color="auto" w:sz="4" w:space="0"/>
            </w:tcBorders>
            <w:noWrap/>
            <w:vAlign w:val="center"/>
          </w:tcPr>
          <w:p w14:paraId="386AD915">
            <w:pPr>
              <w:snapToGrid w:val="0"/>
              <w:spacing w:line="240" w:lineRule="auto"/>
              <w:ind w:firstLine="0" w:firstLineChars="0"/>
              <w:jc w:val="center"/>
              <w:rPr>
                <w:sz w:val="21"/>
                <w:szCs w:val="21"/>
                <w:highlight w:val="black"/>
              </w:rPr>
            </w:pPr>
            <w:r>
              <w:rPr>
                <w:sz w:val="21"/>
                <w:szCs w:val="21"/>
                <w:highlight w:val="black"/>
              </w:rPr>
              <w:t>41555269.8404</w:t>
            </w:r>
          </w:p>
        </w:tc>
      </w:tr>
      <w:tr w14:paraId="61D87EBC">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6457D779">
            <w:pPr>
              <w:snapToGrid w:val="0"/>
              <w:spacing w:line="240" w:lineRule="auto"/>
              <w:ind w:firstLine="0" w:firstLineChars="0"/>
              <w:jc w:val="center"/>
              <w:rPr>
                <w:sz w:val="21"/>
                <w:szCs w:val="21"/>
                <w:highlight w:val="black"/>
                <w:u w:color="000000"/>
              </w:rPr>
            </w:pPr>
            <w:r>
              <w:rPr>
                <w:sz w:val="21"/>
                <w:szCs w:val="21"/>
                <w:highlight w:val="black"/>
              </w:rPr>
              <w:t>3</w:t>
            </w:r>
          </w:p>
        </w:tc>
        <w:tc>
          <w:tcPr>
            <w:tcW w:w="2107" w:type="pct"/>
            <w:tcBorders>
              <w:top w:val="nil"/>
              <w:left w:val="nil"/>
              <w:bottom w:val="single" w:color="auto" w:sz="4" w:space="0"/>
              <w:right w:val="single" w:color="auto" w:sz="4" w:space="0"/>
            </w:tcBorders>
            <w:noWrap/>
            <w:vAlign w:val="center"/>
          </w:tcPr>
          <w:p w14:paraId="18F21C7E">
            <w:pPr>
              <w:snapToGrid w:val="0"/>
              <w:spacing w:line="240" w:lineRule="auto"/>
              <w:ind w:firstLine="0" w:firstLineChars="0"/>
              <w:jc w:val="center"/>
              <w:rPr>
                <w:sz w:val="21"/>
                <w:szCs w:val="21"/>
                <w:highlight w:val="black"/>
              </w:rPr>
            </w:pPr>
            <w:r>
              <w:rPr>
                <w:sz w:val="21"/>
                <w:szCs w:val="21"/>
                <w:highlight w:val="black"/>
              </w:rPr>
              <w:t>4593197.8069</w:t>
            </w:r>
          </w:p>
        </w:tc>
        <w:tc>
          <w:tcPr>
            <w:tcW w:w="1925" w:type="pct"/>
            <w:tcBorders>
              <w:top w:val="nil"/>
              <w:left w:val="nil"/>
              <w:bottom w:val="single" w:color="auto" w:sz="4" w:space="0"/>
              <w:right w:val="single" w:color="auto" w:sz="4" w:space="0"/>
            </w:tcBorders>
            <w:noWrap/>
            <w:vAlign w:val="center"/>
          </w:tcPr>
          <w:p w14:paraId="1B3BD7F4">
            <w:pPr>
              <w:snapToGrid w:val="0"/>
              <w:spacing w:line="240" w:lineRule="auto"/>
              <w:ind w:firstLine="0" w:firstLineChars="0"/>
              <w:jc w:val="center"/>
              <w:rPr>
                <w:sz w:val="21"/>
                <w:szCs w:val="21"/>
                <w:highlight w:val="black"/>
              </w:rPr>
            </w:pPr>
            <w:r>
              <w:rPr>
                <w:sz w:val="21"/>
                <w:szCs w:val="21"/>
                <w:highlight w:val="black"/>
              </w:rPr>
              <w:t>41555484.5937</w:t>
            </w:r>
          </w:p>
        </w:tc>
      </w:tr>
      <w:tr w14:paraId="40220DE8">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4982DCFF">
            <w:pPr>
              <w:snapToGrid w:val="0"/>
              <w:spacing w:line="240" w:lineRule="auto"/>
              <w:ind w:firstLine="0" w:firstLineChars="0"/>
              <w:jc w:val="center"/>
              <w:rPr>
                <w:sz w:val="21"/>
                <w:szCs w:val="21"/>
                <w:highlight w:val="black"/>
                <w:u w:color="000000"/>
              </w:rPr>
            </w:pPr>
            <w:r>
              <w:rPr>
                <w:sz w:val="21"/>
                <w:szCs w:val="21"/>
                <w:highlight w:val="black"/>
              </w:rPr>
              <w:t>4</w:t>
            </w:r>
          </w:p>
        </w:tc>
        <w:tc>
          <w:tcPr>
            <w:tcW w:w="2107" w:type="pct"/>
            <w:tcBorders>
              <w:top w:val="nil"/>
              <w:left w:val="nil"/>
              <w:bottom w:val="single" w:color="auto" w:sz="4" w:space="0"/>
              <w:right w:val="single" w:color="auto" w:sz="4" w:space="0"/>
            </w:tcBorders>
            <w:noWrap/>
            <w:vAlign w:val="center"/>
          </w:tcPr>
          <w:p w14:paraId="3C64EF4A">
            <w:pPr>
              <w:snapToGrid w:val="0"/>
              <w:spacing w:line="240" w:lineRule="auto"/>
              <w:ind w:firstLine="0" w:firstLineChars="0"/>
              <w:jc w:val="center"/>
              <w:rPr>
                <w:sz w:val="21"/>
                <w:szCs w:val="21"/>
                <w:highlight w:val="black"/>
              </w:rPr>
            </w:pPr>
            <w:r>
              <w:rPr>
                <w:sz w:val="21"/>
                <w:szCs w:val="21"/>
                <w:highlight w:val="black"/>
              </w:rPr>
              <w:t>4592839.0913</w:t>
            </w:r>
          </w:p>
        </w:tc>
        <w:tc>
          <w:tcPr>
            <w:tcW w:w="1925" w:type="pct"/>
            <w:tcBorders>
              <w:top w:val="nil"/>
              <w:left w:val="nil"/>
              <w:bottom w:val="single" w:color="auto" w:sz="4" w:space="0"/>
              <w:right w:val="single" w:color="auto" w:sz="4" w:space="0"/>
            </w:tcBorders>
            <w:noWrap/>
            <w:vAlign w:val="center"/>
          </w:tcPr>
          <w:p w14:paraId="073CBCC2">
            <w:pPr>
              <w:snapToGrid w:val="0"/>
              <w:spacing w:line="240" w:lineRule="auto"/>
              <w:ind w:firstLine="0" w:firstLineChars="0"/>
              <w:jc w:val="center"/>
              <w:rPr>
                <w:sz w:val="21"/>
                <w:szCs w:val="21"/>
                <w:highlight w:val="black"/>
              </w:rPr>
            </w:pPr>
            <w:r>
              <w:rPr>
                <w:sz w:val="21"/>
                <w:szCs w:val="21"/>
                <w:highlight w:val="black"/>
              </w:rPr>
              <w:t>41554784.5188</w:t>
            </w:r>
          </w:p>
        </w:tc>
      </w:tr>
      <w:tr w14:paraId="63F394D8">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757C564B">
            <w:pPr>
              <w:snapToGrid w:val="0"/>
              <w:spacing w:line="240" w:lineRule="auto"/>
              <w:ind w:firstLine="0" w:firstLineChars="0"/>
              <w:jc w:val="center"/>
              <w:rPr>
                <w:sz w:val="21"/>
                <w:szCs w:val="21"/>
                <w:highlight w:val="black"/>
                <w:u w:color="000000"/>
              </w:rPr>
            </w:pPr>
            <w:r>
              <w:rPr>
                <w:sz w:val="21"/>
                <w:szCs w:val="21"/>
                <w:highlight w:val="black"/>
              </w:rPr>
              <w:t>5</w:t>
            </w:r>
          </w:p>
        </w:tc>
        <w:tc>
          <w:tcPr>
            <w:tcW w:w="2107" w:type="pct"/>
            <w:tcBorders>
              <w:top w:val="nil"/>
              <w:left w:val="nil"/>
              <w:bottom w:val="single" w:color="auto" w:sz="4" w:space="0"/>
              <w:right w:val="single" w:color="auto" w:sz="4" w:space="0"/>
            </w:tcBorders>
            <w:noWrap/>
            <w:vAlign w:val="center"/>
          </w:tcPr>
          <w:p w14:paraId="3E07735B">
            <w:pPr>
              <w:snapToGrid w:val="0"/>
              <w:spacing w:line="240" w:lineRule="auto"/>
              <w:ind w:firstLine="0" w:firstLineChars="0"/>
              <w:jc w:val="center"/>
              <w:rPr>
                <w:sz w:val="21"/>
                <w:szCs w:val="21"/>
                <w:highlight w:val="black"/>
              </w:rPr>
            </w:pPr>
            <w:r>
              <w:rPr>
                <w:sz w:val="21"/>
                <w:szCs w:val="21"/>
                <w:highlight w:val="black"/>
              </w:rPr>
              <w:t>4592835.2725</w:t>
            </w:r>
          </w:p>
        </w:tc>
        <w:tc>
          <w:tcPr>
            <w:tcW w:w="1925" w:type="pct"/>
            <w:tcBorders>
              <w:top w:val="nil"/>
              <w:left w:val="nil"/>
              <w:bottom w:val="single" w:color="auto" w:sz="4" w:space="0"/>
              <w:right w:val="single" w:color="auto" w:sz="4" w:space="0"/>
            </w:tcBorders>
            <w:noWrap/>
            <w:vAlign w:val="center"/>
          </w:tcPr>
          <w:p w14:paraId="3EE14A7E">
            <w:pPr>
              <w:snapToGrid w:val="0"/>
              <w:spacing w:line="240" w:lineRule="auto"/>
              <w:ind w:firstLine="0" w:firstLineChars="0"/>
              <w:jc w:val="center"/>
              <w:rPr>
                <w:sz w:val="21"/>
                <w:szCs w:val="21"/>
                <w:highlight w:val="black"/>
              </w:rPr>
            </w:pPr>
            <w:r>
              <w:rPr>
                <w:sz w:val="21"/>
                <w:szCs w:val="21"/>
                <w:highlight w:val="black"/>
              </w:rPr>
              <w:t>41554660.5946</w:t>
            </w:r>
          </w:p>
        </w:tc>
      </w:tr>
      <w:tr w14:paraId="713FB8C6">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12A210D7">
            <w:pPr>
              <w:snapToGrid w:val="0"/>
              <w:spacing w:line="240" w:lineRule="auto"/>
              <w:ind w:firstLine="0" w:firstLineChars="0"/>
              <w:jc w:val="center"/>
              <w:rPr>
                <w:sz w:val="21"/>
                <w:szCs w:val="21"/>
                <w:highlight w:val="black"/>
              </w:rPr>
            </w:pPr>
            <w:r>
              <w:rPr>
                <w:sz w:val="21"/>
                <w:szCs w:val="21"/>
                <w:highlight w:val="black"/>
              </w:rPr>
              <w:t>6</w:t>
            </w:r>
          </w:p>
        </w:tc>
        <w:tc>
          <w:tcPr>
            <w:tcW w:w="2107" w:type="pct"/>
            <w:tcBorders>
              <w:top w:val="nil"/>
              <w:left w:val="nil"/>
              <w:bottom w:val="single" w:color="auto" w:sz="4" w:space="0"/>
              <w:right w:val="single" w:color="auto" w:sz="4" w:space="0"/>
            </w:tcBorders>
            <w:noWrap/>
            <w:vAlign w:val="center"/>
          </w:tcPr>
          <w:p w14:paraId="6E6CD0EF">
            <w:pPr>
              <w:snapToGrid w:val="0"/>
              <w:spacing w:line="240" w:lineRule="auto"/>
              <w:ind w:firstLine="0" w:firstLineChars="0"/>
              <w:jc w:val="center"/>
              <w:rPr>
                <w:sz w:val="21"/>
                <w:szCs w:val="21"/>
                <w:highlight w:val="black"/>
              </w:rPr>
            </w:pPr>
            <w:r>
              <w:rPr>
                <w:sz w:val="21"/>
                <w:szCs w:val="21"/>
                <w:highlight w:val="black"/>
              </w:rPr>
              <w:t>4592688.9149</w:t>
            </w:r>
          </w:p>
        </w:tc>
        <w:tc>
          <w:tcPr>
            <w:tcW w:w="1925" w:type="pct"/>
            <w:tcBorders>
              <w:top w:val="nil"/>
              <w:left w:val="nil"/>
              <w:bottom w:val="single" w:color="auto" w:sz="4" w:space="0"/>
              <w:right w:val="single" w:color="auto" w:sz="4" w:space="0"/>
            </w:tcBorders>
            <w:noWrap/>
            <w:vAlign w:val="center"/>
          </w:tcPr>
          <w:p w14:paraId="5F984FF1">
            <w:pPr>
              <w:snapToGrid w:val="0"/>
              <w:spacing w:line="240" w:lineRule="auto"/>
              <w:ind w:firstLine="0" w:firstLineChars="0"/>
              <w:jc w:val="center"/>
              <w:rPr>
                <w:sz w:val="21"/>
                <w:szCs w:val="21"/>
                <w:highlight w:val="black"/>
              </w:rPr>
            </w:pPr>
            <w:r>
              <w:rPr>
                <w:sz w:val="21"/>
                <w:szCs w:val="21"/>
                <w:highlight w:val="black"/>
              </w:rPr>
              <w:t>41554471.9265</w:t>
            </w:r>
          </w:p>
        </w:tc>
      </w:tr>
      <w:tr w14:paraId="668B00F7">
        <w:tblPrEx>
          <w:tblCellMar>
            <w:top w:w="0" w:type="dxa"/>
            <w:left w:w="108" w:type="dxa"/>
            <w:bottom w:w="0" w:type="dxa"/>
            <w:right w:w="108" w:type="dxa"/>
          </w:tblCellMar>
        </w:tblPrEx>
        <w:trPr>
          <w:trHeight w:val="397" w:hRule="atLeast"/>
          <w:jc w:val="center"/>
        </w:trPr>
        <w:tc>
          <w:tcPr>
            <w:tcW w:w="968" w:type="pct"/>
            <w:tcBorders>
              <w:top w:val="nil"/>
              <w:left w:val="single" w:color="auto" w:sz="4" w:space="0"/>
              <w:bottom w:val="single" w:color="auto" w:sz="4" w:space="0"/>
              <w:right w:val="single" w:color="auto" w:sz="4" w:space="0"/>
            </w:tcBorders>
            <w:noWrap/>
            <w:vAlign w:val="center"/>
          </w:tcPr>
          <w:p w14:paraId="34A0772C">
            <w:pPr>
              <w:snapToGrid w:val="0"/>
              <w:spacing w:line="240" w:lineRule="auto"/>
              <w:ind w:firstLine="0" w:firstLineChars="0"/>
              <w:jc w:val="center"/>
              <w:rPr>
                <w:sz w:val="21"/>
                <w:szCs w:val="21"/>
                <w:highlight w:val="black"/>
              </w:rPr>
            </w:pPr>
            <w:r>
              <w:rPr>
                <w:sz w:val="21"/>
                <w:szCs w:val="21"/>
                <w:highlight w:val="black"/>
              </w:rPr>
              <w:t>7</w:t>
            </w:r>
          </w:p>
        </w:tc>
        <w:tc>
          <w:tcPr>
            <w:tcW w:w="2107" w:type="pct"/>
            <w:tcBorders>
              <w:top w:val="nil"/>
              <w:left w:val="nil"/>
              <w:bottom w:val="single" w:color="auto" w:sz="4" w:space="0"/>
              <w:right w:val="single" w:color="auto" w:sz="4" w:space="0"/>
            </w:tcBorders>
            <w:noWrap/>
            <w:vAlign w:val="center"/>
          </w:tcPr>
          <w:p w14:paraId="0B08948D">
            <w:pPr>
              <w:snapToGrid w:val="0"/>
              <w:spacing w:line="240" w:lineRule="auto"/>
              <w:ind w:firstLine="0" w:firstLineChars="0"/>
              <w:jc w:val="center"/>
              <w:rPr>
                <w:sz w:val="21"/>
                <w:szCs w:val="21"/>
                <w:highlight w:val="black"/>
              </w:rPr>
            </w:pPr>
            <w:r>
              <w:rPr>
                <w:sz w:val="21"/>
                <w:szCs w:val="21"/>
                <w:highlight w:val="black"/>
              </w:rPr>
              <w:t>4592686.4304</w:t>
            </w:r>
          </w:p>
        </w:tc>
        <w:tc>
          <w:tcPr>
            <w:tcW w:w="1925" w:type="pct"/>
            <w:tcBorders>
              <w:top w:val="nil"/>
              <w:left w:val="nil"/>
              <w:bottom w:val="single" w:color="auto" w:sz="4" w:space="0"/>
              <w:right w:val="single" w:color="auto" w:sz="4" w:space="0"/>
            </w:tcBorders>
            <w:noWrap/>
            <w:vAlign w:val="center"/>
          </w:tcPr>
          <w:p w14:paraId="63379639">
            <w:pPr>
              <w:snapToGrid w:val="0"/>
              <w:spacing w:line="240" w:lineRule="auto"/>
              <w:ind w:firstLine="0" w:firstLineChars="0"/>
              <w:jc w:val="center"/>
              <w:rPr>
                <w:sz w:val="21"/>
                <w:szCs w:val="21"/>
                <w:highlight w:val="black"/>
              </w:rPr>
            </w:pPr>
            <w:r>
              <w:rPr>
                <w:sz w:val="21"/>
                <w:szCs w:val="21"/>
                <w:highlight w:val="black"/>
              </w:rPr>
              <w:t>41554139.4124</w:t>
            </w:r>
          </w:p>
        </w:tc>
      </w:tr>
      <w:tr w14:paraId="0841B869">
        <w:tblPrEx>
          <w:tblCellMar>
            <w:top w:w="0" w:type="dxa"/>
            <w:left w:w="108" w:type="dxa"/>
            <w:bottom w:w="0" w:type="dxa"/>
            <w:right w:w="108" w:type="dxa"/>
          </w:tblCellMar>
        </w:tblPrEx>
        <w:trPr>
          <w:trHeight w:val="397"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7DB0F205">
            <w:pPr>
              <w:snapToGrid w:val="0"/>
              <w:spacing w:line="240" w:lineRule="auto"/>
              <w:ind w:firstLine="0" w:firstLineChars="0"/>
              <w:jc w:val="center"/>
              <w:rPr>
                <w:sz w:val="21"/>
                <w:szCs w:val="21"/>
                <w:highlight w:val="black"/>
              </w:rPr>
            </w:pPr>
            <w:r>
              <w:rPr>
                <w:sz w:val="21"/>
                <w:szCs w:val="21"/>
                <w:highlight w:val="black"/>
              </w:rPr>
              <w:t>开采标高360至-50m，矿区面积0.8729km</w:t>
            </w:r>
            <w:r>
              <w:rPr>
                <w:sz w:val="21"/>
                <w:szCs w:val="21"/>
                <w:highlight w:val="black"/>
                <w:vertAlign w:val="superscript"/>
              </w:rPr>
              <w:t>2</w:t>
            </w:r>
          </w:p>
        </w:tc>
      </w:tr>
      <w:bookmarkEnd w:id="150"/>
    </w:tbl>
    <w:p w14:paraId="5C4C3ABB">
      <w:pPr>
        <w:ind w:left="560" w:firstLine="0" w:firstLineChars="0"/>
        <w:rPr>
          <w:rFonts w:ascii="宋体" w:hAnsi="宋体" w:cs="宋体"/>
        </w:rPr>
      </w:pPr>
      <w:r>
        <w:rPr>
          <w:rFonts w:hint="eastAsia" w:ascii="宋体" w:hAnsi="宋体" w:cs="宋体"/>
        </w:rPr>
        <w:t>（2）地质储量</w:t>
      </w:r>
    </w:p>
    <w:p w14:paraId="737606AD">
      <w:pPr>
        <w:ind w:firstLine="583"/>
        <w:rPr>
          <w:highlight w:val="black"/>
        </w:rPr>
      </w:pPr>
      <w:r>
        <w:rPr>
          <w:rFonts w:hint="eastAsia"/>
          <w:highlight w:val="black"/>
        </w:rPr>
        <w:t>根据《〈辽宁省本溪市歪头山大柳峪矿区（北区）铁矿勘探报告〉评审意见书》（辽溪评（储）字本〔2024〕2号），</w:t>
      </w:r>
      <w:r>
        <w:rPr>
          <w:highlight w:val="black"/>
        </w:rPr>
        <w:t>截止</w:t>
      </w:r>
      <w:r>
        <w:rPr>
          <w:rFonts w:hint="eastAsia"/>
          <w:highlight w:val="black"/>
        </w:rPr>
        <w:t>2024年1月29日</w:t>
      </w:r>
      <w:r>
        <w:rPr>
          <w:highlight w:val="black"/>
        </w:rPr>
        <w:t>，</w:t>
      </w:r>
      <w:r>
        <w:rPr>
          <w:rFonts w:hint="eastAsia"/>
          <w:highlight w:val="black"/>
        </w:rPr>
        <w:t>矿区</w:t>
      </w:r>
      <w:r>
        <w:rPr>
          <w:highlight w:val="black"/>
        </w:rPr>
        <w:t>内共估算铁矿</w:t>
      </w:r>
      <w:r>
        <w:rPr>
          <w:rFonts w:hint="eastAsia"/>
          <w:highlight w:val="black"/>
        </w:rPr>
        <w:t>（TM+</w:t>
      </w:r>
      <w:r>
        <w:rPr>
          <w:highlight w:val="black"/>
        </w:rPr>
        <w:t>KZ+TD</w:t>
      </w:r>
      <w:r>
        <w:rPr>
          <w:rFonts w:hint="eastAsia"/>
          <w:highlight w:val="black"/>
        </w:rPr>
        <w:t>）</w:t>
      </w:r>
      <w:r>
        <w:rPr>
          <w:highlight w:val="black"/>
        </w:rPr>
        <w:t>资源量</w:t>
      </w:r>
      <w:r>
        <w:rPr>
          <w:rFonts w:hint="eastAsia"/>
          <w:highlight w:val="black"/>
        </w:rPr>
        <w:t>857.507万</w:t>
      </w:r>
      <w:r>
        <w:rPr>
          <w:highlight w:val="black"/>
        </w:rPr>
        <w:t>t，其中</w:t>
      </w:r>
      <w:r>
        <w:rPr>
          <w:rFonts w:hint="eastAsia"/>
          <w:highlight w:val="black"/>
        </w:rPr>
        <w:t>（TM）</w:t>
      </w:r>
      <w:r>
        <w:rPr>
          <w:highlight w:val="black"/>
        </w:rPr>
        <w:t>资源量为</w:t>
      </w:r>
      <w:r>
        <w:rPr>
          <w:rFonts w:hint="eastAsia"/>
          <w:highlight w:val="black"/>
        </w:rPr>
        <w:t>109.015万</w:t>
      </w:r>
      <w:r>
        <w:rPr>
          <w:highlight w:val="black"/>
        </w:rPr>
        <w:t>t</w:t>
      </w:r>
      <w:r>
        <w:rPr>
          <w:rFonts w:hint="eastAsia"/>
          <w:highlight w:val="black"/>
        </w:rPr>
        <w:t>（</w:t>
      </w:r>
      <w:r>
        <w:rPr>
          <w:highlight w:val="black"/>
        </w:rPr>
        <w:t>占</w:t>
      </w:r>
      <w:r>
        <w:rPr>
          <w:rFonts w:hint="eastAsia"/>
          <w:highlight w:val="black"/>
        </w:rPr>
        <w:t>12.71%）、（</w:t>
      </w:r>
      <w:r>
        <w:rPr>
          <w:highlight w:val="black"/>
        </w:rPr>
        <w:t>KZ</w:t>
      </w:r>
      <w:r>
        <w:rPr>
          <w:rFonts w:hint="eastAsia"/>
          <w:highlight w:val="black"/>
        </w:rPr>
        <w:t>）</w:t>
      </w:r>
      <w:r>
        <w:rPr>
          <w:highlight w:val="black"/>
        </w:rPr>
        <w:t>资源量为</w:t>
      </w:r>
      <w:r>
        <w:rPr>
          <w:rFonts w:hint="eastAsia"/>
          <w:highlight w:val="black"/>
        </w:rPr>
        <w:t>377.883万</w:t>
      </w:r>
      <w:r>
        <w:rPr>
          <w:highlight w:val="black"/>
        </w:rPr>
        <w:t>t</w:t>
      </w:r>
      <w:r>
        <w:rPr>
          <w:rFonts w:hint="eastAsia"/>
          <w:highlight w:val="black"/>
        </w:rPr>
        <w:t>（</w:t>
      </w:r>
      <w:r>
        <w:rPr>
          <w:highlight w:val="black"/>
        </w:rPr>
        <w:t>占</w:t>
      </w:r>
      <w:r>
        <w:rPr>
          <w:rFonts w:hint="eastAsia"/>
          <w:highlight w:val="black"/>
        </w:rPr>
        <w:t>44.07%）</w:t>
      </w:r>
      <w:r>
        <w:rPr>
          <w:highlight w:val="black"/>
        </w:rPr>
        <w:t>，</w:t>
      </w:r>
      <w:r>
        <w:rPr>
          <w:rFonts w:hint="eastAsia"/>
          <w:highlight w:val="black"/>
        </w:rPr>
        <w:t>（</w:t>
      </w:r>
      <w:r>
        <w:rPr>
          <w:highlight w:val="black"/>
        </w:rPr>
        <w:t>TD</w:t>
      </w:r>
      <w:r>
        <w:rPr>
          <w:rFonts w:hint="eastAsia"/>
          <w:highlight w:val="black"/>
        </w:rPr>
        <w:t>）</w:t>
      </w:r>
      <w:r>
        <w:rPr>
          <w:highlight w:val="black"/>
        </w:rPr>
        <w:t>资源量为</w:t>
      </w:r>
      <w:r>
        <w:rPr>
          <w:rFonts w:hint="eastAsia"/>
          <w:highlight w:val="black"/>
        </w:rPr>
        <w:t>370.609万</w:t>
      </w:r>
      <w:r>
        <w:rPr>
          <w:highlight w:val="black"/>
        </w:rPr>
        <w:t>t</w:t>
      </w:r>
      <w:r>
        <w:rPr>
          <w:rFonts w:hint="eastAsia"/>
          <w:highlight w:val="black"/>
        </w:rPr>
        <w:t>（</w:t>
      </w:r>
      <w:r>
        <w:rPr>
          <w:highlight w:val="black"/>
        </w:rPr>
        <w:t>占</w:t>
      </w:r>
      <w:r>
        <w:rPr>
          <w:rFonts w:hint="eastAsia"/>
          <w:highlight w:val="black"/>
        </w:rPr>
        <w:t>43.22%）</w:t>
      </w:r>
      <w:r>
        <w:rPr>
          <w:highlight w:val="black"/>
        </w:rPr>
        <w:t>。</w:t>
      </w:r>
      <w:r>
        <w:rPr>
          <w:rFonts w:hint="eastAsia"/>
          <w:highlight w:val="black"/>
        </w:rPr>
        <w:t>矿床（TM）</w:t>
      </w:r>
      <w:r>
        <w:rPr>
          <w:highlight w:val="black"/>
        </w:rPr>
        <w:t>资源量</w:t>
      </w:r>
      <w:r>
        <w:rPr>
          <w:rFonts w:hint="eastAsia"/>
          <w:highlight w:val="black"/>
        </w:rPr>
        <w:t>TFe平均品位30.63%</w:t>
      </w:r>
      <w:r>
        <w:rPr>
          <w:highlight w:val="black"/>
        </w:rPr>
        <w:t>，</w:t>
      </w:r>
      <w:r>
        <w:rPr>
          <w:rFonts w:hint="eastAsia"/>
          <w:highlight w:val="black"/>
        </w:rPr>
        <w:t>mFe平均品位24.18%</w:t>
      </w:r>
      <w:r>
        <w:rPr>
          <w:highlight w:val="black"/>
        </w:rPr>
        <w:t>，</w:t>
      </w:r>
      <w:r>
        <w:rPr>
          <w:rFonts w:hint="eastAsia"/>
          <w:highlight w:val="black"/>
        </w:rPr>
        <w:t>（KZ）资源量TFe平均品位33.17%</w:t>
      </w:r>
      <w:r>
        <w:rPr>
          <w:highlight w:val="black"/>
        </w:rPr>
        <w:t>，</w:t>
      </w:r>
      <w:r>
        <w:rPr>
          <w:rFonts w:hint="eastAsia"/>
          <w:highlight w:val="black"/>
        </w:rPr>
        <w:t>mFe平均品位26.37%</w:t>
      </w:r>
      <w:r>
        <w:rPr>
          <w:highlight w:val="black"/>
        </w:rPr>
        <w:t>，</w:t>
      </w:r>
      <w:r>
        <w:rPr>
          <w:rFonts w:hint="eastAsia"/>
          <w:highlight w:val="black"/>
        </w:rPr>
        <w:t>矿床（TD）资源量TFe平均品位33.32%</w:t>
      </w:r>
      <w:r>
        <w:rPr>
          <w:highlight w:val="black"/>
        </w:rPr>
        <w:t>，</w:t>
      </w:r>
      <w:r>
        <w:rPr>
          <w:rFonts w:hint="eastAsia"/>
          <w:highlight w:val="black"/>
        </w:rPr>
        <w:t>mFe</w:t>
      </w:r>
      <w:r>
        <w:rPr>
          <w:highlight w:val="black"/>
        </w:rPr>
        <w:t>平均品位</w:t>
      </w:r>
      <w:r>
        <w:rPr>
          <w:rFonts w:hint="eastAsia"/>
          <w:highlight w:val="black"/>
        </w:rPr>
        <w:t>26.35</w:t>
      </w:r>
      <w:r>
        <w:rPr>
          <w:highlight w:val="black"/>
        </w:rPr>
        <w:t>%，全矿床TFe平均品位</w:t>
      </w:r>
      <w:r>
        <w:rPr>
          <w:rFonts w:hint="eastAsia"/>
          <w:highlight w:val="black"/>
        </w:rPr>
        <w:t>33.23</w:t>
      </w:r>
      <w:r>
        <w:rPr>
          <w:highlight w:val="black"/>
        </w:rPr>
        <w:t>%</w:t>
      </w:r>
      <w:r>
        <w:rPr>
          <w:rFonts w:hint="eastAsia"/>
          <w:highlight w:val="black"/>
        </w:rPr>
        <w:t>、</w:t>
      </w:r>
      <w:r>
        <w:rPr>
          <w:highlight w:val="black"/>
        </w:rPr>
        <w:t>mFe平均品位</w:t>
      </w:r>
      <w:r>
        <w:rPr>
          <w:rFonts w:hint="eastAsia"/>
          <w:highlight w:val="black"/>
        </w:rPr>
        <w:t>26.37</w:t>
      </w:r>
      <w:r>
        <w:rPr>
          <w:highlight w:val="black"/>
        </w:rPr>
        <w:t>%。</w:t>
      </w:r>
    </w:p>
    <w:p w14:paraId="11EB0686">
      <w:pPr>
        <w:ind w:firstLine="583"/>
      </w:pPr>
      <w:r>
        <w:rPr>
          <w:rFonts w:hint="eastAsia"/>
          <w:highlight w:val="black"/>
        </w:rPr>
        <w:t>其中探明资源量占总储量12.71%，控制资源量占总储量44.07%，探明+控制资源量占总储量56.78%，达到勘探程度</w:t>
      </w:r>
      <w:r>
        <w:rPr>
          <w:highlight w:val="black"/>
        </w:rPr>
        <w:t>。</w:t>
      </w:r>
    </w:p>
    <w:p w14:paraId="0065F6E9">
      <w:pPr>
        <w:ind w:left="560" w:firstLine="0" w:firstLineChars="0"/>
        <w:rPr>
          <w:rFonts w:ascii="宋体" w:hAnsi="宋体" w:cs="宋体"/>
        </w:rPr>
      </w:pPr>
      <w:r>
        <w:rPr>
          <w:rFonts w:hint="eastAsia" w:ascii="宋体" w:hAnsi="宋体" w:cs="宋体"/>
        </w:rPr>
        <w:t>（3）设计可采储量</w:t>
      </w:r>
    </w:p>
    <w:p w14:paraId="62BDECE8">
      <w:pPr>
        <w:ind w:firstLine="583"/>
        <w:rPr>
          <w:highlight w:val="black"/>
        </w:rPr>
      </w:pPr>
      <w:r>
        <w:rPr>
          <w:rFonts w:hint="eastAsia"/>
          <w:highlight w:val="black"/>
        </w:rPr>
        <w:t>矿界范围内保有资源量857.507万t，13条暂不开采矿体暂不利用资源量33.116万t；Fe4号矿体为省级公路留设保护矿柱损失矿量为20.481万t，Fe4号矿体为村庄留设保护矿柱损失矿量为5.760万t，Fe4号矿体总损失量为26.241万t；Fe4-9号矿体为省级公路留设保护矿柱损失矿量为0.739万t；因此，本方案设计利用资源量为797.411万t。</w:t>
      </w:r>
    </w:p>
    <w:p w14:paraId="2B367D31">
      <w:pPr>
        <w:ind w:firstLine="583"/>
        <w:rPr>
          <w:highlight w:val="black"/>
        </w:rPr>
      </w:pPr>
      <w:r>
        <w:rPr>
          <w:highlight w:val="black"/>
        </w:rPr>
        <w:t>本方案设计利用资源量占矿界范围内保有储量的</w:t>
      </w:r>
      <w:r>
        <w:rPr>
          <w:rFonts w:hint="eastAsia"/>
          <w:highlight w:val="black"/>
        </w:rPr>
        <w:t>93</w:t>
      </w:r>
      <w:r>
        <w:rPr>
          <w:highlight w:val="black"/>
        </w:rPr>
        <w:t>%，其</w:t>
      </w:r>
      <w:r>
        <w:rPr>
          <w:rFonts w:hint="eastAsia"/>
          <w:highlight w:val="black"/>
        </w:rPr>
        <w:t>中探明资源量109.015万t，</w:t>
      </w:r>
      <w:r>
        <w:rPr>
          <w:highlight w:val="black"/>
        </w:rPr>
        <w:t>控制资源量为</w:t>
      </w:r>
      <w:r>
        <w:rPr>
          <w:rFonts w:hint="eastAsia"/>
          <w:highlight w:val="black"/>
        </w:rPr>
        <w:t>374.886</w:t>
      </w:r>
      <w:r>
        <w:rPr>
          <w:highlight w:val="black"/>
        </w:rPr>
        <w:t>万t，推断资源量为3</w:t>
      </w:r>
      <w:r>
        <w:rPr>
          <w:rFonts w:hint="eastAsia"/>
          <w:highlight w:val="black"/>
        </w:rPr>
        <w:t>13.51</w:t>
      </w:r>
      <w:r>
        <w:rPr>
          <w:highlight w:val="black"/>
        </w:rPr>
        <w:t>万t。</w:t>
      </w:r>
    </w:p>
    <w:p w14:paraId="646D7ACB">
      <w:pPr>
        <w:ind w:left="560" w:firstLine="0" w:firstLineChars="0"/>
        <w:rPr>
          <w:rFonts w:ascii="宋体" w:hAnsi="宋体" w:cs="宋体"/>
        </w:rPr>
      </w:pPr>
      <w:r>
        <w:rPr>
          <w:rFonts w:hint="eastAsia" w:ascii="宋体" w:hAnsi="宋体" w:cs="宋体"/>
        </w:rPr>
        <w:t>（4）矿山生产规模</w:t>
      </w:r>
    </w:p>
    <w:p w14:paraId="570CAE36">
      <w:pPr>
        <w:ind w:firstLine="583"/>
        <w:rPr>
          <w:highlight w:val="black"/>
        </w:rPr>
      </w:pPr>
      <w:bookmarkStart w:id="151" w:name="_Hlk138434668"/>
      <w:bookmarkStart w:id="152" w:name="_Hlk162006931"/>
      <w:r>
        <w:rPr>
          <w:highlight w:val="black"/>
        </w:rPr>
        <w:t>根据《采矿许可证》以及矿体赋存条件，设计确定矿山生产规模为8</w:t>
      </w:r>
      <w:r>
        <w:rPr>
          <w:rFonts w:hint="eastAsia"/>
          <w:highlight w:val="black"/>
        </w:rPr>
        <w:t>0</w:t>
      </w:r>
      <w:r>
        <w:rPr>
          <w:highlight w:val="black"/>
        </w:rPr>
        <w:t>万t/a，日产原矿石2666.7t/d</w:t>
      </w:r>
      <w:bookmarkEnd w:id="151"/>
      <w:r>
        <w:rPr>
          <w:highlight w:val="black"/>
        </w:rPr>
        <w:t>。</w:t>
      </w:r>
    </w:p>
    <w:bookmarkEnd w:id="152"/>
    <w:p w14:paraId="1C84401C">
      <w:pPr>
        <w:ind w:left="560" w:firstLine="0" w:firstLineChars="0"/>
        <w:rPr>
          <w:rFonts w:ascii="宋体" w:hAnsi="宋体" w:cs="宋体"/>
        </w:rPr>
      </w:pPr>
      <w:r>
        <w:rPr>
          <w:rFonts w:hint="eastAsia" w:ascii="宋体" w:hAnsi="宋体" w:cs="宋体"/>
        </w:rPr>
        <w:t>（5）服务年限、工作制度</w:t>
      </w:r>
    </w:p>
    <w:p w14:paraId="189C3AA1">
      <w:pPr>
        <w:ind w:firstLine="583"/>
        <w:rPr>
          <w:highlight w:val="black"/>
        </w:rPr>
      </w:pPr>
      <w:r>
        <w:rPr>
          <w:rFonts w:hint="eastAsia"/>
          <w:highlight w:val="black"/>
        </w:rPr>
        <w:t>根据设计利用矿山保有的地质储量，经计算矿山的总服务年限为10年。</w:t>
      </w:r>
    </w:p>
    <w:p w14:paraId="3C81FEC4">
      <w:pPr>
        <w:ind w:firstLine="583"/>
        <w:rPr>
          <w:highlight w:val="black"/>
        </w:rPr>
      </w:pPr>
      <w:r>
        <w:rPr>
          <w:rFonts w:hint="eastAsia"/>
          <w:highlight w:val="black"/>
        </w:rPr>
        <w:t>矿山工作制度为连续工作制，</w:t>
      </w:r>
      <w:r>
        <w:rPr>
          <w:highlight w:val="black"/>
        </w:rPr>
        <w:t>年工作300天，每天3班，每班8小时。</w:t>
      </w:r>
    </w:p>
    <w:p w14:paraId="62177B98">
      <w:pPr>
        <w:pStyle w:val="4"/>
        <w:ind w:firstLine="0" w:firstLineChars="0"/>
      </w:pPr>
      <w:r>
        <w:t>2.4.3总图运输</w:t>
      </w:r>
    </w:p>
    <w:p w14:paraId="39ED609E">
      <w:pPr>
        <w:ind w:firstLine="583"/>
      </w:pPr>
      <w:bookmarkStart w:id="153" w:name="_Toc328480208"/>
      <w:r>
        <w:t>（1）工业场地</w:t>
      </w:r>
    </w:p>
    <w:bookmarkEnd w:id="153"/>
    <w:p w14:paraId="62A0648A">
      <w:pPr>
        <w:ind w:firstLine="583"/>
        <w:rPr>
          <w:highlight w:val="black"/>
        </w:rPr>
      </w:pPr>
      <w:bookmarkStart w:id="154" w:name="_Hlk57797875"/>
      <w:bookmarkStart w:id="155" w:name="_Toc82533924"/>
      <w:bookmarkStart w:id="156" w:name="_Toc19721"/>
      <w:r>
        <w:rPr>
          <w:highlight w:val="black"/>
        </w:rPr>
        <w:t>工业场地布置主要有：办公室、高位水池、空压机房、调度室、井口房、变电所、机修及仓库、通风机房等。</w:t>
      </w:r>
    </w:p>
    <w:p w14:paraId="3E3DE57D">
      <w:pPr>
        <w:ind w:firstLine="583"/>
        <w:rPr>
          <w:highlight w:val="black"/>
        </w:rPr>
      </w:pPr>
      <w:r>
        <w:rPr>
          <w:highlight w:val="black"/>
        </w:rPr>
        <w:t>工业场地场址水文地质条件</w:t>
      </w:r>
      <w:r>
        <w:rPr>
          <w:rFonts w:hint="eastAsia"/>
          <w:highlight w:val="black"/>
        </w:rPr>
        <w:t>中等</w:t>
      </w:r>
      <w:r>
        <w:rPr>
          <w:highlight w:val="black"/>
        </w:rPr>
        <w:t>，工程地质条件</w:t>
      </w:r>
      <w:r>
        <w:rPr>
          <w:rFonts w:hint="eastAsia"/>
          <w:highlight w:val="black"/>
        </w:rPr>
        <w:t>简单</w:t>
      </w:r>
      <w:r>
        <w:rPr>
          <w:highlight w:val="black"/>
        </w:rPr>
        <w:t>，且不存在泥石流、滑坡、流沙等地质灾害易发区域。工业场地位于当地最高洪水位</w:t>
      </w:r>
      <w:r>
        <w:rPr>
          <w:rFonts w:hint="eastAsia"/>
          <w:highlight w:val="black"/>
          <w:lang w:val="en-US" w:eastAsia="zh-CN"/>
        </w:rPr>
        <w:t>1m</w:t>
      </w:r>
      <w:r>
        <w:rPr>
          <w:highlight w:val="black"/>
        </w:rPr>
        <w:t>之上</w:t>
      </w:r>
      <w:r>
        <w:rPr>
          <w:rFonts w:hint="eastAsia"/>
          <w:highlight w:val="black"/>
        </w:rPr>
        <w:t>（</w:t>
      </w:r>
      <w:r>
        <w:rPr>
          <w:highlight w:val="black"/>
        </w:rPr>
        <w:t>当地最高洪水位为</w:t>
      </w:r>
      <w:r>
        <w:rPr>
          <w:rFonts w:hint="eastAsia"/>
          <w:highlight w:val="black"/>
          <w:lang w:val="en-US" w:eastAsia="zh-CN"/>
        </w:rPr>
        <w:t>+</w:t>
      </w:r>
      <w:r>
        <w:rPr>
          <w:rFonts w:hint="eastAsia"/>
          <w:highlight w:val="black"/>
        </w:rPr>
        <w:t>1</w:t>
      </w:r>
      <w:r>
        <w:rPr>
          <w:highlight w:val="black"/>
        </w:rPr>
        <w:t>48m</w:t>
      </w:r>
      <w:r>
        <w:rPr>
          <w:rFonts w:hint="eastAsia"/>
          <w:highlight w:val="black"/>
          <w:lang w:eastAsia="zh-CN"/>
        </w:rPr>
        <w:t>，</w:t>
      </w:r>
      <w:r>
        <w:rPr>
          <w:rFonts w:hint="eastAsia"/>
          <w:highlight w:val="black"/>
          <w:lang w:val="en-US" w:eastAsia="zh-CN"/>
        </w:rPr>
        <w:t>工业场地为+164m</w:t>
      </w:r>
      <w:r>
        <w:rPr>
          <w:rFonts w:hint="eastAsia"/>
          <w:highlight w:val="black"/>
        </w:rPr>
        <w:t>）</w:t>
      </w:r>
      <w:r>
        <w:rPr>
          <w:highlight w:val="black"/>
        </w:rPr>
        <w:t>，且位于地表岩石移动范围20m以外，根据以上分析工业场地所在位置不受洪水以及岩石移动的影响，工业场地安全可靠的。</w:t>
      </w:r>
    </w:p>
    <w:bookmarkEnd w:id="154"/>
    <w:p w14:paraId="6799C0B4">
      <w:pPr>
        <w:ind w:firstLine="583"/>
      </w:pPr>
      <w:r>
        <w:rPr>
          <w:rFonts w:hint="eastAsia"/>
        </w:rPr>
        <w:t>（2）运输形式</w:t>
      </w:r>
      <w:bookmarkEnd w:id="155"/>
      <w:bookmarkEnd w:id="156"/>
    </w:p>
    <w:p w14:paraId="1082A07F">
      <w:pPr>
        <w:ind w:firstLine="583"/>
        <w:rPr>
          <w:highlight w:val="black"/>
        </w:rPr>
      </w:pPr>
      <w:bookmarkStart w:id="157" w:name="_Toc304963627"/>
      <w:bookmarkStart w:id="158" w:name="_Toc312072594"/>
      <w:r>
        <w:rPr>
          <w:highlight w:val="black"/>
        </w:rPr>
        <w:t>本矿山井下采用斜坡道开拓系统，设计坑内运输采用无轨运输方式。采场及掘进巷道崩落下的矿岩经</w:t>
      </w:r>
      <w:r>
        <w:rPr>
          <w:rFonts w:hint="eastAsia"/>
          <w:highlight w:val="black"/>
        </w:rPr>
        <w:t>扒渣机</w:t>
      </w:r>
      <w:r>
        <w:rPr>
          <w:highlight w:val="black"/>
        </w:rPr>
        <w:t>装入自卸汽车，经自卸汽车，由中段运输巷道运至斜坡道，由斜坡道运至地表。</w:t>
      </w:r>
    </w:p>
    <w:bookmarkEnd w:id="157"/>
    <w:bookmarkEnd w:id="158"/>
    <w:p w14:paraId="7E53D936">
      <w:pPr>
        <w:ind w:firstLine="583"/>
      </w:pPr>
      <w:r>
        <w:rPr>
          <w:rFonts w:hint="eastAsia"/>
        </w:rPr>
        <w:t>（4）废石场</w:t>
      </w:r>
    </w:p>
    <w:p w14:paraId="71C0EBD8">
      <w:pPr>
        <w:ind w:firstLine="583"/>
        <w:rPr>
          <w:highlight w:val="black"/>
        </w:rPr>
      </w:pPr>
      <w:bookmarkStart w:id="159" w:name="_Hlk192529741"/>
      <w:r>
        <w:rPr>
          <w:rFonts w:hint="eastAsia"/>
          <w:highlight w:val="black"/>
        </w:rPr>
        <w:t>本矿山废石主要是基建期以及回采期掘进废石，其中基建期废石可以回填至早期地表采坑内或者</w:t>
      </w:r>
      <w:r>
        <w:rPr>
          <w:highlight w:val="black"/>
        </w:rPr>
        <w:t>用于修筑运输道路</w:t>
      </w:r>
      <w:r>
        <w:rPr>
          <w:rFonts w:hint="eastAsia"/>
          <w:highlight w:val="black"/>
        </w:rPr>
        <w:t>，而回采期废石可纳入当地政府公共资源交易平台外售，故本次设计不再建设排土场，但是为了防止废石运出后不能及时售出影响生产，在矿区外东南侧新建一个小规模的临时废石堆场作为废石中转场地，该地段已经由采矿权人取得用地许可，且其周边尤其是下游100m范围内无任何构筑物，仅有本公司早期施工的探矿道路，本次可以作为废石运输道路使用</w:t>
      </w:r>
      <w:bookmarkEnd w:id="159"/>
      <w:r>
        <w:rPr>
          <w:rFonts w:hint="eastAsia"/>
          <w:highlight w:val="black"/>
        </w:rPr>
        <w:t>。</w:t>
      </w:r>
    </w:p>
    <w:p w14:paraId="1124A7CC">
      <w:pPr>
        <w:ind w:firstLine="583"/>
        <w:rPr>
          <w:highlight w:val="black"/>
        </w:rPr>
      </w:pPr>
      <w:r>
        <w:rPr>
          <w:rFonts w:hint="eastAsia"/>
          <w:highlight w:val="black"/>
        </w:rPr>
        <w:t>但是回填至采空区内，按照实际测算，采空区完全可以承载所有掘进废石，故基本上无多余废石产出，地表不设置排土场</w:t>
      </w:r>
      <w:r>
        <w:rPr>
          <w:highlight w:val="black"/>
        </w:rPr>
        <w:t>。</w:t>
      </w:r>
    </w:p>
    <w:p w14:paraId="4645E6FF">
      <w:pPr>
        <w:ind w:firstLine="583"/>
        <w:rPr>
          <w:highlight w:val="black"/>
          <w:lang w:val="en-GB"/>
        </w:rPr>
      </w:pPr>
      <w:r>
        <w:rPr>
          <w:rFonts w:hint="eastAsia"/>
          <w:highlight w:val="black"/>
          <w:lang w:val="en-GB"/>
        </w:rPr>
        <w:t>拟选</w:t>
      </w:r>
      <w:r>
        <w:rPr>
          <w:rFonts w:hint="eastAsia"/>
          <w:highlight w:val="black"/>
        </w:rPr>
        <w:t>临时废石堆场</w:t>
      </w:r>
      <w:r>
        <w:rPr>
          <w:rFonts w:hint="eastAsia"/>
          <w:highlight w:val="black"/>
          <w:lang w:val="en-GB"/>
        </w:rPr>
        <w:t>场址坡度为9.5°，未超过1:5(11.3°)，根据《金属非金属矿山排土场安全规则》(AQ2005-2005)，所选区域适合</w:t>
      </w:r>
      <w:r>
        <w:rPr>
          <w:rFonts w:hint="eastAsia"/>
          <w:highlight w:val="black"/>
        </w:rPr>
        <w:t>临时废石堆场</w:t>
      </w:r>
      <w:r>
        <w:rPr>
          <w:rFonts w:hint="eastAsia"/>
          <w:highlight w:val="black"/>
          <w:lang w:val="en-GB"/>
        </w:rPr>
        <w:t>的建设，但是地表第四系及植被应提前全部清除。</w:t>
      </w:r>
    </w:p>
    <w:p w14:paraId="02BB8CB9">
      <w:pPr>
        <w:ind w:firstLine="583"/>
        <w:rPr>
          <w:highlight w:val="black"/>
          <w:lang w:val="en-GB"/>
        </w:rPr>
      </w:pPr>
      <w:r>
        <w:rPr>
          <w:rFonts w:hint="eastAsia"/>
          <w:highlight w:val="black"/>
        </w:rPr>
        <w:t xml:space="preserve">2) </w:t>
      </w:r>
      <w:r>
        <w:rPr>
          <w:rFonts w:hint="eastAsia"/>
          <w:highlight w:val="black"/>
          <w:lang w:val="en-GB"/>
        </w:rPr>
        <w:t>临时废石堆场容积</w:t>
      </w:r>
    </w:p>
    <w:p w14:paraId="70123EA4">
      <w:pPr>
        <w:ind w:firstLine="583"/>
        <w:rPr>
          <w:highlight w:val="black"/>
        </w:rPr>
      </w:pPr>
      <w:bookmarkStart w:id="160" w:name="_Hlk192529751"/>
      <w:r>
        <w:rPr>
          <w:rFonts w:hint="eastAsia"/>
          <w:highlight w:val="black"/>
          <w:lang w:val="en-GB"/>
        </w:rPr>
        <w:t>根据临时废石堆场的设计目的，临时废石堆场应能容纳</w:t>
      </w:r>
      <w:r>
        <w:rPr>
          <w:rFonts w:hint="eastAsia"/>
          <w:highlight w:val="black"/>
        </w:rPr>
        <w:t>一年</w:t>
      </w:r>
      <w:r>
        <w:rPr>
          <w:rFonts w:hint="eastAsia"/>
          <w:highlight w:val="black"/>
          <w:lang w:val="en-GB"/>
        </w:rPr>
        <w:t>废石的废石量，约</w:t>
      </w:r>
      <w:r>
        <w:rPr>
          <w:rFonts w:hint="eastAsia"/>
          <w:highlight w:val="black"/>
        </w:rPr>
        <w:t>8.6</w:t>
      </w:r>
      <w:r>
        <w:rPr>
          <w:rFonts w:hint="eastAsia"/>
          <w:highlight w:val="black"/>
          <w:lang w:val="en-GB"/>
        </w:rPr>
        <w:t>万m</w:t>
      </w:r>
      <w:r>
        <w:rPr>
          <w:rFonts w:hint="eastAsia"/>
          <w:highlight w:val="black"/>
          <w:vertAlign w:val="superscript"/>
          <w:lang w:val="en-GB"/>
        </w:rPr>
        <w:t>3</w:t>
      </w:r>
      <w:r>
        <w:rPr>
          <w:rFonts w:hint="eastAsia"/>
          <w:highlight w:val="black"/>
          <w:lang w:val="en-GB"/>
        </w:rPr>
        <w:t>，占地面积约</w:t>
      </w:r>
      <w:r>
        <w:rPr>
          <w:rFonts w:hint="eastAsia"/>
          <w:highlight w:val="black"/>
        </w:rPr>
        <w:t>1.7</w:t>
      </w:r>
      <w:r>
        <w:rPr>
          <w:rFonts w:hint="eastAsia"/>
          <w:highlight w:val="black"/>
          <w:lang w:val="en-GB"/>
        </w:rPr>
        <w:t>万m</w:t>
      </w:r>
      <w:r>
        <w:rPr>
          <w:rFonts w:hint="eastAsia"/>
          <w:highlight w:val="black"/>
          <w:vertAlign w:val="superscript"/>
          <w:lang w:val="en-GB"/>
        </w:rPr>
        <w:t>2</w:t>
      </w:r>
      <w:r>
        <w:rPr>
          <w:rFonts w:hint="eastAsia"/>
          <w:highlight w:val="black"/>
          <w:lang w:val="en-GB"/>
        </w:rPr>
        <w:t>，采用</w:t>
      </w:r>
      <w:r>
        <w:rPr>
          <w:rFonts w:hint="eastAsia"/>
          <w:highlight w:val="black"/>
        </w:rPr>
        <w:t>单</w:t>
      </w:r>
      <w:r>
        <w:rPr>
          <w:rFonts w:hint="eastAsia"/>
          <w:highlight w:val="black"/>
          <w:lang w:val="en-GB"/>
        </w:rPr>
        <w:t>台阶堆置，最大堆置高度</w:t>
      </w:r>
      <w:r>
        <w:rPr>
          <w:rFonts w:hint="eastAsia"/>
          <w:highlight w:val="black"/>
        </w:rPr>
        <w:t>15</w:t>
      </w:r>
      <w:r>
        <w:rPr>
          <w:rFonts w:hint="eastAsia"/>
          <w:highlight w:val="black"/>
          <w:lang w:val="en-GB"/>
        </w:rPr>
        <w:t>m，边坡角为碎石自然安息角38°；临时废石堆场外围设置挡车墙以及排水沟。严禁造成临时废石堆场超储。</w:t>
      </w:r>
    </w:p>
    <w:bookmarkEnd w:id="160"/>
    <w:p w14:paraId="06FA0495">
      <w:pPr>
        <w:ind w:firstLine="583"/>
        <w:rPr>
          <w:highlight w:val="black"/>
        </w:rPr>
      </w:pPr>
      <w:r>
        <w:rPr>
          <w:rFonts w:hint="eastAsia"/>
          <w:highlight w:val="black"/>
        </w:rPr>
        <w:t>3) 临时废石堆场排土工艺</w:t>
      </w:r>
    </w:p>
    <w:p w14:paraId="0466B974">
      <w:pPr>
        <w:ind w:firstLine="583"/>
        <w:rPr>
          <w:highlight w:val="black"/>
        </w:rPr>
      </w:pPr>
      <w:r>
        <w:rPr>
          <w:rFonts w:hint="eastAsia"/>
          <w:highlight w:val="black"/>
        </w:rPr>
        <w:t>采用自上而下压坡脚式排弃工艺。考虑铲运机转排能力大、经济运距长等特点，设计转排工艺采用临工953型装载机转排。</w:t>
      </w:r>
    </w:p>
    <w:p w14:paraId="73E53C01">
      <w:pPr>
        <w:pStyle w:val="4"/>
        <w:ind w:firstLine="0" w:firstLineChars="0"/>
      </w:pPr>
      <w:r>
        <w:t>2.4.4开采范围</w:t>
      </w:r>
    </w:p>
    <w:p w14:paraId="3C3BDA4A">
      <w:pPr>
        <w:ind w:firstLine="583"/>
      </w:pPr>
      <w:bookmarkStart w:id="161" w:name="_Hlk116823120"/>
      <w:r>
        <w:rPr>
          <w:rFonts w:hint="eastAsia"/>
        </w:rPr>
        <w:t>（1）开采对象</w:t>
      </w:r>
    </w:p>
    <w:bookmarkEnd w:id="161"/>
    <w:p w14:paraId="5F322053">
      <w:pPr>
        <w:ind w:firstLine="583"/>
        <w:rPr>
          <w:highlight w:val="black"/>
        </w:rPr>
      </w:pPr>
      <w:r>
        <w:rPr>
          <w:rFonts w:hint="eastAsia"/>
          <w:highlight w:val="black"/>
        </w:rPr>
        <w:t>根据《本溪市昱蕴铁选有限公司大柳峪铁矿北采区地下开采建设项目可行性研究报告》开采对象为矿区范围内的Fe4、Fe4-3、Fe4-5、Fe4-9、Fe4-10、Fe4-11、Fe4-12号共7条铁矿体。</w:t>
      </w:r>
    </w:p>
    <w:p w14:paraId="210EE905">
      <w:pPr>
        <w:ind w:firstLine="583"/>
      </w:pPr>
      <w:r>
        <w:rPr>
          <w:rFonts w:hint="eastAsia"/>
        </w:rPr>
        <w:t>（2）开采范围</w:t>
      </w:r>
    </w:p>
    <w:p w14:paraId="540E28A0">
      <w:pPr>
        <w:ind w:firstLine="583"/>
        <w:rPr>
          <w:rFonts w:hint="eastAsia"/>
          <w:highlight w:val="black"/>
        </w:rPr>
      </w:pPr>
      <w:bookmarkStart w:id="162" w:name="_Hlk161999341"/>
      <w:r>
        <w:rPr>
          <w:rFonts w:hint="eastAsia"/>
          <w:highlight w:val="black"/>
          <w:lang w:val="en-US" w:eastAsia="zh-CN"/>
        </w:rPr>
        <w:t>根据</w:t>
      </w:r>
      <w:r>
        <w:rPr>
          <w:rFonts w:hint="eastAsia"/>
          <w:highlight w:val="black"/>
          <w:lang w:eastAsia="zh-CN"/>
        </w:rPr>
        <w:t>《</w:t>
      </w:r>
      <w:r>
        <w:rPr>
          <w:rFonts w:hint="eastAsia"/>
          <w:highlight w:val="black"/>
          <w:lang w:val="en-US" w:eastAsia="zh-CN"/>
        </w:rPr>
        <w:t>可研报告</w:t>
      </w:r>
      <w:r>
        <w:rPr>
          <w:rFonts w:hint="eastAsia"/>
          <w:highlight w:val="black"/>
          <w:lang w:eastAsia="zh-CN"/>
        </w:rPr>
        <w:t>》，</w:t>
      </w:r>
      <w:r>
        <w:rPr>
          <w:rFonts w:hint="eastAsia"/>
          <w:highlight w:val="black"/>
        </w:rPr>
        <w:t>设计</w:t>
      </w:r>
      <w:r>
        <w:rPr>
          <w:rFonts w:hint="eastAsia"/>
          <w:highlight w:val="black"/>
          <w:lang w:val="en-US" w:eastAsia="zh-CN"/>
        </w:rPr>
        <w:t>开采</w:t>
      </w:r>
      <w:r>
        <w:rPr>
          <w:rFonts w:hint="eastAsia"/>
          <w:highlight w:val="black"/>
        </w:rPr>
        <w:t>范围同矿区范围，由7个拐点圈定，设计开采面积0.8729km</w:t>
      </w:r>
      <w:r>
        <w:rPr>
          <w:rFonts w:hint="eastAsia"/>
          <w:highlight w:val="black"/>
          <w:vertAlign w:val="superscript"/>
        </w:rPr>
        <w:t>2</w:t>
      </w:r>
      <w:r>
        <w:rPr>
          <w:rFonts w:hint="eastAsia"/>
          <w:highlight w:val="black"/>
        </w:rPr>
        <w:t>，开采标高186m～-50m，准采矿种为铁矿，生产规模为80万t/a，设计开采范围见表</w:t>
      </w:r>
      <w:bookmarkEnd w:id="162"/>
      <w:r>
        <w:rPr>
          <w:rFonts w:hint="eastAsia"/>
          <w:highlight w:val="black"/>
        </w:rPr>
        <w:t>2-12。</w:t>
      </w:r>
    </w:p>
    <w:p w14:paraId="3E396ABA">
      <w:pPr>
        <w:spacing w:line="240" w:lineRule="auto"/>
        <w:ind w:firstLine="0" w:firstLineChars="0"/>
        <w:jc w:val="center"/>
      </w:pPr>
      <w:r>
        <w:rPr>
          <w:b/>
          <w:sz w:val="21"/>
          <w:szCs w:val="21"/>
        </w:rPr>
        <w:t>表</w:t>
      </w:r>
      <w:r>
        <w:rPr>
          <w:rFonts w:hint="eastAsia"/>
          <w:b/>
          <w:sz w:val="21"/>
          <w:szCs w:val="21"/>
        </w:rPr>
        <w:t>2-12 开采</w:t>
      </w:r>
      <w:r>
        <w:rPr>
          <w:b/>
          <w:sz w:val="21"/>
          <w:szCs w:val="21"/>
        </w:rPr>
        <w:t>范围拐点坐标</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3651"/>
        <w:gridCol w:w="3335"/>
      </w:tblGrid>
      <w:tr w14:paraId="4773B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68" w:type="pct"/>
            <w:vMerge w:val="restart"/>
            <w:tcBorders>
              <w:tl2br w:val="nil"/>
              <w:tr2bl w:val="nil"/>
            </w:tcBorders>
            <w:vAlign w:val="center"/>
          </w:tcPr>
          <w:p w14:paraId="3BC02AED">
            <w:pPr>
              <w:snapToGrid w:val="0"/>
              <w:spacing w:line="240" w:lineRule="auto"/>
              <w:ind w:firstLine="0" w:firstLineChars="0"/>
              <w:jc w:val="center"/>
              <w:rPr>
                <w:sz w:val="21"/>
                <w:szCs w:val="21"/>
                <w:highlight w:val="black"/>
                <w:u w:color="000000"/>
              </w:rPr>
            </w:pPr>
            <w:r>
              <w:rPr>
                <w:sz w:val="21"/>
                <w:szCs w:val="21"/>
                <w:highlight w:val="black"/>
              </w:rPr>
              <w:t>拐点坐标</w:t>
            </w:r>
          </w:p>
        </w:tc>
        <w:tc>
          <w:tcPr>
            <w:tcW w:w="4032" w:type="pct"/>
            <w:gridSpan w:val="2"/>
            <w:tcBorders>
              <w:tl2br w:val="nil"/>
              <w:tr2bl w:val="nil"/>
            </w:tcBorders>
            <w:noWrap/>
            <w:vAlign w:val="center"/>
          </w:tcPr>
          <w:p w14:paraId="563B9944">
            <w:pPr>
              <w:snapToGrid w:val="0"/>
              <w:spacing w:line="240" w:lineRule="auto"/>
              <w:ind w:firstLine="0" w:firstLineChars="0"/>
              <w:jc w:val="center"/>
              <w:rPr>
                <w:sz w:val="21"/>
                <w:szCs w:val="21"/>
                <w:highlight w:val="black"/>
                <w:u w:color="000000"/>
              </w:rPr>
            </w:pPr>
            <w:r>
              <w:rPr>
                <w:sz w:val="21"/>
                <w:szCs w:val="21"/>
                <w:highlight w:val="black"/>
              </w:rPr>
              <w:t>2000国家大地坐标系</w:t>
            </w:r>
          </w:p>
        </w:tc>
      </w:tr>
      <w:tr w14:paraId="75960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68" w:type="pct"/>
            <w:vMerge w:val="continue"/>
            <w:tcBorders>
              <w:tl2br w:val="nil"/>
              <w:tr2bl w:val="nil"/>
            </w:tcBorders>
            <w:vAlign w:val="center"/>
          </w:tcPr>
          <w:p w14:paraId="3D4E800B">
            <w:pPr>
              <w:snapToGrid w:val="0"/>
              <w:spacing w:line="240" w:lineRule="auto"/>
              <w:ind w:firstLine="0" w:firstLineChars="0"/>
              <w:jc w:val="center"/>
              <w:rPr>
                <w:sz w:val="21"/>
                <w:szCs w:val="21"/>
                <w:highlight w:val="black"/>
                <w:u w:color="000000"/>
              </w:rPr>
            </w:pPr>
          </w:p>
        </w:tc>
        <w:tc>
          <w:tcPr>
            <w:tcW w:w="2107" w:type="pct"/>
            <w:tcBorders>
              <w:tl2br w:val="nil"/>
              <w:tr2bl w:val="nil"/>
            </w:tcBorders>
            <w:noWrap/>
            <w:vAlign w:val="center"/>
          </w:tcPr>
          <w:p w14:paraId="0792F93F">
            <w:pPr>
              <w:snapToGrid w:val="0"/>
              <w:spacing w:line="240" w:lineRule="auto"/>
              <w:ind w:firstLine="0" w:firstLineChars="0"/>
              <w:jc w:val="center"/>
              <w:rPr>
                <w:sz w:val="21"/>
                <w:szCs w:val="21"/>
                <w:highlight w:val="black"/>
                <w:u w:color="000000"/>
              </w:rPr>
            </w:pPr>
            <w:r>
              <w:rPr>
                <w:sz w:val="21"/>
                <w:szCs w:val="21"/>
                <w:highlight w:val="black"/>
              </w:rPr>
              <w:t>X</w:t>
            </w:r>
          </w:p>
        </w:tc>
        <w:tc>
          <w:tcPr>
            <w:tcW w:w="1925" w:type="pct"/>
            <w:tcBorders>
              <w:tl2br w:val="nil"/>
              <w:tr2bl w:val="nil"/>
            </w:tcBorders>
            <w:noWrap/>
            <w:vAlign w:val="center"/>
          </w:tcPr>
          <w:p w14:paraId="2C7091CC">
            <w:pPr>
              <w:snapToGrid w:val="0"/>
              <w:spacing w:line="240" w:lineRule="auto"/>
              <w:ind w:firstLine="0" w:firstLineChars="0"/>
              <w:jc w:val="center"/>
              <w:rPr>
                <w:sz w:val="21"/>
                <w:szCs w:val="21"/>
                <w:highlight w:val="black"/>
                <w:u w:color="000000"/>
              </w:rPr>
            </w:pPr>
            <w:r>
              <w:rPr>
                <w:sz w:val="21"/>
                <w:szCs w:val="21"/>
                <w:highlight w:val="black"/>
              </w:rPr>
              <w:t>Y</w:t>
            </w:r>
          </w:p>
        </w:tc>
      </w:tr>
      <w:tr w14:paraId="7C17D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1711D8F0">
            <w:pPr>
              <w:snapToGrid w:val="0"/>
              <w:spacing w:line="240" w:lineRule="auto"/>
              <w:ind w:firstLine="0" w:firstLineChars="0"/>
              <w:jc w:val="center"/>
              <w:rPr>
                <w:sz w:val="21"/>
                <w:szCs w:val="21"/>
                <w:highlight w:val="black"/>
                <w:u w:color="000000"/>
              </w:rPr>
            </w:pPr>
            <w:r>
              <w:rPr>
                <w:sz w:val="21"/>
                <w:szCs w:val="21"/>
                <w:highlight w:val="black"/>
              </w:rPr>
              <w:t>1</w:t>
            </w:r>
          </w:p>
        </w:tc>
        <w:tc>
          <w:tcPr>
            <w:tcW w:w="2107" w:type="pct"/>
            <w:tcBorders>
              <w:tl2br w:val="nil"/>
              <w:tr2bl w:val="nil"/>
            </w:tcBorders>
            <w:noWrap/>
            <w:vAlign w:val="center"/>
          </w:tcPr>
          <w:p w14:paraId="22BC3DF0">
            <w:pPr>
              <w:snapToGrid w:val="0"/>
              <w:spacing w:line="240" w:lineRule="auto"/>
              <w:ind w:firstLine="0" w:firstLineChars="0"/>
              <w:jc w:val="center"/>
              <w:rPr>
                <w:sz w:val="21"/>
                <w:szCs w:val="21"/>
                <w:highlight w:val="black"/>
              </w:rPr>
            </w:pPr>
            <w:r>
              <w:rPr>
                <w:sz w:val="21"/>
                <w:szCs w:val="21"/>
                <w:highlight w:val="black"/>
              </w:rPr>
              <w:t>4593555.1159</w:t>
            </w:r>
          </w:p>
        </w:tc>
        <w:tc>
          <w:tcPr>
            <w:tcW w:w="1925" w:type="pct"/>
            <w:tcBorders>
              <w:tl2br w:val="nil"/>
              <w:tr2bl w:val="nil"/>
            </w:tcBorders>
            <w:noWrap/>
            <w:vAlign w:val="center"/>
          </w:tcPr>
          <w:p w14:paraId="2AA0F65B">
            <w:pPr>
              <w:snapToGrid w:val="0"/>
              <w:spacing w:line="240" w:lineRule="auto"/>
              <w:ind w:firstLine="0" w:firstLineChars="0"/>
              <w:jc w:val="center"/>
              <w:rPr>
                <w:sz w:val="21"/>
                <w:szCs w:val="21"/>
                <w:highlight w:val="black"/>
              </w:rPr>
            </w:pPr>
            <w:r>
              <w:rPr>
                <w:sz w:val="21"/>
                <w:szCs w:val="21"/>
                <w:highlight w:val="black"/>
              </w:rPr>
              <w:t>41554132.9216</w:t>
            </w:r>
          </w:p>
        </w:tc>
      </w:tr>
      <w:tr w14:paraId="682FC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398EC2BA">
            <w:pPr>
              <w:snapToGrid w:val="0"/>
              <w:spacing w:line="240" w:lineRule="auto"/>
              <w:ind w:firstLine="0" w:firstLineChars="0"/>
              <w:jc w:val="center"/>
              <w:rPr>
                <w:sz w:val="21"/>
                <w:szCs w:val="21"/>
                <w:highlight w:val="black"/>
                <w:u w:color="000000"/>
              </w:rPr>
            </w:pPr>
            <w:r>
              <w:rPr>
                <w:sz w:val="21"/>
                <w:szCs w:val="21"/>
                <w:highlight w:val="black"/>
              </w:rPr>
              <w:t>2</w:t>
            </w:r>
          </w:p>
        </w:tc>
        <w:tc>
          <w:tcPr>
            <w:tcW w:w="2107" w:type="pct"/>
            <w:tcBorders>
              <w:tl2br w:val="nil"/>
              <w:tr2bl w:val="nil"/>
            </w:tcBorders>
            <w:noWrap/>
            <w:vAlign w:val="center"/>
          </w:tcPr>
          <w:p w14:paraId="34D13BCD">
            <w:pPr>
              <w:snapToGrid w:val="0"/>
              <w:spacing w:line="240" w:lineRule="auto"/>
              <w:ind w:firstLine="0" w:firstLineChars="0"/>
              <w:jc w:val="center"/>
              <w:rPr>
                <w:sz w:val="21"/>
                <w:szCs w:val="21"/>
                <w:highlight w:val="black"/>
              </w:rPr>
            </w:pPr>
            <w:r>
              <w:rPr>
                <w:sz w:val="21"/>
                <w:szCs w:val="21"/>
                <w:highlight w:val="black"/>
              </w:rPr>
              <w:t>4593563.6919</w:t>
            </w:r>
          </w:p>
        </w:tc>
        <w:tc>
          <w:tcPr>
            <w:tcW w:w="1925" w:type="pct"/>
            <w:tcBorders>
              <w:tl2br w:val="nil"/>
              <w:tr2bl w:val="nil"/>
            </w:tcBorders>
            <w:noWrap/>
            <w:vAlign w:val="center"/>
          </w:tcPr>
          <w:p w14:paraId="59F00655">
            <w:pPr>
              <w:snapToGrid w:val="0"/>
              <w:spacing w:line="240" w:lineRule="auto"/>
              <w:ind w:firstLine="0" w:firstLineChars="0"/>
              <w:jc w:val="center"/>
              <w:rPr>
                <w:sz w:val="21"/>
                <w:szCs w:val="21"/>
                <w:highlight w:val="black"/>
              </w:rPr>
            </w:pPr>
            <w:r>
              <w:rPr>
                <w:sz w:val="21"/>
                <w:szCs w:val="21"/>
                <w:highlight w:val="black"/>
              </w:rPr>
              <w:t>41555269.8404</w:t>
            </w:r>
          </w:p>
        </w:tc>
      </w:tr>
      <w:tr w14:paraId="08A76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0B5B5B5D">
            <w:pPr>
              <w:snapToGrid w:val="0"/>
              <w:spacing w:line="240" w:lineRule="auto"/>
              <w:ind w:firstLine="0" w:firstLineChars="0"/>
              <w:jc w:val="center"/>
              <w:rPr>
                <w:sz w:val="21"/>
                <w:szCs w:val="21"/>
                <w:highlight w:val="black"/>
                <w:u w:color="000000"/>
              </w:rPr>
            </w:pPr>
            <w:r>
              <w:rPr>
                <w:sz w:val="21"/>
                <w:szCs w:val="21"/>
                <w:highlight w:val="black"/>
              </w:rPr>
              <w:t>3</w:t>
            </w:r>
          </w:p>
        </w:tc>
        <w:tc>
          <w:tcPr>
            <w:tcW w:w="2107" w:type="pct"/>
            <w:tcBorders>
              <w:tl2br w:val="nil"/>
              <w:tr2bl w:val="nil"/>
            </w:tcBorders>
            <w:noWrap/>
            <w:vAlign w:val="center"/>
          </w:tcPr>
          <w:p w14:paraId="4ACCBFBF">
            <w:pPr>
              <w:snapToGrid w:val="0"/>
              <w:spacing w:line="240" w:lineRule="auto"/>
              <w:ind w:firstLine="0" w:firstLineChars="0"/>
              <w:jc w:val="center"/>
              <w:rPr>
                <w:sz w:val="21"/>
                <w:szCs w:val="21"/>
                <w:highlight w:val="black"/>
              </w:rPr>
            </w:pPr>
            <w:r>
              <w:rPr>
                <w:sz w:val="21"/>
                <w:szCs w:val="21"/>
                <w:highlight w:val="black"/>
              </w:rPr>
              <w:t>4593197.8069</w:t>
            </w:r>
          </w:p>
        </w:tc>
        <w:tc>
          <w:tcPr>
            <w:tcW w:w="1925" w:type="pct"/>
            <w:tcBorders>
              <w:tl2br w:val="nil"/>
              <w:tr2bl w:val="nil"/>
            </w:tcBorders>
            <w:noWrap/>
            <w:vAlign w:val="center"/>
          </w:tcPr>
          <w:p w14:paraId="2BE4EEBC">
            <w:pPr>
              <w:snapToGrid w:val="0"/>
              <w:spacing w:line="240" w:lineRule="auto"/>
              <w:ind w:firstLine="0" w:firstLineChars="0"/>
              <w:jc w:val="center"/>
              <w:rPr>
                <w:sz w:val="21"/>
                <w:szCs w:val="21"/>
                <w:highlight w:val="black"/>
              </w:rPr>
            </w:pPr>
            <w:r>
              <w:rPr>
                <w:sz w:val="21"/>
                <w:szCs w:val="21"/>
                <w:highlight w:val="black"/>
              </w:rPr>
              <w:t>41555484.5937</w:t>
            </w:r>
          </w:p>
        </w:tc>
      </w:tr>
      <w:tr w14:paraId="560CF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1A527369">
            <w:pPr>
              <w:snapToGrid w:val="0"/>
              <w:spacing w:line="240" w:lineRule="auto"/>
              <w:ind w:firstLine="0" w:firstLineChars="0"/>
              <w:jc w:val="center"/>
              <w:rPr>
                <w:sz w:val="21"/>
                <w:szCs w:val="21"/>
                <w:highlight w:val="black"/>
                <w:u w:color="000000"/>
              </w:rPr>
            </w:pPr>
            <w:r>
              <w:rPr>
                <w:sz w:val="21"/>
                <w:szCs w:val="21"/>
                <w:highlight w:val="black"/>
              </w:rPr>
              <w:t>4</w:t>
            </w:r>
          </w:p>
        </w:tc>
        <w:tc>
          <w:tcPr>
            <w:tcW w:w="2107" w:type="pct"/>
            <w:tcBorders>
              <w:tl2br w:val="nil"/>
              <w:tr2bl w:val="nil"/>
            </w:tcBorders>
            <w:noWrap/>
            <w:vAlign w:val="center"/>
          </w:tcPr>
          <w:p w14:paraId="68223AD0">
            <w:pPr>
              <w:snapToGrid w:val="0"/>
              <w:spacing w:line="240" w:lineRule="auto"/>
              <w:ind w:firstLine="0" w:firstLineChars="0"/>
              <w:jc w:val="center"/>
              <w:rPr>
                <w:sz w:val="21"/>
                <w:szCs w:val="21"/>
                <w:highlight w:val="black"/>
              </w:rPr>
            </w:pPr>
            <w:r>
              <w:rPr>
                <w:sz w:val="21"/>
                <w:szCs w:val="21"/>
                <w:highlight w:val="black"/>
              </w:rPr>
              <w:t>4592839.0913</w:t>
            </w:r>
          </w:p>
        </w:tc>
        <w:tc>
          <w:tcPr>
            <w:tcW w:w="1925" w:type="pct"/>
            <w:tcBorders>
              <w:tl2br w:val="nil"/>
              <w:tr2bl w:val="nil"/>
            </w:tcBorders>
            <w:noWrap/>
            <w:vAlign w:val="center"/>
          </w:tcPr>
          <w:p w14:paraId="04373C32">
            <w:pPr>
              <w:snapToGrid w:val="0"/>
              <w:spacing w:line="240" w:lineRule="auto"/>
              <w:ind w:firstLine="0" w:firstLineChars="0"/>
              <w:jc w:val="center"/>
              <w:rPr>
                <w:sz w:val="21"/>
                <w:szCs w:val="21"/>
                <w:highlight w:val="black"/>
              </w:rPr>
            </w:pPr>
            <w:r>
              <w:rPr>
                <w:sz w:val="21"/>
                <w:szCs w:val="21"/>
                <w:highlight w:val="black"/>
              </w:rPr>
              <w:t>41554784.5188</w:t>
            </w:r>
          </w:p>
        </w:tc>
      </w:tr>
      <w:tr w14:paraId="24B09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4B43100F">
            <w:pPr>
              <w:snapToGrid w:val="0"/>
              <w:spacing w:line="240" w:lineRule="auto"/>
              <w:ind w:firstLine="0" w:firstLineChars="0"/>
              <w:jc w:val="center"/>
              <w:rPr>
                <w:sz w:val="21"/>
                <w:szCs w:val="21"/>
                <w:highlight w:val="black"/>
                <w:u w:color="000000"/>
              </w:rPr>
            </w:pPr>
            <w:r>
              <w:rPr>
                <w:sz w:val="21"/>
                <w:szCs w:val="21"/>
                <w:highlight w:val="black"/>
              </w:rPr>
              <w:t>5</w:t>
            </w:r>
          </w:p>
        </w:tc>
        <w:tc>
          <w:tcPr>
            <w:tcW w:w="2107" w:type="pct"/>
            <w:tcBorders>
              <w:tl2br w:val="nil"/>
              <w:tr2bl w:val="nil"/>
            </w:tcBorders>
            <w:noWrap/>
            <w:vAlign w:val="center"/>
          </w:tcPr>
          <w:p w14:paraId="66CBFC2B">
            <w:pPr>
              <w:snapToGrid w:val="0"/>
              <w:spacing w:line="240" w:lineRule="auto"/>
              <w:ind w:firstLine="0" w:firstLineChars="0"/>
              <w:jc w:val="center"/>
              <w:rPr>
                <w:sz w:val="21"/>
                <w:szCs w:val="21"/>
                <w:highlight w:val="black"/>
              </w:rPr>
            </w:pPr>
            <w:r>
              <w:rPr>
                <w:sz w:val="21"/>
                <w:szCs w:val="21"/>
                <w:highlight w:val="black"/>
              </w:rPr>
              <w:t>4592835.2725</w:t>
            </w:r>
          </w:p>
        </w:tc>
        <w:tc>
          <w:tcPr>
            <w:tcW w:w="1925" w:type="pct"/>
            <w:tcBorders>
              <w:tl2br w:val="nil"/>
              <w:tr2bl w:val="nil"/>
            </w:tcBorders>
            <w:noWrap/>
            <w:vAlign w:val="center"/>
          </w:tcPr>
          <w:p w14:paraId="3A95ECF7">
            <w:pPr>
              <w:snapToGrid w:val="0"/>
              <w:spacing w:line="240" w:lineRule="auto"/>
              <w:ind w:firstLine="0" w:firstLineChars="0"/>
              <w:jc w:val="center"/>
              <w:rPr>
                <w:sz w:val="21"/>
                <w:szCs w:val="21"/>
                <w:highlight w:val="black"/>
              </w:rPr>
            </w:pPr>
            <w:r>
              <w:rPr>
                <w:sz w:val="21"/>
                <w:szCs w:val="21"/>
                <w:highlight w:val="black"/>
              </w:rPr>
              <w:t>41554660.5946</w:t>
            </w:r>
          </w:p>
        </w:tc>
      </w:tr>
      <w:tr w14:paraId="37281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25878D25">
            <w:pPr>
              <w:snapToGrid w:val="0"/>
              <w:spacing w:line="240" w:lineRule="auto"/>
              <w:ind w:firstLine="0" w:firstLineChars="0"/>
              <w:jc w:val="center"/>
              <w:rPr>
                <w:sz w:val="21"/>
                <w:szCs w:val="21"/>
                <w:highlight w:val="black"/>
              </w:rPr>
            </w:pPr>
            <w:r>
              <w:rPr>
                <w:sz w:val="21"/>
                <w:szCs w:val="21"/>
                <w:highlight w:val="black"/>
              </w:rPr>
              <w:t>6</w:t>
            </w:r>
          </w:p>
        </w:tc>
        <w:tc>
          <w:tcPr>
            <w:tcW w:w="2107" w:type="pct"/>
            <w:tcBorders>
              <w:tl2br w:val="nil"/>
              <w:tr2bl w:val="nil"/>
            </w:tcBorders>
            <w:noWrap/>
            <w:vAlign w:val="center"/>
          </w:tcPr>
          <w:p w14:paraId="5C3E8B19">
            <w:pPr>
              <w:snapToGrid w:val="0"/>
              <w:spacing w:line="240" w:lineRule="auto"/>
              <w:ind w:firstLine="0" w:firstLineChars="0"/>
              <w:jc w:val="center"/>
              <w:rPr>
                <w:sz w:val="21"/>
                <w:szCs w:val="21"/>
                <w:highlight w:val="black"/>
              </w:rPr>
            </w:pPr>
            <w:r>
              <w:rPr>
                <w:sz w:val="21"/>
                <w:szCs w:val="21"/>
                <w:highlight w:val="black"/>
              </w:rPr>
              <w:t>4592688.9149</w:t>
            </w:r>
          </w:p>
        </w:tc>
        <w:tc>
          <w:tcPr>
            <w:tcW w:w="1925" w:type="pct"/>
            <w:tcBorders>
              <w:tl2br w:val="nil"/>
              <w:tr2bl w:val="nil"/>
            </w:tcBorders>
            <w:noWrap/>
            <w:vAlign w:val="center"/>
          </w:tcPr>
          <w:p w14:paraId="666B22EF">
            <w:pPr>
              <w:snapToGrid w:val="0"/>
              <w:spacing w:line="240" w:lineRule="auto"/>
              <w:ind w:firstLine="0" w:firstLineChars="0"/>
              <w:jc w:val="center"/>
              <w:rPr>
                <w:sz w:val="21"/>
                <w:szCs w:val="21"/>
                <w:highlight w:val="black"/>
              </w:rPr>
            </w:pPr>
            <w:r>
              <w:rPr>
                <w:sz w:val="21"/>
                <w:szCs w:val="21"/>
                <w:highlight w:val="black"/>
              </w:rPr>
              <w:t>41554471.9265</w:t>
            </w:r>
          </w:p>
        </w:tc>
      </w:tr>
      <w:tr w14:paraId="1532D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pct"/>
            <w:tcBorders>
              <w:tl2br w:val="nil"/>
              <w:tr2bl w:val="nil"/>
            </w:tcBorders>
            <w:noWrap/>
            <w:vAlign w:val="center"/>
          </w:tcPr>
          <w:p w14:paraId="18165F1A">
            <w:pPr>
              <w:snapToGrid w:val="0"/>
              <w:spacing w:line="240" w:lineRule="auto"/>
              <w:ind w:firstLine="0" w:firstLineChars="0"/>
              <w:jc w:val="center"/>
              <w:rPr>
                <w:sz w:val="21"/>
                <w:szCs w:val="21"/>
                <w:highlight w:val="black"/>
              </w:rPr>
            </w:pPr>
            <w:r>
              <w:rPr>
                <w:sz w:val="21"/>
                <w:szCs w:val="21"/>
                <w:highlight w:val="black"/>
              </w:rPr>
              <w:t>7</w:t>
            </w:r>
          </w:p>
        </w:tc>
        <w:tc>
          <w:tcPr>
            <w:tcW w:w="2107" w:type="pct"/>
            <w:tcBorders>
              <w:tl2br w:val="nil"/>
              <w:tr2bl w:val="nil"/>
            </w:tcBorders>
            <w:noWrap/>
            <w:vAlign w:val="center"/>
          </w:tcPr>
          <w:p w14:paraId="2D4B2105">
            <w:pPr>
              <w:snapToGrid w:val="0"/>
              <w:spacing w:line="240" w:lineRule="auto"/>
              <w:ind w:firstLine="0" w:firstLineChars="0"/>
              <w:jc w:val="center"/>
              <w:rPr>
                <w:sz w:val="21"/>
                <w:szCs w:val="21"/>
                <w:highlight w:val="black"/>
              </w:rPr>
            </w:pPr>
            <w:r>
              <w:rPr>
                <w:sz w:val="21"/>
                <w:szCs w:val="21"/>
                <w:highlight w:val="black"/>
              </w:rPr>
              <w:t>4592686.4304</w:t>
            </w:r>
          </w:p>
        </w:tc>
        <w:tc>
          <w:tcPr>
            <w:tcW w:w="1925" w:type="pct"/>
            <w:tcBorders>
              <w:tl2br w:val="nil"/>
              <w:tr2bl w:val="nil"/>
            </w:tcBorders>
            <w:noWrap/>
            <w:vAlign w:val="center"/>
          </w:tcPr>
          <w:p w14:paraId="363E759D">
            <w:pPr>
              <w:snapToGrid w:val="0"/>
              <w:spacing w:line="240" w:lineRule="auto"/>
              <w:ind w:firstLine="0" w:firstLineChars="0"/>
              <w:jc w:val="center"/>
              <w:rPr>
                <w:sz w:val="21"/>
                <w:szCs w:val="21"/>
                <w:highlight w:val="black"/>
              </w:rPr>
            </w:pPr>
            <w:r>
              <w:rPr>
                <w:sz w:val="21"/>
                <w:szCs w:val="21"/>
                <w:highlight w:val="black"/>
              </w:rPr>
              <w:t>41554139.4124</w:t>
            </w:r>
          </w:p>
        </w:tc>
      </w:tr>
      <w:tr w14:paraId="291B4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l2br w:val="nil"/>
              <w:tr2bl w:val="nil"/>
            </w:tcBorders>
            <w:noWrap/>
            <w:vAlign w:val="center"/>
          </w:tcPr>
          <w:p w14:paraId="5A3E74FF">
            <w:pPr>
              <w:snapToGrid w:val="0"/>
              <w:spacing w:line="240" w:lineRule="auto"/>
              <w:ind w:firstLine="0" w:firstLineChars="0"/>
              <w:jc w:val="center"/>
              <w:rPr>
                <w:sz w:val="21"/>
                <w:szCs w:val="21"/>
                <w:highlight w:val="black"/>
              </w:rPr>
            </w:pPr>
            <w:r>
              <w:rPr>
                <w:sz w:val="21"/>
                <w:szCs w:val="21"/>
                <w:highlight w:val="black"/>
              </w:rPr>
              <w:t>开采标高360至-50m，矿区面积0.8729km</w:t>
            </w:r>
            <w:r>
              <w:rPr>
                <w:sz w:val="21"/>
                <w:szCs w:val="21"/>
                <w:highlight w:val="black"/>
                <w:vertAlign w:val="superscript"/>
              </w:rPr>
              <w:t>2</w:t>
            </w:r>
          </w:p>
        </w:tc>
      </w:tr>
    </w:tbl>
    <w:p w14:paraId="15F7E421">
      <w:pPr>
        <w:ind w:firstLine="583"/>
      </w:pPr>
      <w:r>
        <w:rPr>
          <w:rFonts w:hint="eastAsia"/>
        </w:rPr>
        <w:t>（3）矿区开采顺序</w:t>
      </w:r>
    </w:p>
    <w:p w14:paraId="61F78CCB">
      <w:pPr>
        <w:ind w:firstLine="583"/>
        <w:rPr>
          <w:highlight w:val="black"/>
        </w:rPr>
      </w:pPr>
      <w:r>
        <w:rPr>
          <w:rFonts w:hint="eastAsia"/>
          <w:highlight w:val="black"/>
        </w:rPr>
        <w:t>北采区主矿体为Fe4号矿体，其他矿体均位于主矿体附近，上下关系不明显，故根据矿体赋存条件以及采用的采矿方法，确定本矿山总体采用自上而下的开采方式。</w:t>
      </w:r>
    </w:p>
    <w:p w14:paraId="70E13A89">
      <w:pPr>
        <w:ind w:firstLine="583"/>
        <w:rPr>
          <w:highlight w:val="black"/>
        </w:rPr>
      </w:pPr>
      <w:r>
        <w:rPr>
          <w:rFonts w:hint="eastAsia"/>
          <w:highlight w:val="black"/>
        </w:rPr>
        <w:t>根据矿体开采技术条件，为实现安全开采，垂直方向采用由上而下的下行式开采顺序。走向方向为中段内采用由回风方向向进风方向的后退式开采。矿房内采用由下而上的上行式开采顺序。</w:t>
      </w:r>
    </w:p>
    <w:p w14:paraId="0B8F7E1A">
      <w:pPr>
        <w:pStyle w:val="4"/>
        <w:ind w:firstLine="0" w:firstLineChars="0"/>
      </w:pPr>
      <w:r>
        <w:t>2.4.5开拓运输</w:t>
      </w:r>
    </w:p>
    <w:p w14:paraId="1AE56751">
      <w:pPr>
        <w:ind w:firstLine="583"/>
      </w:pPr>
      <w:r>
        <w:rPr>
          <w:rFonts w:hint="eastAsia"/>
        </w:rPr>
        <w:t>（1）运输方式</w:t>
      </w:r>
    </w:p>
    <w:p w14:paraId="6DB946EB">
      <w:pPr>
        <w:ind w:firstLine="583"/>
        <w:rPr>
          <w:highlight w:val="black"/>
        </w:rPr>
      </w:pPr>
      <w:r>
        <w:rPr>
          <w:rFonts w:hint="eastAsia"/>
          <w:highlight w:val="black"/>
        </w:rPr>
        <w:t>《可研报告》设计</w:t>
      </w:r>
      <w:r>
        <w:rPr>
          <w:highlight w:val="black"/>
        </w:rPr>
        <w:t>采用斜坡道开拓系统，坑内运输采用无轨运输方式。采场及掘进巷道崩落下的矿岩经</w:t>
      </w:r>
      <w:r>
        <w:rPr>
          <w:rFonts w:hint="eastAsia"/>
          <w:highlight w:val="black"/>
        </w:rPr>
        <w:t>扒渣机</w:t>
      </w:r>
      <w:r>
        <w:rPr>
          <w:highlight w:val="black"/>
        </w:rPr>
        <w:t>装入自卸汽车，经自卸汽车，由中段运输巷道运至斜坡道，由斜坡道运至地表。</w:t>
      </w:r>
    </w:p>
    <w:p w14:paraId="77E2A3EC">
      <w:pPr>
        <w:ind w:firstLine="583"/>
      </w:pPr>
      <w:r>
        <w:rPr>
          <w:rFonts w:hint="eastAsia"/>
        </w:rPr>
        <w:t>（2）矿床开拓及安全出口</w:t>
      </w:r>
    </w:p>
    <w:p w14:paraId="4CB78CFE">
      <w:pPr>
        <w:ind w:firstLine="583"/>
        <w:rPr>
          <w:highlight w:val="black"/>
        </w:rPr>
      </w:pPr>
      <w:r>
        <w:rPr>
          <w:rFonts w:hint="eastAsia"/>
          <w:highlight w:val="black"/>
        </w:rPr>
        <w:t>根据矿体赋存条件和矿山生产现状，《可研报告》采用斜坡道开拓方案，抽出式机械通风系统。</w:t>
      </w:r>
    </w:p>
    <w:p w14:paraId="38A8DAA5">
      <w:pPr>
        <w:ind w:firstLine="583"/>
        <w:rPr>
          <w:highlight w:val="black"/>
        </w:rPr>
      </w:pPr>
      <w:r>
        <w:rPr>
          <w:rFonts w:hint="eastAsia"/>
          <w:highlight w:val="black"/>
        </w:rPr>
        <w:t>为了减少斜坡道长度，《可研报告》在矿区东侧较低位置新建斜坡道，斜坡道硐口坐标X=4593483，Y=41555228，标高164m，斜坡道最低标高-40m，垂深204m，综合纵向平均坡度12%，斜坡道总长度1700m。斜坡道主要用于担负系统内所有中段矿岩的运输任务，按照选取的运输设备计算斜坡道断面尺寸为宽×高=</w:t>
      </w:r>
      <w:r>
        <w:rPr>
          <w:highlight w:val="black"/>
        </w:rPr>
        <w:t>5.0</w:t>
      </w:r>
      <w:r>
        <w:rPr>
          <w:rFonts w:hint="eastAsia"/>
          <w:highlight w:val="black"/>
        </w:rPr>
        <w:t>×4.</w:t>
      </w:r>
      <w:r>
        <w:rPr>
          <w:highlight w:val="black"/>
        </w:rPr>
        <w:t>5</w:t>
      </w:r>
      <w:r>
        <w:rPr>
          <w:rFonts w:hint="eastAsia"/>
          <w:highlight w:val="black"/>
        </w:rPr>
        <w:t>m，断面面积</w:t>
      </w:r>
      <w:r>
        <w:rPr>
          <w:highlight w:val="black"/>
        </w:rPr>
        <w:t>20.7</w:t>
      </w:r>
      <w:r>
        <w:rPr>
          <w:rFonts w:hint="eastAsia"/>
          <w:highlight w:val="black"/>
        </w:rPr>
        <w:t>m</w:t>
      </w:r>
      <w:r>
        <w:rPr>
          <w:rFonts w:hint="eastAsia"/>
          <w:highlight w:val="black"/>
          <w:vertAlign w:val="superscript"/>
        </w:rPr>
        <w:t>2</w:t>
      </w:r>
      <w:r>
        <w:rPr>
          <w:rFonts w:hint="eastAsia"/>
          <w:highlight w:val="black"/>
        </w:rPr>
        <w:t>，斜坡道是人员进出的总出入口，作为入风通道亦是矿井主要安全出口。</w:t>
      </w:r>
    </w:p>
    <w:p w14:paraId="40D8B4C6">
      <w:pPr>
        <w:ind w:firstLine="583"/>
        <w:rPr>
          <w:highlight w:val="black"/>
        </w:rPr>
      </w:pPr>
      <w:r>
        <w:rPr>
          <w:rFonts w:hint="eastAsia"/>
          <w:highlight w:val="black"/>
        </w:rPr>
        <w:t>斜坡道长度每隔400m，设置坡度不大于3％、长度20m并能满足错车要求的缓坡段，因为缓坡段兼顾错车道，故其断面尺寸按照作图法为宽×高=6.7×4.0m，断面面积23.64m</w:t>
      </w:r>
      <w:r>
        <w:rPr>
          <w:rFonts w:hint="eastAsia"/>
          <w:highlight w:val="black"/>
          <w:vertAlign w:val="superscript"/>
        </w:rPr>
        <w:t>2</w:t>
      </w:r>
      <w:r>
        <w:rPr>
          <w:rFonts w:hint="eastAsia"/>
          <w:highlight w:val="black"/>
        </w:rPr>
        <w:t>；且斜坡道采用泥结碎石路面，以增加耐用性、平稳性，减少车辆撒矿，并增加轮胎使用寿命，符合规程要求。</w:t>
      </w:r>
    </w:p>
    <w:p w14:paraId="549BD8AF">
      <w:pPr>
        <w:ind w:firstLine="583"/>
        <w:rPr>
          <w:highlight w:val="black"/>
        </w:rPr>
      </w:pPr>
      <w:r>
        <w:rPr>
          <w:rFonts w:hint="eastAsia"/>
          <w:highlight w:val="black"/>
        </w:rPr>
        <w:t>《可研报告》设计在矿体西南侧翼设置回风井，回风井井口坐标</w:t>
      </w:r>
      <w:bookmarkStart w:id="163" w:name="_Hlk185713169"/>
      <w:r>
        <w:rPr>
          <w:rFonts w:hint="eastAsia"/>
          <w:highlight w:val="black"/>
        </w:rPr>
        <w:t>X=4592777，Y=41554534，标高186m，井底标高-10m，垂深196m</w:t>
      </w:r>
      <w:bookmarkEnd w:id="163"/>
      <w:r>
        <w:rPr>
          <w:rFonts w:hint="eastAsia"/>
          <w:highlight w:val="black"/>
        </w:rPr>
        <w:t>，断面尺寸为圆形，井径3m，断面面积7.1m</w:t>
      </w:r>
      <w:r>
        <w:rPr>
          <w:rFonts w:hint="eastAsia"/>
          <w:highlight w:val="black"/>
          <w:vertAlign w:val="superscript"/>
        </w:rPr>
        <w:t>2</w:t>
      </w:r>
      <w:r>
        <w:rPr>
          <w:rFonts w:hint="eastAsia"/>
          <w:highlight w:val="black"/>
        </w:rPr>
        <w:t>。回风井主要是作为回风通道，另外井筒内设置梯子间作为应急安全出口。</w:t>
      </w:r>
    </w:p>
    <w:p w14:paraId="79D499B9">
      <w:pPr>
        <w:ind w:firstLine="583"/>
        <w:rPr>
          <w:highlight w:val="black"/>
        </w:rPr>
      </w:pPr>
      <w:r>
        <w:rPr>
          <w:rFonts w:hint="eastAsia"/>
          <w:highlight w:val="black"/>
        </w:rPr>
        <w:t>因为本矿山斜坡道较长，若管缆沿斜坡道敷设将增加管缆长度，同时增加输送过程中的损耗，故设计在矿区东侧新建管缆井，位于地表岩石移动监测范围外20m。管缆井井口坐标X=4593330，Y=41555228，标高160m，井底标高-40m，井深200m，断面尺寸为圆形，井径2.5m，断面面积4.9m</w:t>
      </w:r>
      <w:r>
        <w:rPr>
          <w:rFonts w:hint="eastAsia"/>
          <w:highlight w:val="black"/>
          <w:vertAlign w:val="superscript"/>
        </w:rPr>
        <w:t>2</w:t>
      </w:r>
      <w:r>
        <w:rPr>
          <w:rFonts w:hint="eastAsia"/>
          <w:highlight w:val="black"/>
        </w:rPr>
        <w:t>。管缆井主要作为矿山管路以及缆线的入井通道，同时作为入风井，另外为了方便检修，井筒内设置梯子间并兼做应急安全出口。</w:t>
      </w:r>
    </w:p>
    <w:p w14:paraId="6C1A3A7A">
      <w:pPr>
        <w:ind w:firstLine="583"/>
        <w:rPr>
          <w:highlight w:val="black"/>
        </w:rPr>
      </w:pPr>
      <w:r>
        <w:rPr>
          <w:rFonts w:hint="eastAsia"/>
          <w:highlight w:val="black"/>
        </w:rPr>
        <w:t>《可研报告》中利用的所有地表井口标高均位于当地历史最高洪水位1m以上。</w:t>
      </w:r>
    </w:p>
    <w:p w14:paraId="4542464B">
      <w:pPr>
        <w:ind w:firstLine="583"/>
      </w:pPr>
      <w:r>
        <w:rPr>
          <w:rFonts w:hint="eastAsia"/>
        </w:rPr>
        <w:t>（3）中段划分</w:t>
      </w:r>
    </w:p>
    <w:p w14:paraId="1A8F7B59">
      <w:pPr>
        <w:ind w:firstLine="583"/>
        <w:rPr>
          <w:highlight w:val="black"/>
        </w:rPr>
      </w:pPr>
      <w:r>
        <w:rPr>
          <w:rFonts w:hint="eastAsia"/>
          <w:highlight w:val="black"/>
        </w:rPr>
        <w:t>因为矿体较缓，个别区域近乎水平，故为了适应采矿方法，设计中段高度为20m，由此井下共设6个中段，分别为50m回风中段、30m运输中段、10m运输中段、-10m运输中段、-30m运输中段、-40m运输中段，阶段运输巷道采用下盘脉外沿脉方向的布置形式。各阶段运输巷道井巷断面为三心拱形，净断面尺寸</w:t>
      </w:r>
      <w:r>
        <w:rPr>
          <w:highlight w:val="black"/>
        </w:rPr>
        <w:t>5.0</w:t>
      </w:r>
      <w:r>
        <w:rPr>
          <w:rFonts w:hint="eastAsia"/>
          <w:highlight w:val="black"/>
        </w:rPr>
        <w:t>×4.</w:t>
      </w:r>
      <w:r>
        <w:rPr>
          <w:highlight w:val="black"/>
        </w:rPr>
        <w:t>5</w:t>
      </w:r>
      <w:r>
        <w:rPr>
          <w:rFonts w:hint="eastAsia"/>
          <w:highlight w:val="black"/>
        </w:rPr>
        <w:t>m，设计不支护，局部破碎带或遇到岩石不稳固的情况下，实行喷锚支护。井下水泵房设在-40m水平斜坡道井底车场处</w:t>
      </w:r>
      <w:r>
        <w:rPr>
          <w:highlight w:val="black"/>
        </w:rPr>
        <w:t>。</w:t>
      </w:r>
    </w:p>
    <w:p w14:paraId="0D7BBF7B">
      <w:pPr>
        <w:ind w:firstLine="583"/>
      </w:pPr>
      <w:r>
        <w:rPr>
          <w:rFonts w:hint="eastAsia"/>
        </w:rPr>
        <w:t>（4）岩体移动范围</w:t>
      </w:r>
    </w:p>
    <w:p w14:paraId="5F6D835C">
      <w:pPr>
        <w:ind w:firstLine="583"/>
        <w:rPr>
          <w:highlight w:val="black"/>
        </w:rPr>
      </w:pPr>
      <w:r>
        <w:rPr>
          <w:rFonts w:hint="eastAsia"/>
          <w:highlight w:val="black"/>
        </w:rPr>
        <w:t>东北大学资源与土木工程学院于2024年11月编制的《本溪市昱蕴铁选有限公司大柳峪铁矿北采区充填实验与充填采场稳定性分析及结构参数优化研究项目研究报告》对地表沉降进行了研究，研究结论为：当采用全尾砂胶结充填使充填率达到90%时，地表农田最大倾斜i=-0.06mm/m，最大曲率k=0.002×10</w:t>
      </w:r>
      <w:r>
        <w:rPr>
          <w:rFonts w:hint="eastAsia"/>
          <w:highlight w:val="black"/>
          <w:vertAlign w:val="superscript"/>
        </w:rPr>
        <w:t>-3</w:t>
      </w:r>
      <w:r>
        <w:rPr>
          <w:rFonts w:hint="eastAsia"/>
          <w:highlight w:val="black"/>
        </w:rPr>
        <w:t>/m，最大水平变形ε=-0.034mm/m；S304省道最大倾斜i=-0.009mm/m，最大曲率k=0.0005×10</w:t>
      </w:r>
      <w:r>
        <w:rPr>
          <w:rFonts w:hint="eastAsia"/>
          <w:highlight w:val="black"/>
          <w:vertAlign w:val="superscript"/>
        </w:rPr>
        <w:t>-3</w:t>
      </w:r>
      <w:r>
        <w:rPr>
          <w:rFonts w:hint="eastAsia"/>
          <w:highlight w:val="black"/>
        </w:rPr>
        <w:t>/m，最大水平变形ε=0.007mm/m；地表最大位移处最大倾斜i=-0.08mm/m，最大曲率k=0.0025×10</w:t>
      </w:r>
      <w:r>
        <w:rPr>
          <w:rFonts w:hint="eastAsia"/>
          <w:highlight w:val="black"/>
          <w:vertAlign w:val="superscript"/>
        </w:rPr>
        <w:t>-3</w:t>
      </w:r>
      <w:r>
        <w:rPr>
          <w:rFonts w:hint="eastAsia"/>
          <w:highlight w:val="black"/>
        </w:rPr>
        <w:t>/m，最大水平变形ε=0.026mm/m；地表最大位移处最大倾斜i=-0.05mm/m，最大曲率k=0.002×10</w:t>
      </w:r>
      <w:r>
        <w:rPr>
          <w:rFonts w:hint="eastAsia"/>
          <w:highlight w:val="black"/>
          <w:vertAlign w:val="superscript"/>
        </w:rPr>
        <w:t>-3</w:t>
      </w:r>
      <w:r>
        <w:rPr>
          <w:rFonts w:hint="eastAsia"/>
          <w:highlight w:val="black"/>
        </w:rPr>
        <w:t>/m，最大水平变形ε=-0.05mm/m。符合《建筑物、水体、铁路及主要井巷煤柱留设与压煤开采规范》（2017年5月）等相关规范要求，整体地表移动值未超过其安全规范极限值。</w:t>
      </w:r>
    </w:p>
    <w:p w14:paraId="07554AAD">
      <w:pPr>
        <w:ind w:firstLine="583"/>
        <w:rPr>
          <w:highlight w:val="black"/>
        </w:rPr>
      </w:pPr>
      <w:bookmarkStart w:id="164" w:name="_Hlk187700293"/>
      <w:r>
        <w:rPr>
          <w:rFonts w:hint="eastAsia"/>
          <w:highlight w:val="black"/>
        </w:rPr>
        <w:t>但是为了进一步保证安全，在地表可能存在移动处圈定岩石移动监测范围</w:t>
      </w:r>
      <w:bookmarkEnd w:id="164"/>
      <w:r>
        <w:rPr>
          <w:rFonts w:hint="eastAsia"/>
          <w:highlight w:val="black"/>
        </w:rPr>
        <w:t>。设计通过综合分析以及有关的类似矿山实际研究与开采经验，矿床开采岩石移动监测范围的圈定采用类比法及经验法，即根据本矿山岩层性质、矿体埋藏深度、矿体厚度和设计采用的采矿方法等因素，参照类似矿山岩石移动实测资料，并结合本矿山历史开采时岩石移动经验，来确定矿山的岩石移动监测范围。</w:t>
      </w:r>
    </w:p>
    <w:p w14:paraId="6E1E71B0">
      <w:pPr>
        <w:adjustRightInd w:val="0"/>
        <w:snapToGrid w:val="0"/>
        <w:spacing w:line="240" w:lineRule="auto"/>
        <w:ind w:firstLine="0" w:firstLineChars="0"/>
        <w:jc w:val="center"/>
        <w:rPr>
          <w:b/>
          <w:sz w:val="21"/>
          <w:szCs w:val="21"/>
        </w:rPr>
      </w:pPr>
      <w:r>
        <w:rPr>
          <w:b/>
          <w:sz w:val="21"/>
          <w:szCs w:val="21"/>
        </w:rPr>
        <w:t>表</w:t>
      </w:r>
      <w:r>
        <w:rPr>
          <w:rFonts w:hint="eastAsia"/>
          <w:b/>
          <w:sz w:val="21"/>
          <w:szCs w:val="21"/>
        </w:rPr>
        <w:t>2-13</w:t>
      </w:r>
      <w:r>
        <w:rPr>
          <w:b/>
          <w:sz w:val="21"/>
          <w:szCs w:val="21"/>
        </w:rPr>
        <w:t>岩石质量等级表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2154"/>
        <w:gridCol w:w="2485"/>
        <w:gridCol w:w="2800"/>
      </w:tblGrid>
      <w:tr w14:paraId="160B8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tl2br w:val="nil"/>
              <w:tr2bl w:val="nil"/>
            </w:tcBorders>
            <w:vAlign w:val="center"/>
          </w:tcPr>
          <w:p w14:paraId="20FC5889">
            <w:pPr>
              <w:adjustRightInd w:val="0"/>
              <w:snapToGrid w:val="0"/>
              <w:spacing w:line="240" w:lineRule="atLeast"/>
              <w:ind w:firstLine="0" w:firstLineChars="0"/>
              <w:jc w:val="center"/>
              <w:rPr>
                <w:sz w:val="21"/>
                <w:szCs w:val="21"/>
                <w:highlight w:val="black"/>
              </w:rPr>
            </w:pPr>
            <w:r>
              <w:rPr>
                <w:sz w:val="21"/>
                <w:szCs w:val="21"/>
                <w:highlight w:val="black"/>
              </w:rPr>
              <w:t>等级</w:t>
            </w:r>
          </w:p>
        </w:tc>
        <w:tc>
          <w:tcPr>
            <w:tcW w:w="1243" w:type="pct"/>
            <w:tcBorders>
              <w:tl2br w:val="nil"/>
              <w:tr2bl w:val="nil"/>
            </w:tcBorders>
            <w:vAlign w:val="center"/>
          </w:tcPr>
          <w:p w14:paraId="0BDD5351">
            <w:pPr>
              <w:adjustRightInd w:val="0"/>
              <w:snapToGrid w:val="0"/>
              <w:spacing w:line="240" w:lineRule="atLeast"/>
              <w:ind w:firstLine="0" w:firstLineChars="0"/>
              <w:jc w:val="center"/>
              <w:rPr>
                <w:sz w:val="21"/>
                <w:szCs w:val="21"/>
                <w:highlight w:val="black"/>
              </w:rPr>
            </w:pPr>
            <w:r>
              <w:rPr>
                <w:sz w:val="21"/>
                <w:szCs w:val="21"/>
                <w:highlight w:val="black"/>
              </w:rPr>
              <w:t>RQD(%)</w:t>
            </w:r>
          </w:p>
        </w:tc>
        <w:tc>
          <w:tcPr>
            <w:tcW w:w="1434" w:type="pct"/>
            <w:tcBorders>
              <w:tl2br w:val="nil"/>
              <w:tr2bl w:val="nil"/>
            </w:tcBorders>
            <w:vAlign w:val="center"/>
          </w:tcPr>
          <w:p w14:paraId="44D21235">
            <w:pPr>
              <w:adjustRightInd w:val="0"/>
              <w:snapToGrid w:val="0"/>
              <w:spacing w:line="240" w:lineRule="atLeast"/>
              <w:ind w:firstLine="0" w:firstLineChars="0"/>
              <w:jc w:val="center"/>
              <w:rPr>
                <w:sz w:val="21"/>
                <w:szCs w:val="21"/>
                <w:highlight w:val="black"/>
              </w:rPr>
            </w:pPr>
            <w:r>
              <w:rPr>
                <w:sz w:val="21"/>
                <w:szCs w:val="21"/>
                <w:highlight w:val="black"/>
              </w:rPr>
              <w:t>岩石质量描述</w:t>
            </w:r>
          </w:p>
        </w:tc>
        <w:tc>
          <w:tcPr>
            <w:tcW w:w="1616" w:type="pct"/>
            <w:tcBorders>
              <w:tl2br w:val="nil"/>
              <w:tr2bl w:val="nil"/>
            </w:tcBorders>
            <w:vAlign w:val="center"/>
          </w:tcPr>
          <w:p w14:paraId="4A11558B">
            <w:pPr>
              <w:adjustRightInd w:val="0"/>
              <w:snapToGrid w:val="0"/>
              <w:spacing w:line="240" w:lineRule="atLeast"/>
              <w:ind w:firstLine="0" w:firstLineChars="0"/>
              <w:jc w:val="center"/>
              <w:rPr>
                <w:sz w:val="21"/>
                <w:szCs w:val="21"/>
                <w:highlight w:val="black"/>
              </w:rPr>
            </w:pPr>
            <w:r>
              <w:rPr>
                <w:sz w:val="21"/>
                <w:szCs w:val="21"/>
                <w:highlight w:val="black"/>
              </w:rPr>
              <w:t>岩体完整性评价</w:t>
            </w:r>
          </w:p>
        </w:tc>
      </w:tr>
      <w:tr w14:paraId="349C5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tl2br w:val="nil"/>
              <w:tr2bl w:val="nil"/>
            </w:tcBorders>
            <w:vAlign w:val="center"/>
          </w:tcPr>
          <w:p w14:paraId="53D19010">
            <w:pPr>
              <w:adjustRightInd w:val="0"/>
              <w:snapToGrid w:val="0"/>
              <w:spacing w:line="240" w:lineRule="atLeast"/>
              <w:ind w:firstLine="0" w:firstLineChars="0"/>
              <w:jc w:val="center"/>
              <w:rPr>
                <w:sz w:val="21"/>
                <w:szCs w:val="21"/>
                <w:highlight w:val="black"/>
              </w:rPr>
            </w:pPr>
            <w:r>
              <w:rPr>
                <w:sz w:val="21"/>
                <w:szCs w:val="21"/>
                <w:highlight w:val="black"/>
              </w:rPr>
              <w:t>Ⅰ</w:t>
            </w:r>
          </w:p>
        </w:tc>
        <w:tc>
          <w:tcPr>
            <w:tcW w:w="1243" w:type="pct"/>
            <w:tcBorders>
              <w:tl2br w:val="nil"/>
              <w:tr2bl w:val="nil"/>
            </w:tcBorders>
            <w:vAlign w:val="center"/>
          </w:tcPr>
          <w:p w14:paraId="2990864A">
            <w:pPr>
              <w:adjustRightInd w:val="0"/>
              <w:snapToGrid w:val="0"/>
              <w:spacing w:line="240" w:lineRule="atLeast"/>
              <w:ind w:firstLine="0" w:firstLineChars="0"/>
              <w:jc w:val="center"/>
              <w:rPr>
                <w:sz w:val="21"/>
                <w:szCs w:val="21"/>
                <w:highlight w:val="black"/>
              </w:rPr>
            </w:pPr>
            <w:r>
              <w:rPr>
                <w:sz w:val="21"/>
                <w:szCs w:val="21"/>
                <w:highlight w:val="black"/>
              </w:rPr>
              <w:t>90～100</w:t>
            </w:r>
          </w:p>
        </w:tc>
        <w:tc>
          <w:tcPr>
            <w:tcW w:w="1434" w:type="pct"/>
            <w:tcBorders>
              <w:tl2br w:val="nil"/>
              <w:tr2bl w:val="nil"/>
            </w:tcBorders>
            <w:vAlign w:val="center"/>
          </w:tcPr>
          <w:p w14:paraId="287C7B82">
            <w:pPr>
              <w:adjustRightInd w:val="0"/>
              <w:snapToGrid w:val="0"/>
              <w:spacing w:line="240" w:lineRule="atLeast"/>
              <w:ind w:firstLine="0" w:firstLineChars="0"/>
              <w:jc w:val="center"/>
              <w:rPr>
                <w:sz w:val="21"/>
                <w:szCs w:val="21"/>
                <w:highlight w:val="black"/>
              </w:rPr>
            </w:pPr>
            <w:r>
              <w:rPr>
                <w:sz w:val="21"/>
                <w:szCs w:val="21"/>
                <w:highlight w:val="black"/>
              </w:rPr>
              <w:t>极好的</w:t>
            </w:r>
          </w:p>
        </w:tc>
        <w:tc>
          <w:tcPr>
            <w:tcW w:w="1616" w:type="pct"/>
            <w:tcBorders>
              <w:tl2br w:val="nil"/>
              <w:tr2bl w:val="nil"/>
            </w:tcBorders>
            <w:vAlign w:val="center"/>
          </w:tcPr>
          <w:p w14:paraId="4A9AEDA9">
            <w:pPr>
              <w:adjustRightInd w:val="0"/>
              <w:snapToGrid w:val="0"/>
              <w:spacing w:line="240" w:lineRule="atLeast"/>
              <w:ind w:firstLine="0" w:firstLineChars="0"/>
              <w:jc w:val="center"/>
              <w:rPr>
                <w:sz w:val="21"/>
                <w:szCs w:val="21"/>
                <w:highlight w:val="black"/>
              </w:rPr>
            </w:pPr>
            <w:r>
              <w:rPr>
                <w:sz w:val="21"/>
                <w:szCs w:val="21"/>
                <w:highlight w:val="black"/>
              </w:rPr>
              <w:t>岩体完整</w:t>
            </w:r>
          </w:p>
        </w:tc>
      </w:tr>
      <w:tr w14:paraId="3E233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tl2br w:val="nil"/>
              <w:tr2bl w:val="nil"/>
            </w:tcBorders>
            <w:vAlign w:val="center"/>
          </w:tcPr>
          <w:p w14:paraId="6CFC9DE9">
            <w:pPr>
              <w:adjustRightInd w:val="0"/>
              <w:snapToGrid w:val="0"/>
              <w:spacing w:line="240" w:lineRule="atLeast"/>
              <w:ind w:firstLine="0" w:firstLineChars="0"/>
              <w:jc w:val="center"/>
              <w:rPr>
                <w:sz w:val="21"/>
                <w:szCs w:val="21"/>
                <w:highlight w:val="black"/>
              </w:rPr>
            </w:pPr>
            <w:r>
              <w:rPr>
                <w:sz w:val="21"/>
                <w:szCs w:val="21"/>
                <w:highlight w:val="black"/>
              </w:rPr>
              <w:t>Ⅱ</w:t>
            </w:r>
          </w:p>
        </w:tc>
        <w:tc>
          <w:tcPr>
            <w:tcW w:w="1243" w:type="pct"/>
            <w:tcBorders>
              <w:tl2br w:val="nil"/>
              <w:tr2bl w:val="nil"/>
            </w:tcBorders>
            <w:vAlign w:val="center"/>
          </w:tcPr>
          <w:p w14:paraId="3242EB4E">
            <w:pPr>
              <w:adjustRightInd w:val="0"/>
              <w:snapToGrid w:val="0"/>
              <w:spacing w:line="240" w:lineRule="atLeast"/>
              <w:ind w:firstLine="0" w:firstLineChars="0"/>
              <w:jc w:val="center"/>
              <w:rPr>
                <w:sz w:val="21"/>
                <w:szCs w:val="21"/>
                <w:highlight w:val="black"/>
              </w:rPr>
            </w:pPr>
            <w:r>
              <w:rPr>
                <w:sz w:val="21"/>
                <w:szCs w:val="21"/>
                <w:highlight w:val="black"/>
              </w:rPr>
              <w:t>75～90</w:t>
            </w:r>
          </w:p>
        </w:tc>
        <w:tc>
          <w:tcPr>
            <w:tcW w:w="1434" w:type="pct"/>
            <w:tcBorders>
              <w:tl2br w:val="nil"/>
              <w:tr2bl w:val="nil"/>
            </w:tcBorders>
            <w:vAlign w:val="center"/>
          </w:tcPr>
          <w:p w14:paraId="4C49EC52">
            <w:pPr>
              <w:adjustRightInd w:val="0"/>
              <w:snapToGrid w:val="0"/>
              <w:spacing w:line="240" w:lineRule="atLeast"/>
              <w:ind w:firstLine="0" w:firstLineChars="0"/>
              <w:jc w:val="center"/>
              <w:rPr>
                <w:sz w:val="21"/>
                <w:szCs w:val="21"/>
                <w:highlight w:val="black"/>
              </w:rPr>
            </w:pPr>
            <w:r>
              <w:rPr>
                <w:sz w:val="21"/>
                <w:szCs w:val="21"/>
                <w:highlight w:val="black"/>
              </w:rPr>
              <w:t>好的</w:t>
            </w:r>
          </w:p>
        </w:tc>
        <w:tc>
          <w:tcPr>
            <w:tcW w:w="1616" w:type="pct"/>
            <w:tcBorders>
              <w:tl2br w:val="nil"/>
              <w:tr2bl w:val="nil"/>
            </w:tcBorders>
            <w:vAlign w:val="center"/>
          </w:tcPr>
          <w:p w14:paraId="4AFBEF96">
            <w:pPr>
              <w:adjustRightInd w:val="0"/>
              <w:snapToGrid w:val="0"/>
              <w:spacing w:line="240" w:lineRule="atLeast"/>
              <w:ind w:firstLine="0" w:firstLineChars="0"/>
              <w:jc w:val="center"/>
              <w:rPr>
                <w:sz w:val="21"/>
                <w:szCs w:val="21"/>
                <w:highlight w:val="black"/>
              </w:rPr>
            </w:pPr>
            <w:r>
              <w:rPr>
                <w:sz w:val="21"/>
                <w:szCs w:val="21"/>
                <w:highlight w:val="black"/>
              </w:rPr>
              <w:t>岩体较完整</w:t>
            </w:r>
          </w:p>
        </w:tc>
      </w:tr>
      <w:tr w14:paraId="07078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tl2br w:val="nil"/>
              <w:tr2bl w:val="nil"/>
            </w:tcBorders>
            <w:vAlign w:val="center"/>
          </w:tcPr>
          <w:p w14:paraId="686619FE">
            <w:pPr>
              <w:adjustRightInd w:val="0"/>
              <w:snapToGrid w:val="0"/>
              <w:spacing w:line="240" w:lineRule="atLeast"/>
              <w:ind w:firstLine="0" w:firstLineChars="0"/>
              <w:jc w:val="center"/>
              <w:rPr>
                <w:sz w:val="21"/>
                <w:szCs w:val="21"/>
                <w:highlight w:val="black"/>
              </w:rPr>
            </w:pPr>
            <w:r>
              <w:rPr>
                <w:sz w:val="21"/>
                <w:szCs w:val="21"/>
                <w:highlight w:val="black"/>
              </w:rPr>
              <w:t>Ⅲ</w:t>
            </w:r>
          </w:p>
        </w:tc>
        <w:tc>
          <w:tcPr>
            <w:tcW w:w="1243" w:type="pct"/>
            <w:tcBorders>
              <w:tl2br w:val="nil"/>
              <w:tr2bl w:val="nil"/>
            </w:tcBorders>
            <w:vAlign w:val="center"/>
          </w:tcPr>
          <w:p w14:paraId="30001CEF">
            <w:pPr>
              <w:adjustRightInd w:val="0"/>
              <w:snapToGrid w:val="0"/>
              <w:spacing w:line="240" w:lineRule="atLeast"/>
              <w:ind w:firstLine="0" w:firstLineChars="0"/>
              <w:jc w:val="center"/>
              <w:rPr>
                <w:sz w:val="21"/>
                <w:szCs w:val="21"/>
                <w:highlight w:val="black"/>
              </w:rPr>
            </w:pPr>
            <w:r>
              <w:rPr>
                <w:sz w:val="21"/>
                <w:szCs w:val="21"/>
                <w:highlight w:val="black"/>
              </w:rPr>
              <w:t>50～75</w:t>
            </w:r>
          </w:p>
        </w:tc>
        <w:tc>
          <w:tcPr>
            <w:tcW w:w="1434" w:type="pct"/>
            <w:tcBorders>
              <w:tl2br w:val="nil"/>
              <w:tr2bl w:val="nil"/>
            </w:tcBorders>
            <w:vAlign w:val="center"/>
          </w:tcPr>
          <w:p w14:paraId="0F62D9BD">
            <w:pPr>
              <w:adjustRightInd w:val="0"/>
              <w:snapToGrid w:val="0"/>
              <w:spacing w:line="240" w:lineRule="atLeast"/>
              <w:ind w:firstLine="0" w:firstLineChars="0"/>
              <w:jc w:val="center"/>
              <w:rPr>
                <w:sz w:val="21"/>
                <w:szCs w:val="21"/>
                <w:highlight w:val="black"/>
              </w:rPr>
            </w:pPr>
            <w:r>
              <w:rPr>
                <w:sz w:val="21"/>
                <w:szCs w:val="21"/>
                <w:highlight w:val="black"/>
              </w:rPr>
              <w:t>中等的</w:t>
            </w:r>
          </w:p>
        </w:tc>
        <w:tc>
          <w:tcPr>
            <w:tcW w:w="1616" w:type="pct"/>
            <w:tcBorders>
              <w:tl2br w:val="nil"/>
              <w:tr2bl w:val="nil"/>
            </w:tcBorders>
            <w:vAlign w:val="center"/>
          </w:tcPr>
          <w:p w14:paraId="5E47E420">
            <w:pPr>
              <w:adjustRightInd w:val="0"/>
              <w:snapToGrid w:val="0"/>
              <w:spacing w:line="240" w:lineRule="atLeast"/>
              <w:ind w:firstLine="0" w:firstLineChars="0"/>
              <w:jc w:val="center"/>
              <w:rPr>
                <w:sz w:val="21"/>
                <w:szCs w:val="21"/>
                <w:highlight w:val="black"/>
              </w:rPr>
            </w:pPr>
            <w:r>
              <w:rPr>
                <w:sz w:val="21"/>
                <w:szCs w:val="21"/>
                <w:highlight w:val="black"/>
              </w:rPr>
              <w:t>岩体中等完整</w:t>
            </w:r>
          </w:p>
        </w:tc>
      </w:tr>
      <w:tr w14:paraId="31CCF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tl2br w:val="nil"/>
              <w:tr2bl w:val="nil"/>
            </w:tcBorders>
            <w:vAlign w:val="center"/>
          </w:tcPr>
          <w:p w14:paraId="4827153C">
            <w:pPr>
              <w:adjustRightInd w:val="0"/>
              <w:snapToGrid w:val="0"/>
              <w:spacing w:line="240" w:lineRule="atLeast"/>
              <w:ind w:firstLine="0" w:firstLineChars="0"/>
              <w:jc w:val="center"/>
              <w:rPr>
                <w:sz w:val="21"/>
                <w:szCs w:val="21"/>
                <w:highlight w:val="black"/>
              </w:rPr>
            </w:pPr>
            <w:r>
              <w:rPr>
                <w:sz w:val="21"/>
                <w:szCs w:val="21"/>
                <w:highlight w:val="black"/>
              </w:rPr>
              <w:t>Ⅳ</w:t>
            </w:r>
          </w:p>
        </w:tc>
        <w:tc>
          <w:tcPr>
            <w:tcW w:w="1243" w:type="pct"/>
            <w:tcBorders>
              <w:tl2br w:val="nil"/>
              <w:tr2bl w:val="nil"/>
            </w:tcBorders>
            <w:vAlign w:val="center"/>
          </w:tcPr>
          <w:p w14:paraId="1E66739E">
            <w:pPr>
              <w:adjustRightInd w:val="0"/>
              <w:snapToGrid w:val="0"/>
              <w:spacing w:line="240" w:lineRule="atLeast"/>
              <w:ind w:firstLine="0" w:firstLineChars="0"/>
              <w:jc w:val="center"/>
              <w:rPr>
                <w:sz w:val="21"/>
                <w:szCs w:val="21"/>
                <w:highlight w:val="black"/>
              </w:rPr>
            </w:pPr>
            <w:r>
              <w:rPr>
                <w:sz w:val="21"/>
                <w:szCs w:val="21"/>
                <w:highlight w:val="black"/>
              </w:rPr>
              <w:t>25～50</w:t>
            </w:r>
          </w:p>
        </w:tc>
        <w:tc>
          <w:tcPr>
            <w:tcW w:w="1434" w:type="pct"/>
            <w:tcBorders>
              <w:tl2br w:val="nil"/>
              <w:tr2bl w:val="nil"/>
            </w:tcBorders>
            <w:vAlign w:val="center"/>
          </w:tcPr>
          <w:p w14:paraId="5B6E3F8D">
            <w:pPr>
              <w:adjustRightInd w:val="0"/>
              <w:snapToGrid w:val="0"/>
              <w:spacing w:line="240" w:lineRule="atLeast"/>
              <w:ind w:firstLine="0" w:firstLineChars="0"/>
              <w:jc w:val="center"/>
              <w:rPr>
                <w:sz w:val="21"/>
                <w:szCs w:val="21"/>
                <w:highlight w:val="black"/>
              </w:rPr>
            </w:pPr>
            <w:r>
              <w:rPr>
                <w:sz w:val="21"/>
                <w:szCs w:val="21"/>
                <w:highlight w:val="black"/>
              </w:rPr>
              <w:t>劣的</w:t>
            </w:r>
          </w:p>
        </w:tc>
        <w:tc>
          <w:tcPr>
            <w:tcW w:w="1616" w:type="pct"/>
            <w:tcBorders>
              <w:tl2br w:val="nil"/>
              <w:tr2bl w:val="nil"/>
            </w:tcBorders>
            <w:vAlign w:val="center"/>
          </w:tcPr>
          <w:p w14:paraId="2F88E52E">
            <w:pPr>
              <w:adjustRightInd w:val="0"/>
              <w:snapToGrid w:val="0"/>
              <w:spacing w:line="240" w:lineRule="atLeast"/>
              <w:ind w:firstLine="0" w:firstLineChars="0"/>
              <w:jc w:val="center"/>
              <w:rPr>
                <w:sz w:val="21"/>
                <w:szCs w:val="21"/>
                <w:highlight w:val="black"/>
              </w:rPr>
            </w:pPr>
            <w:r>
              <w:rPr>
                <w:sz w:val="21"/>
                <w:szCs w:val="21"/>
                <w:highlight w:val="black"/>
              </w:rPr>
              <w:t>岩体完整性差</w:t>
            </w:r>
          </w:p>
        </w:tc>
      </w:tr>
      <w:tr w14:paraId="4FA10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tl2br w:val="nil"/>
              <w:tr2bl w:val="nil"/>
            </w:tcBorders>
            <w:vAlign w:val="center"/>
          </w:tcPr>
          <w:p w14:paraId="1E4E030D">
            <w:pPr>
              <w:adjustRightInd w:val="0"/>
              <w:snapToGrid w:val="0"/>
              <w:spacing w:line="240" w:lineRule="atLeast"/>
              <w:ind w:firstLine="0" w:firstLineChars="0"/>
              <w:jc w:val="center"/>
              <w:rPr>
                <w:sz w:val="21"/>
                <w:szCs w:val="21"/>
                <w:highlight w:val="black"/>
              </w:rPr>
            </w:pPr>
            <w:r>
              <w:rPr>
                <w:sz w:val="21"/>
                <w:szCs w:val="21"/>
                <w:highlight w:val="black"/>
              </w:rPr>
              <w:t>Ⅴ</w:t>
            </w:r>
          </w:p>
        </w:tc>
        <w:tc>
          <w:tcPr>
            <w:tcW w:w="1243" w:type="pct"/>
            <w:tcBorders>
              <w:tl2br w:val="nil"/>
              <w:tr2bl w:val="nil"/>
            </w:tcBorders>
            <w:vAlign w:val="center"/>
          </w:tcPr>
          <w:p w14:paraId="31D7D52D">
            <w:pPr>
              <w:adjustRightInd w:val="0"/>
              <w:snapToGrid w:val="0"/>
              <w:spacing w:line="240" w:lineRule="atLeast"/>
              <w:ind w:firstLine="0" w:firstLineChars="0"/>
              <w:jc w:val="center"/>
              <w:rPr>
                <w:sz w:val="21"/>
                <w:szCs w:val="21"/>
                <w:highlight w:val="black"/>
              </w:rPr>
            </w:pPr>
            <w:r>
              <w:rPr>
                <w:sz w:val="21"/>
                <w:szCs w:val="21"/>
                <w:highlight w:val="black"/>
              </w:rPr>
              <w:t>&lt;25</w:t>
            </w:r>
          </w:p>
        </w:tc>
        <w:tc>
          <w:tcPr>
            <w:tcW w:w="1434" w:type="pct"/>
            <w:tcBorders>
              <w:tl2br w:val="nil"/>
              <w:tr2bl w:val="nil"/>
            </w:tcBorders>
            <w:vAlign w:val="center"/>
          </w:tcPr>
          <w:p w14:paraId="4019F5D1">
            <w:pPr>
              <w:adjustRightInd w:val="0"/>
              <w:snapToGrid w:val="0"/>
              <w:spacing w:line="240" w:lineRule="atLeast"/>
              <w:ind w:firstLine="0" w:firstLineChars="0"/>
              <w:jc w:val="center"/>
              <w:rPr>
                <w:sz w:val="21"/>
                <w:szCs w:val="21"/>
                <w:highlight w:val="black"/>
              </w:rPr>
            </w:pPr>
            <w:r>
              <w:rPr>
                <w:sz w:val="21"/>
                <w:szCs w:val="21"/>
                <w:highlight w:val="black"/>
              </w:rPr>
              <w:t>极劣的</w:t>
            </w:r>
          </w:p>
        </w:tc>
        <w:tc>
          <w:tcPr>
            <w:tcW w:w="1616" w:type="pct"/>
            <w:tcBorders>
              <w:tl2br w:val="nil"/>
              <w:tr2bl w:val="nil"/>
            </w:tcBorders>
            <w:vAlign w:val="center"/>
          </w:tcPr>
          <w:p w14:paraId="3EF81DEE">
            <w:pPr>
              <w:adjustRightInd w:val="0"/>
              <w:snapToGrid w:val="0"/>
              <w:spacing w:line="240" w:lineRule="atLeast"/>
              <w:ind w:firstLine="0" w:firstLineChars="0"/>
              <w:jc w:val="center"/>
              <w:rPr>
                <w:sz w:val="21"/>
                <w:szCs w:val="21"/>
                <w:highlight w:val="black"/>
              </w:rPr>
            </w:pPr>
            <w:r>
              <w:rPr>
                <w:sz w:val="21"/>
                <w:szCs w:val="21"/>
                <w:highlight w:val="black"/>
              </w:rPr>
              <w:t>岩体破碎</w:t>
            </w:r>
          </w:p>
        </w:tc>
      </w:tr>
    </w:tbl>
    <w:p w14:paraId="6F828069">
      <w:pPr>
        <w:adjustRightInd w:val="0"/>
        <w:snapToGrid w:val="0"/>
        <w:spacing w:line="240" w:lineRule="auto"/>
        <w:ind w:firstLine="0" w:firstLineChars="0"/>
        <w:jc w:val="center"/>
        <w:rPr>
          <w:b/>
          <w:sz w:val="21"/>
          <w:szCs w:val="21"/>
        </w:rPr>
      </w:pPr>
    </w:p>
    <w:p w14:paraId="7C853347">
      <w:pPr>
        <w:adjustRightInd w:val="0"/>
        <w:snapToGrid w:val="0"/>
        <w:spacing w:line="240" w:lineRule="auto"/>
        <w:ind w:firstLine="0" w:firstLineChars="0"/>
        <w:jc w:val="center"/>
        <w:rPr>
          <w:b/>
          <w:sz w:val="21"/>
          <w:szCs w:val="21"/>
        </w:rPr>
      </w:pPr>
      <w:r>
        <w:rPr>
          <w:b/>
          <w:sz w:val="21"/>
          <w:szCs w:val="21"/>
        </w:rPr>
        <w:t>表</w:t>
      </w:r>
      <w:r>
        <w:rPr>
          <w:rFonts w:hint="eastAsia"/>
          <w:b/>
          <w:sz w:val="21"/>
          <w:szCs w:val="21"/>
        </w:rPr>
        <w:t>2-14</w:t>
      </w:r>
      <w:r>
        <w:rPr>
          <w:b/>
          <w:sz w:val="21"/>
          <w:szCs w:val="21"/>
        </w:rPr>
        <w:t xml:space="preserve"> 国内类似矿山设计采用的移动角值</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1041"/>
        <w:gridCol w:w="3054"/>
        <w:gridCol w:w="834"/>
        <w:gridCol w:w="835"/>
        <w:gridCol w:w="619"/>
        <w:gridCol w:w="619"/>
        <w:gridCol w:w="619"/>
      </w:tblGrid>
      <w:tr w14:paraId="60249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pct"/>
            <w:vMerge w:val="restart"/>
            <w:tcBorders>
              <w:tl2br w:val="nil"/>
              <w:tr2bl w:val="nil"/>
            </w:tcBorders>
            <w:shd w:val="clear" w:color="auto" w:fill="auto"/>
            <w:vAlign w:val="center"/>
          </w:tcPr>
          <w:p w14:paraId="1D0D23CE">
            <w:pPr>
              <w:adjustRightInd w:val="0"/>
              <w:snapToGrid w:val="0"/>
              <w:spacing w:line="240" w:lineRule="atLeast"/>
              <w:ind w:firstLine="0" w:firstLineChars="0"/>
              <w:jc w:val="center"/>
              <w:rPr>
                <w:sz w:val="21"/>
                <w:szCs w:val="21"/>
                <w:highlight w:val="black"/>
              </w:rPr>
            </w:pPr>
            <w:bookmarkStart w:id="165" w:name="_Hlk185771602"/>
            <w:r>
              <w:rPr>
                <w:sz w:val="21"/>
                <w:szCs w:val="21"/>
                <w:highlight w:val="black"/>
              </w:rPr>
              <w:t>矿山名称</w:t>
            </w:r>
          </w:p>
        </w:tc>
        <w:tc>
          <w:tcPr>
            <w:tcW w:w="601" w:type="pct"/>
            <w:vMerge w:val="restart"/>
            <w:tcBorders>
              <w:tl2br w:val="nil"/>
              <w:tr2bl w:val="nil"/>
            </w:tcBorders>
            <w:vAlign w:val="center"/>
          </w:tcPr>
          <w:p w14:paraId="1C2356CD">
            <w:pPr>
              <w:adjustRightInd w:val="0"/>
              <w:snapToGrid w:val="0"/>
              <w:spacing w:line="240" w:lineRule="atLeast"/>
              <w:ind w:firstLine="0" w:firstLineChars="0"/>
              <w:jc w:val="center"/>
              <w:rPr>
                <w:sz w:val="21"/>
                <w:szCs w:val="21"/>
                <w:highlight w:val="black"/>
              </w:rPr>
            </w:pPr>
            <w:r>
              <w:rPr>
                <w:sz w:val="21"/>
                <w:szCs w:val="21"/>
                <w:highlight w:val="black"/>
              </w:rPr>
              <w:t>采矿方法</w:t>
            </w:r>
          </w:p>
        </w:tc>
        <w:tc>
          <w:tcPr>
            <w:tcW w:w="1762" w:type="pct"/>
            <w:vMerge w:val="restart"/>
            <w:tcBorders>
              <w:tl2br w:val="nil"/>
              <w:tr2bl w:val="nil"/>
            </w:tcBorders>
            <w:vAlign w:val="center"/>
          </w:tcPr>
          <w:p w14:paraId="12C5BC75">
            <w:pPr>
              <w:adjustRightInd w:val="0"/>
              <w:snapToGrid w:val="0"/>
              <w:spacing w:line="240" w:lineRule="atLeast"/>
              <w:ind w:firstLine="0" w:firstLineChars="0"/>
              <w:jc w:val="center"/>
              <w:rPr>
                <w:sz w:val="21"/>
                <w:szCs w:val="21"/>
                <w:highlight w:val="black"/>
              </w:rPr>
            </w:pPr>
            <w:r>
              <w:rPr>
                <w:sz w:val="21"/>
                <w:szCs w:val="21"/>
                <w:highlight w:val="black"/>
              </w:rPr>
              <w:t>工程地质条件</w:t>
            </w:r>
          </w:p>
        </w:tc>
        <w:tc>
          <w:tcPr>
            <w:tcW w:w="481" w:type="pct"/>
            <w:vMerge w:val="restart"/>
            <w:tcBorders>
              <w:tl2br w:val="nil"/>
              <w:tr2bl w:val="nil"/>
            </w:tcBorders>
            <w:vAlign w:val="center"/>
          </w:tcPr>
          <w:p w14:paraId="46DBA101">
            <w:pPr>
              <w:adjustRightInd w:val="0"/>
              <w:snapToGrid w:val="0"/>
              <w:spacing w:line="240" w:lineRule="atLeast"/>
              <w:ind w:firstLine="0" w:firstLineChars="0"/>
              <w:jc w:val="center"/>
              <w:rPr>
                <w:sz w:val="21"/>
                <w:szCs w:val="21"/>
                <w:highlight w:val="black"/>
              </w:rPr>
            </w:pPr>
            <w:r>
              <w:rPr>
                <w:sz w:val="21"/>
                <w:szCs w:val="21"/>
                <w:highlight w:val="black"/>
              </w:rPr>
              <w:t>岩体完整性</w:t>
            </w:r>
          </w:p>
        </w:tc>
        <w:tc>
          <w:tcPr>
            <w:tcW w:w="482" w:type="pct"/>
            <w:vMerge w:val="restart"/>
            <w:tcBorders>
              <w:tl2br w:val="nil"/>
              <w:tr2bl w:val="nil"/>
            </w:tcBorders>
            <w:shd w:val="clear" w:color="auto" w:fill="auto"/>
            <w:vAlign w:val="center"/>
          </w:tcPr>
          <w:p w14:paraId="72BC8EA8">
            <w:pPr>
              <w:adjustRightInd w:val="0"/>
              <w:snapToGrid w:val="0"/>
              <w:spacing w:line="240" w:lineRule="atLeast"/>
              <w:ind w:firstLine="0" w:firstLineChars="0"/>
              <w:jc w:val="center"/>
              <w:rPr>
                <w:sz w:val="21"/>
                <w:szCs w:val="21"/>
                <w:highlight w:val="black"/>
              </w:rPr>
            </w:pPr>
            <w:r>
              <w:rPr>
                <w:sz w:val="21"/>
                <w:szCs w:val="21"/>
                <w:highlight w:val="black"/>
              </w:rPr>
              <w:t>岩石质量</w:t>
            </w:r>
          </w:p>
        </w:tc>
        <w:tc>
          <w:tcPr>
            <w:tcW w:w="1071" w:type="pct"/>
            <w:gridSpan w:val="3"/>
            <w:tcBorders>
              <w:tl2br w:val="nil"/>
              <w:tr2bl w:val="nil"/>
            </w:tcBorders>
            <w:shd w:val="clear" w:color="auto" w:fill="auto"/>
            <w:vAlign w:val="center"/>
          </w:tcPr>
          <w:p w14:paraId="46B9C76E">
            <w:pPr>
              <w:adjustRightInd w:val="0"/>
              <w:snapToGrid w:val="0"/>
              <w:spacing w:line="240" w:lineRule="atLeast"/>
              <w:ind w:firstLine="0" w:firstLineChars="0"/>
              <w:jc w:val="center"/>
              <w:rPr>
                <w:sz w:val="21"/>
                <w:szCs w:val="21"/>
                <w:highlight w:val="black"/>
              </w:rPr>
            </w:pPr>
            <w:r>
              <w:rPr>
                <w:sz w:val="21"/>
                <w:szCs w:val="21"/>
                <w:highlight w:val="black"/>
              </w:rPr>
              <w:t>移动角(</w:t>
            </w:r>
            <w:r>
              <w:rPr>
                <w:sz w:val="21"/>
                <w:szCs w:val="21"/>
                <w:highlight w:val="black"/>
                <w:vertAlign w:val="superscript"/>
              </w:rPr>
              <w:t>ｏ</w:t>
            </w:r>
            <w:r>
              <w:rPr>
                <w:rFonts w:hint="eastAsia"/>
                <w:sz w:val="21"/>
                <w:szCs w:val="21"/>
                <w:highlight w:val="black"/>
                <w:vertAlign w:val="superscript"/>
              </w:rPr>
              <w:t>）</w:t>
            </w:r>
          </w:p>
        </w:tc>
      </w:tr>
      <w:tr w14:paraId="34F25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shd w:val="clear" w:color="auto" w:fill="auto"/>
            <w:vAlign w:val="center"/>
          </w:tcPr>
          <w:p w14:paraId="78002CBA">
            <w:pPr>
              <w:adjustRightInd w:val="0"/>
              <w:snapToGrid w:val="0"/>
              <w:spacing w:line="240" w:lineRule="atLeast"/>
              <w:ind w:firstLine="0" w:firstLineChars="0"/>
              <w:jc w:val="center"/>
              <w:rPr>
                <w:sz w:val="21"/>
                <w:szCs w:val="21"/>
                <w:highlight w:val="black"/>
              </w:rPr>
            </w:pPr>
          </w:p>
        </w:tc>
        <w:tc>
          <w:tcPr>
            <w:tcW w:w="601" w:type="pct"/>
            <w:vMerge w:val="continue"/>
            <w:tcBorders>
              <w:tl2br w:val="nil"/>
              <w:tr2bl w:val="nil"/>
            </w:tcBorders>
            <w:vAlign w:val="center"/>
          </w:tcPr>
          <w:p w14:paraId="39C0E105">
            <w:pPr>
              <w:adjustRightInd w:val="0"/>
              <w:snapToGrid w:val="0"/>
              <w:spacing w:line="240" w:lineRule="atLeast"/>
              <w:ind w:firstLine="0" w:firstLineChars="0"/>
              <w:jc w:val="center"/>
              <w:rPr>
                <w:sz w:val="21"/>
                <w:szCs w:val="21"/>
                <w:highlight w:val="black"/>
              </w:rPr>
            </w:pPr>
          </w:p>
        </w:tc>
        <w:tc>
          <w:tcPr>
            <w:tcW w:w="1762" w:type="pct"/>
            <w:vMerge w:val="continue"/>
            <w:tcBorders>
              <w:tl2br w:val="nil"/>
              <w:tr2bl w:val="nil"/>
            </w:tcBorders>
            <w:vAlign w:val="center"/>
          </w:tcPr>
          <w:p w14:paraId="378543A0">
            <w:pPr>
              <w:adjustRightInd w:val="0"/>
              <w:snapToGrid w:val="0"/>
              <w:spacing w:line="240" w:lineRule="atLeast"/>
              <w:ind w:firstLine="0" w:firstLineChars="0"/>
              <w:jc w:val="center"/>
              <w:rPr>
                <w:sz w:val="21"/>
                <w:szCs w:val="21"/>
                <w:highlight w:val="black"/>
              </w:rPr>
            </w:pPr>
          </w:p>
        </w:tc>
        <w:tc>
          <w:tcPr>
            <w:tcW w:w="481" w:type="pct"/>
            <w:vMerge w:val="continue"/>
            <w:tcBorders>
              <w:tl2br w:val="nil"/>
              <w:tr2bl w:val="nil"/>
            </w:tcBorders>
            <w:vAlign w:val="center"/>
          </w:tcPr>
          <w:p w14:paraId="0E801D8E">
            <w:pPr>
              <w:adjustRightInd w:val="0"/>
              <w:snapToGrid w:val="0"/>
              <w:spacing w:line="240" w:lineRule="atLeast"/>
              <w:ind w:firstLine="0" w:firstLineChars="0"/>
              <w:jc w:val="center"/>
              <w:rPr>
                <w:sz w:val="21"/>
                <w:szCs w:val="21"/>
                <w:highlight w:val="black"/>
              </w:rPr>
            </w:pPr>
          </w:p>
        </w:tc>
        <w:tc>
          <w:tcPr>
            <w:tcW w:w="482" w:type="pct"/>
            <w:vMerge w:val="continue"/>
            <w:tcBorders>
              <w:tl2br w:val="nil"/>
              <w:tr2bl w:val="nil"/>
            </w:tcBorders>
            <w:shd w:val="clear" w:color="auto" w:fill="auto"/>
            <w:vAlign w:val="center"/>
          </w:tcPr>
          <w:p w14:paraId="63FA8E8D">
            <w:pPr>
              <w:adjustRightInd w:val="0"/>
              <w:snapToGrid w:val="0"/>
              <w:spacing w:line="240" w:lineRule="atLeast"/>
              <w:ind w:firstLine="0" w:firstLineChars="0"/>
              <w:jc w:val="center"/>
              <w:rPr>
                <w:sz w:val="21"/>
                <w:szCs w:val="21"/>
                <w:highlight w:val="black"/>
              </w:rPr>
            </w:pPr>
          </w:p>
        </w:tc>
        <w:tc>
          <w:tcPr>
            <w:tcW w:w="357" w:type="pct"/>
            <w:tcBorders>
              <w:tl2br w:val="nil"/>
              <w:tr2bl w:val="nil"/>
            </w:tcBorders>
            <w:shd w:val="clear" w:color="auto" w:fill="auto"/>
            <w:vAlign w:val="center"/>
          </w:tcPr>
          <w:p w14:paraId="1E3B9962">
            <w:pPr>
              <w:adjustRightInd w:val="0"/>
              <w:snapToGrid w:val="0"/>
              <w:spacing w:line="240" w:lineRule="atLeast"/>
              <w:ind w:firstLine="0" w:firstLineChars="0"/>
              <w:jc w:val="center"/>
              <w:rPr>
                <w:w w:val="90"/>
                <w:sz w:val="21"/>
                <w:szCs w:val="21"/>
                <w:highlight w:val="black"/>
              </w:rPr>
            </w:pPr>
            <w:r>
              <w:rPr>
                <w:w w:val="90"/>
                <w:sz w:val="21"/>
                <w:szCs w:val="21"/>
                <w:highlight w:val="black"/>
              </w:rPr>
              <w:t>上盘</w:t>
            </w:r>
          </w:p>
        </w:tc>
        <w:tc>
          <w:tcPr>
            <w:tcW w:w="357" w:type="pct"/>
            <w:tcBorders>
              <w:tl2br w:val="nil"/>
              <w:tr2bl w:val="nil"/>
            </w:tcBorders>
            <w:shd w:val="clear" w:color="auto" w:fill="auto"/>
            <w:vAlign w:val="center"/>
          </w:tcPr>
          <w:p w14:paraId="6F77F620">
            <w:pPr>
              <w:adjustRightInd w:val="0"/>
              <w:snapToGrid w:val="0"/>
              <w:spacing w:line="240" w:lineRule="atLeast"/>
              <w:ind w:firstLine="0" w:firstLineChars="0"/>
              <w:jc w:val="center"/>
              <w:rPr>
                <w:w w:val="90"/>
                <w:sz w:val="21"/>
                <w:szCs w:val="21"/>
                <w:highlight w:val="black"/>
              </w:rPr>
            </w:pPr>
            <w:r>
              <w:rPr>
                <w:w w:val="90"/>
                <w:sz w:val="21"/>
                <w:szCs w:val="21"/>
                <w:highlight w:val="black"/>
              </w:rPr>
              <w:t>下盘</w:t>
            </w:r>
          </w:p>
        </w:tc>
        <w:tc>
          <w:tcPr>
            <w:tcW w:w="357" w:type="pct"/>
            <w:tcBorders>
              <w:tl2br w:val="nil"/>
              <w:tr2bl w:val="nil"/>
            </w:tcBorders>
            <w:shd w:val="clear" w:color="auto" w:fill="auto"/>
            <w:vAlign w:val="center"/>
          </w:tcPr>
          <w:p w14:paraId="682A2C4C">
            <w:pPr>
              <w:adjustRightInd w:val="0"/>
              <w:snapToGrid w:val="0"/>
              <w:spacing w:line="240" w:lineRule="atLeast"/>
              <w:ind w:firstLine="0" w:firstLineChars="0"/>
              <w:jc w:val="center"/>
              <w:rPr>
                <w:w w:val="90"/>
                <w:sz w:val="21"/>
                <w:szCs w:val="21"/>
                <w:highlight w:val="black"/>
              </w:rPr>
            </w:pPr>
            <w:r>
              <w:rPr>
                <w:w w:val="90"/>
                <w:sz w:val="21"/>
                <w:szCs w:val="21"/>
                <w:highlight w:val="black"/>
              </w:rPr>
              <w:t>端部</w:t>
            </w:r>
          </w:p>
        </w:tc>
      </w:tr>
      <w:tr w14:paraId="03BFF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pct"/>
            <w:tcBorders>
              <w:tl2br w:val="nil"/>
              <w:tr2bl w:val="nil"/>
            </w:tcBorders>
            <w:shd w:val="clear" w:color="auto" w:fill="auto"/>
            <w:vAlign w:val="center"/>
          </w:tcPr>
          <w:p w14:paraId="50108EB8">
            <w:pPr>
              <w:adjustRightInd w:val="0"/>
              <w:snapToGrid w:val="0"/>
              <w:spacing w:line="240" w:lineRule="atLeast"/>
              <w:ind w:firstLine="0" w:firstLineChars="0"/>
              <w:rPr>
                <w:sz w:val="21"/>
                <w:szCs w:val="21"/>
                <w:highlight w:val="black"/>
              </w:rPr>
            </w:pPr>
            <w:r>
              <w:rPr>
                <w:rFonts w:hint="eastAsia"/>
                <w:sz w:val="21"/>
                <w:szCs w:val="21"/>
                <w:highlight w:val="black"/>
              </w:rPr>
              <w:t>丰宁建宇铁矿有限公司杨营铁矿</w:t>
            </w:r>
          </w:p>
        </w:tc>
        <w:tc>
          <w:tcPr>
            <w:tcW w:w="601" w:type="pct"/>
            <w:tcBorders>
              <w:tl2br w:val="nil"/>
              <w:tr2bl w:val="nil"/>
            </w:tcBorders>
            <w:vAlign w:val="center"/>
          </w:tcPr>
          <w:p w14:paraId="2640036F">
            <w:pPr>
              <w:adjustRightInd w:val="0"/>
              <w:snapToGrid w:val="0"/>
              <w:spacing w:line="240" w:lineRule="atLeast"/>
              <w:ind w:firstLine="0" w:firstLineChars="0"/>
              <w:jc w:val="center"/>
              <w:rPr>
                <w:sz w:val="21"/>
                <w:szCs w:val="21"/>
                <w:highlight w:val="black"/>
              </w:rPr>
            </w:pPr>
            <w:r>
              <w:rPr>
                <w:sz w:val="21"/>
                <w:szCs w:val="21"/>
                <w:highlight w:val="black"/>
              </w:rPr>
              <w:t>分段空场嗣后</w:t>
            </w:r>
            <w:r>
              <w:rPr>
                <w:rFonts w:hint="eastAsia"/>
                <w:sz w:val="21"/>
                <w:szCs w:val="21"/>
                <w:highlight w:val="black"/>
              </w:rPr>
              <w:t>胶结</w:t>
            </w:r>
            <w:r>
              <w:rPr>
                <w:sz w:val="21"/>
                <w:szCs w:val="21"/>
                <w:highlight w:val="black"/>
              </w:rPr>
              <w:t>充填</w:t>
            </w:r>
          </w:p>
        </w:tc>
        <w:tc>
          <w:tcPr>
            <w:tcW w:w="1762" w:type="pct"/>
            <w:tcBorders>
              <w:tl2br w:val="nil"/>
              <w:tr2bl w:val="nil"/>
            </w:tcBorders>
            <w:vAlign w:val="center"/>
          </w:tcPr>
          <w:p w14:paraId="00D083F5">
            <w:pPr>
              <w:adjustRightInd w:val="0"/>
              <w:snapToGrid w:val="0"/>
              <w:spacing w:line="240" w:lineRule="atLeast"/>
              <w:ind w:firstLine="0" w:firstLineChars="0"/>
              <w:rPr>
                <w:sz w:val="21"/>
                <w:szCs w:val="21"/>
                <w:highlight w:val="black"/>
              </w:rPr>
            </w:pPr>
            <w:r>
              <w:rPr>
                <w:rFonts w:hint="eastAsia"/>
                <w:sz w:val="21"/>
                <w:szCs w:val="21"/>
                <w:highlight w:val="black"/>
              </w:rPr>
              <w:t>岩性主要为黑云角闪斜长片麻岩、花岗片麻岩、斜长角闪岩，除构造破碎带及风化壳外，岩石坚硬，整体性好</w:t>
            </w:r>
            <w:r>
              <w:rPr>
                <w:sz w:val="21"/>
                <w:szCs w:val="21"/>
                <w:highlight w:val="black"/>
              </w:rPr>
              <w:t>。</w:t>
            </w:r>
            <w:r>
              <w:rPr>
                <w:rFonts w:hint="eastAsia"/>
                <w:sz w:val="21"/>
                <w:szCs w:val="21"/>
                <w:highlight w:val="black"/>
              </w:rPr>
              <w:t>矿体围岩岩体大多比较完整，部分裂隙被胶结成致密坚硬体或完整一体，这些地段没有出现冒顶、片帮现象，井巷围岩工程地质条件中等—良好</w:t>
            </w:r>
          </w:p>
        </w:tc>
        <w:tc>
          <w:tcPr>
            <w:tcW w:w="481" w:type="pct"/>
            <w:tcBorders>
              <w:tl2br w:val="nil"/>
              <w:tr2bl w:val="nil"/>
            </w:tcBorders>
            <w:vAlign w:val="center"/>
          </w:tcPr>
          <w:p w14:paraId="5A62FE2E">
            <w:pPr>
              <w:topLinePunct/>
              <w:adjustRightInd w:val="0"/>
              <w:snapToGrid w:val="0"/>
              <w:spacing w:line="240" w:lineRule="atLeast"/>
              <w:ind w:firstLine="0" w:firstLineChars="0"/>
              <w:jc w:val="center"/>
              <w:rPr>
                <w:sz w:val="21"/>
                <w:szCs w:val="21"/>
                <w:highlight w:val="black"/>
              </w:rPr>
            </w:pPr>
            <w:r>
              <w:rPr>
                <w:sz w:val="21"/>
                <w:szCs w:val="21"/>
                <w:highlight w:val="black"/>
              </w:rPr>
              <w:t>较完整</w:t>
            </w:r>
          </w:p>
        </w:tc>
        <w:tc>
          <w:tcPr>
            <w:tcW w:w="482" w:type="pct"/>
            <w:tcBorders>
              <w:tl2br w:val="nil"/>
              <w:tr2bl w:val="nil"/>
            </w:tcBorders>
            <w:shd w:val="clear" w:color="auto" w:fill="auto"/>
            <w:vAlign w:val="center"/>
          </w:tcPr>
          <w:p w14:paraId="22BE230D">
            <w:pPr>
              <w:adjustRightInd w:val="0"/>
              <w:snapToGrid w:val="0"/>
              <w:spacing w:line="240" w:lineRule="atLeast"/>
              <w:ind w:firstLine="0" w:firstLineChars="0"/>
              <w:jc w:val="center"/>
              <w:rPr>
                <w:sz w:val="21"/>
                <w:szCs w:val="21"/>
                <w:highlight w:val="black"/>
              </w:rPr>
            </w:pPr>
            <w:r>
              <w:rPr>
                <w:sz w:val="21"/>
                <w:szCs w:val="21"/>
                <w:highlight w:val="black"/>
              </w:rPr>
              <w:t>好</w:t>
            </w:r>
          </w:p>
        </w:tc>
        <w:tc>
          <w:tcPr>
            <w:tcW w:w="357" w:type="pct"/>
            <w:tcBorders>
              <w:tl2br w:val="nil"/>
              <w:tr2bl w:val="nil"/>
            </w:tcBorders>
            <w:shd w:val="clear" w:color="auto" w:fill="auto"/>
            <w:vAlign w:val="center"/>
          </w:tcPr>
          <w:p w14:paraId="73535DB8">
            <w:pPr>
              <w:adjustRightInd w:val="0"/>
              <w:snapToGrid w:val="0"/>
              <w:spacing w:line="240" w:lineRule="atLeast"/>
              <w:ind w:firstLine="0" w:firstLineChars="0"/>
              <w:jc w:val="center"/>
              <w:rPr>
                <w:sz w:val="21"/>
                <w:szCs w:val="21"/>
                <w:highlight w:val="black"/>
              </w:rPr>
            </w:pPr>
            <w:r>
              <w:rPr>
                <w:rFonts w:hint="eastAsia"/>
                <w:sz w:val="21"/>
                <w:szCs w:val="21"/>
                <w:highlight w:val="black"/>
              </w:rPr>
              <w:t>70</w:t>
            </w:r>
          </w:p>
        </w:tc>
        <w:tc>
          <w:tcPr>
            <w:tcW w:w="357" w:type="pct"/>
            <w:tcBorders>
              <w:tl2br w:val="nil"/>
              <w:tr2bl w:val="nil"/>
            </w:tcBorders>
            <w:shd w:val="clear" w:color="auto" w:fill="auto"/>
            <w:vAlign w:val="center"/>
          </w:tcPr>
          <w:p w14:paraId="603F5E4B">
            <w:pPr>
              <w:adjustRightInd w:val="0"/>
              <w:snapToGrid w:val="0"/>
              <w:spacing w:line="240" w:lineRule="atLeast"/>
              <w:ind w:firstLine="0" w:firstLineChars="0"/>
              <w:jc w:val="center"/>
              <w:rPr>
                <w:sz w:val="21"/>
                <w:szCs w:val="21"/>
                <w:highlight w:val="black"/>
              </w:rPr>
            </w:pPr>
            <w:r>
              <w:rPr>
                <w:sz w:val="21"/>
                <w:szCs w:val="21"/>
                <w:highlight w:val="black"/>
              </w:rPr>
              <w:t>70</w:t>
            </w:r>
          </w:p>
        </w:tc>
        <w:tc>
          <w:tcPr>
            <w:tcW w:w="357" w:type="pct"/>
            <w:tcBorders>
              <w:tl2br w:val="nil"/>
              <w:tr2bl w:val="nil"/>
            </w:tcBorders>
            <w:shd w:val="clear" w:color="auto" w:fill="auto"/>
            <w:vAlign w:val="center"/>
          </w:tcPr>
          <w:p w14:paraId="7A114639">
            <w:pPr>
              <w:adjustRightInd w:val="0"/>
              <w:snapToGrid w:val="0"/>
              <w:spacing w:line="240" w:lineRule="atLeast"/>
              <w:ind w:firstLine="0" w:firstLineChars="0"/>
              <w:jc w:val="center"/>
              <w:rPr>
                <w:sz w:val="21"/>
                <w:szCs w:val="21"/>
                <w:highlight w:val="black"/>
              </w:rPr>
            </w:pPr>
            <w:r>
              <w:rPr>
                <w:sz w:val="21"/>
                <w:szCs w:val="21"/>
                <w:highlight w:val="black"/>
              </w:rPr>
              <w:t>70</w:t>
            </w:r>
          </w:p>
        </w:tc>
      </w:tr>
      <w:tr w14:paraId="6E632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pct"/>
            <w:tcBorders>
              <w:tl2br w:val="nil"/>
              <w:tr2bl w:val="nil"/>
            </w:tcBorders>
            <w:shd w:val="clear" w:color="auto" w:fill="auto"/>
            <w:vAlign w:val="center"/>
          </w:tcPr>
          <w:p w14:paraId="766F37CE">
            <w:pPr>
              <w:adjustRightInd w:val="0"/>
              <w:snapToGrid w:val="0"/>
              <w:spacing w:line="240" w:lineRule="atLeast"/>
              <w:ind w:firstLine="0" w:firstLineChars="0"/>
              <w:rPr>
                <w:sz w:val="21"/>
                <w:szCs w:val="21"/>
                <w:highlight w:val="black"/>
              </w:rPr>
            </w:pPr>
            <w:r>
              <w:rPr>
                <w:sz w:val="21"/>
                <w:szCs w:val="21"/>
                <w:highlight w:val="black"/>
              </w:rPr>
              <w:t>本溪钢铁</w:t>
            </w:r>
            <w:r>
              <w:rPr>
                <w:rFonts w:hint="eastAsia"/>
                <w:sz w:val="21"/>
                <w:szCs w:val="21"/>
                <w:highlight w:val="black"/>
              </w:rPr>
              <w:t>（</w:t>
            </w:r>
            <w:r>
              <w:rPr>
                <w:sz w:val="21"/>
                <w:szCs w:val="21"/>
                <w:highlight w:val="black"/>
              </w:rPr>
              <w:t>集团</w:t>
            </w:r>
            <w:r>
              <w:rPr>
                <w:rFonts w:hint="eastAsia"/>
                <w:sz w:val="21"/>
                <w:szCs w:val="21"/>
                <w:highlight w:val="black"/>
              </w:rPr>
              <w:t>）</w:t>
            </w:r>
            <w:r>
              <w:rPr>
                <w:sz w:val="21"/>
                <w:szCs w:val="21"/>
                <w:highlight w:val="black"/>
              </w:rPr>
              <w:t>矿业有限责任公司花岭沟铁矿</w:t>
            </w:r>
          </w:p>
        </w:tc>
        <w:tc>
          <w:tcPr>
            <w:tcW w:w="601" w:type="pct"/>
            <w:tcBorders>
              <w:tl2br w:val="nil"/>
              <w:tr2bl w:val="nil"/>
            </w:tcBorders>
            <w:vAlign w:val="center"/>
          </w:tcPr>
          <w:p w14:paraId="23BCD5C5">
            <w:pPr>
              <w:adjustRightInd w:val="0"/>
              <w:snapToGrid w:val="0"/>
              <w:spacing w:line="240" w:lineRule="atLeast"/>
              <w:ind w:firstLine="0" w:firstLineChars="0"/>
              <w:jc w:val="center"/>
              <w:rPr>
                <w:sz w:val="21"/>
                <w:szCs w:val="21"/>
                <w:highlight w:val="black"/>
              </w:rPr>
            </w:pPr>
            <w:r>
              <w:rPr>
                <w:sz w:val="21"/>
                <w:szCs w:val="21"/>
                <w:highlight w:val="black"/>
              </w:rPr>
              <w:t>分段空场嗣后胶结充填</w:t>
            </w:r>
          </w:p>
        </w:tc>
        <w:tc>
          <w:tcPr>
            <w:tcW w:w="1762" w:type="pct"/>
            <w:tcBorders>
              <w:tl2br w:val="nil"/>
              <w:tr2bl w:val="nil"/>
            </w:tcBorders>
            <w:vAlign w:val="center"/>
          </w:tcPr>
          <w:p w14:paraId="1E61AAD4">
            <w:pPr>
              <w:adjustRightInd w:val="0"/>
              <w:snapToGrid w:val="0"/>
              <w:spacing w:line="240" w:lineRule="atLeast"/>
              <w:ind w:firstLine="0" w:firstLineChars="0"/>
              <w:rPr>
                <w:sz w:val="21"/>
                <w:szCs w:val="21"/>
                <w:highlight w:val="black"/>
              </w:rPr>
            </w:pPr>
            <w:r>
              <w:rPr>
                <w:sz w:val="21"/>
                <w:szCs w:val="21"/>
                <w:highlight w:val="black"/>
              </w:rPr>
              <w:t>矿区内底板岩石为斜长角闪岩，局部为条带状片麻岩伟晶岩脉和安山玢岩脉。顶板以条带状片麻岩为主，其次是片麻状花岗岩和斜长角闪岩，局部为岩脉。矿床内基岩均属于坚硬的块状或厚层状工程地质岩组，但浅部地层岩石质量、岩体完整性及其稳定性相对较差，矿床工程地质条件属中等类型。</w:t>
            </w:r>
          </w:p>
        </w:tc>
        <w:tc>
          <w:tcPr>
            <w:tcW w:w="481" w:type="pct"/>
            <w:tcBorders>
              <w:tl2br w:val="nil"/>
              <w:tr2bl w:val="nil"/>
            </w:tcBorders>
            <w:vAlign w:val="center"/>
          </w:tcPr>
          <w:p w14:paraId="23E34CB3">
            <w:pPr>
              <w:topLinePunct/>
              <w:adjustRightInd w:val="0"/>
              <w:snapToGrid w:val="0"/>
              <w:spacing w:line="240" w:lineRule="atLeast"/>
              <w:ind w:firstLine="0" w:firstLineChars="0"/>
              <w:jc w:val="center"/>
              <w:rPr>
                <w:sz w:val="21"/>
                <w:szCs w:val="21"/>
                <w:highlight w:val="black"/>
              </w:rPr>
            </w:pPr>
            <w:r>
              <w:rPr>
                <w:sz w:val="21"/>
                <w:szCs w:val="21"/>
                <w:highlight w:val="black"/>
              </w:rPr>
              <w:t>中等完整、较完整</w:t>
            </w:r>
          </w:p>
        </w:tc>
        <w:tc>
          <w:tcPr>
            <w:tcW w:w="482" w:type="pct"/>
            <w:tcBorders>
              <w:tl2br w:val="nil"/>
              <w:tr2bl w:val="nil"/>
            </w:tcBorders>
            <w:shd w:val="clear" w:color="auto" w:fill="auto"/>
            <w:vAlign w:val="center"/>
          </w:tcPr>
          <w:p w14:paraId="62024604">
            <w:pPr>
              <w:adjustRightInd w:val="0"/>
              <w:snapToGrid w:val="0"/>
              <w:spacing w:line="240" w:lineRule="atLeast"/>
              <w:ind w:firstLine="0" w:firstLineChars="0"/>
              <w:jc w:val="center"/>
              <w:rPr>
                <w:sz w:val="21"/>
                <w:szCs w:val="21"/>
                <w:highlight w:val="black"/>
              </w:rPr>
            </w:pPr>
            <w:r>
              <w:rPr>
                <w:sz w:val="21"/>
                <w:szCs w:val="21"/>
                <w:highlight w:val="black"/>
              </w:rPr>
              <w:t>中等、好的</w:t>
            </w:r>
          </w:p>
        </w:tc>
        <w:tc>
          <w:tcPr>
            <w:tcW w:w="357" w:type="pct"/>
            <w:tcBorders>
              <w:tl2br w:val="nil"/>
              <w:tr2bl w:val="nil"/>
            </w:tcBorders>
            <w:shd w:val="clear" w:color="auto" w:fill="auto"/>
            <w:vAlign w:val="center"/>
          </w:tcPr>
          <w:p w14:paraId="0C45033D">
            <w:pPr>
              <w:adjustRightInd w:val="0"/>
              <w:snapToGrid w:val="0"/>
              <w:spacing w:line="240" w:lineRule="atLeast"/>
              <w:ind w:firstLine="0" w:firstLineChars="0"/>
              <w:jc w:val="center"/>
              <w:rPr>
                <w:sz w:val="21"/>
                <w:szCs w:val="21"/>
                <w:highlight w:val="black"/>
              </w:rPr>
            </w:pPr>
            <w:r>
              <w:rPr>
                <w:sz w:val="21"/>
                <w:szCs w:val="21"/>
                <w:highlight w:val="black"/>
              </w:rPr>
              <w:t>65</w:t>
            </w:r>
          </w:p>
        </w:tc>
        <w:tc>
          <w:tcPr>
            <w:tcW w:w="357" w:type="pct"/>
            <w:tcBorders>
              <w:tl2br w:val="nil"/>
              <w:tr2bl w:val="nil"/>
            </w:tcBorders>
            <w:shd w:val="clear" w:color="auto" w:fill="auto"/>
            <w:vAlign w:val="center"/>
          </w:tcPr>
          <w:p w14:paraId="4E99F155">
            <w:pPr>
              <w:adjustRightInd w:val="0"/>
              <w:snapToGrid w:val="0"/>
              <w:spacing w:line="240" w:lineRule="atLeast"/>
              <w:ind w:firstLine="0" w:firstLineChars="0"/>
              <w:jc w:val="center"/>
              <w:rPr>
                <w:sz w:val="21"/>
                <w:szCs w:val="21"/>
                <w:highlight w:val="black"/>
              </w:rPr>
            </w:pPr>
            <w:r>
              <w:rPr>
                <w:sz w:val="21"/>
                <w:szCs w:val="21"/>
                <w:highlight w:val="black"/>
              </w:rPr>
              <w:t>65</w:t>
            </w:r>
          </w:p>
        </w:tc>
        <w:tc>
          <w:tcPr>
            <w:tcW w:w="357" w:type="pct"/>
            <w:tcBorders>
              <w:tl2br w:val="nil"/>
              <w:tr2bl w:val="nil"/>
            </w:tcBorders>
            <w:shd w:val="clear" w:color="auto" w:fill="auto"/>
            <w:vAlign w:val="center"/>
          </w:tcPr>
          <w:p w14:paraId="02CC303C">
            <w:pPr>
              <w:adjustRightInd w:val="0"/>
              <w:snapToGrid w:val="0"/>
              <w:spacing w:line="240" w:lineRule="atLeast"/>
              <w:ind w:firstLine="0" w:firstLineChars="0"/>
              <w:jc w:val="center"/>
              <w:rPr>
                <w:sz w:val="21"/>
                <w:szCs w:val="21"/>
                <w:highlight w:val="black"/>
              </w:rPr>
            </w:pPr>
            <w:r>
              <w:rPr>
                <w:sz w:val="21"/>
                <w:szCs w:val="21"/>
                <w:highlight w:val="black"/>
              </w:rPr>
              <w:t>70</w:t>
            </w:r>
          </w:p>
        </w:tc>
      </w:tr>
      <w:bookmarkEnd w:id="165"/>
    </w:tbl>
    <w:p w14:paraId="6CB28415">
      <w:pPr>
        <w:ind w:firstLine="583"/>
        <w:rPr>
          <w:highlight w:val="black"/>
        </w:rPr>
      </w:pPr>
      <w:r>
        <w:rPr>
          <w:rFonts w:hint="eastAsia"/>
          <w:highlight w:val="black"/>
        </w:rPr>
        <w:t>该矿床为沉积变质型的“鞍山式”铁矿，矿层主要为磁铁石英岩，夹层较少且厚度较大，分布连续，稳固较好。矿体围岩主要为斜长角闪片麻岩和二长花岗片麻岩，其稳固性弱于铁矿体。对于深部井巷开采，矿床内基岩多属于半坚硬-坚硬的厚层状工程地质岩组，岩体完整性为较完整。深部相对完整的岩体中局部存在破碎，岩石质量劣的现象。总的来看除局部破碎发育地段外，矿床岩石质量较好，岩体完整，矿体及围岩稳定性较好。综合来看，本矿山工程地质条件简单。</w:t>
      </w:r>
    </w:p>
    <w:p w14:paraId="17821723">
      <w:pPr>
        <w:ind w:firstLine="583"/>
        <w:rPr>
          <w:highlight w:val="black"/>
        </w:rPr>
      </w:pPr>
      <w:r>
        <w:rPr>
          <w:rFonts w:hint="eastAsia"/>
          <w:highlight w:val="black"/>
        </w:rPr>
        <w:t>设计推荐的岩石移动角</w:t>
      </w:r>
    </w:p>
    <w:p w14:paraId="74BE56C7">
      <w:pPr>
        <w:ind w:firstLine="583"/>
        <w:rPr>
          <w:highlight w:val="black"/>
        </w:rPr>
      </w:pPr>
      <w:r>
        <w:rPr>
          <w:rFonts w:hint="eastAsia"/>
          <w:highlight w:val="black"/>
        </w:rPr>
        <w:t>第四系移动角：40°；</w:t>
      </w:r>
    </w:p>
    <w:p w14:paraId="451411EB">
      <w:pPr>
        <w:ind w:firstLine="583"/>
        <w:rPr>
          <w:highlight w:val="black"/>
        </w:rPr>
      </w:pPr>
      <w:r>
        <w:rPr>
          <w:rFonts w:hint="eastAsia"/>
          <w:highlight w:val="black"/>
        </w:rPr>
        <w:t>风化带移动角：45°，风化带深度按8m考虑；</w:t>
      </w:r>
    </w:p>
    <w:p w14:paraId="2E004781">
      <w:pPr>
        <w:ind w:firstLine="583"/>
        <w:rPr>
          <w:highlight w:val="black"/>
        </w:rPr>
      </w:pPr>
      <w:r>
        <w:rPr>
          <w:rFonts w:hint="eastAsia"/>
          <w:highlight w:val="black"/>
        </w:rPr>
        <w:t>上盘基岩移动角：65°；</w:t>
      </w:r>
    </w:p>
    <w:p w14:paraId="5BC3DF40">
      <w:pPr>
        <w:ind w:firstLine="583"/>
        <w:rPr>
          <w:highlight w:val="black"/>
        </w:rPr>
      </w:pPr>
      <w:r>
        <w:rPr>
          <w:rFonts w:hint="eastAsia"/>
          <w:highlight w:val="black"/>
        </w:rPr>
        <w:t>下盘基岩移动角：65°；</w:t>
      </w:r>
    </w:p>
    <w:p w14:paraId="04588DB8">
      <w:pPr>
        <w:ind w:firstLine="583"/>
        <w:rPr>
          <w:highlight w:val="black"/>
        </w:rPr>
      </w:pPr>
      <w:r>
        <w:rPr>
          <w:rFonts w:hint="eastAsia"/>
          <w:highlight w:val="black"/>
        </w:rPr>
        <w:t>端部基岩移动角：70°。</w:t>
      </w:r>
    </w:p>
    <w:p w14:paraId="54417BCC">
      <w:pPr>
        <w:ind w:firstLine="583"/>
        <w:rPr>
          <w:highlight w:val="black"/>
        </w:rPr>
      </w:pPr>
      <w:r>
        <w:rPr>
          <w:rFonts w:hint="eastAsia"/>
          <w:highlight w:val="black"/>
        </w:rPr>
        <w:t>圈定岩石移动监测范围的原则</w:t>
      </w:r>
    </w:p>
    <w:p w14:paraId="6F372489">
      <w:pPr>
        <w:ind w:firstLine="583"/>
        <w:rPr>
          <w:highlight w:val="black"/>
        </w:rPr>
      </w:pPr>
      <w:r>
        <w:rPr>
          <w:rFonts w:hint="eastAsia"/>
          <w:highlight w:val="black"/>
        </w:rPr>
        <w:t>①岩石移动区应以开采矿体的深部划起；</w:t>
      </w:r>
    </w:p>
    <w:p w14:paraId="31819D66">
      <w:pPr>
        <w:ind w:firstLine="583"/>
        <w:rPr>
          <w:highlight w:val="black"/>
        </w:rPr>
      </w:pPr>
      <w:r>
        <w:rPr>
          <w:rFonts w:hint="eastAsia"/>
          <w:highlight w:val="black"/>
        </w:rPr>
        <w:t>②轮廓复杂的矿体，应从矿体突出部位画起。</w:t>
      </w:r>
    </w:p>
    <w:p w14:paraId="54800ED2">
      <w:pPr>
        <w:ind w:firstLine="583"/>
        <w:rPr>
          <w:highlight w:val="black"/>
        </w:rPr>
      </w:pPr>
      <w:r>
        <w:rPr>
          <w:rFonts w:hint="eastAsia"/>
          <w:highlight w:val="black"/>
        </w:rPr>
        <w:t>矿床开采岩石移动监测范围的圈定</w:t>
      </w:r>
    </w:p>
    <w:p w14:paraId="4FC5740B">
      <w:pPr>
        <w:ind w:firstLine="583"/>
        <w:rPr>
          <w:highlight w:val="black"/>
        </w:rPr>
      </w:pPr>
      <w:r>
        <w:rPr>
          <w:rFonts w:hint="eastAsia"/>
          <w:highlight w:val="black"/>
        </w:rPr>
        <w:t>确定地表岩石移动监测范围的方法是：</w:t>
      </w:r>
    </w:p>
    <w:p w14:paraId="65019718">
      <w:pPr>
        <w:ind w:firstLine="583"/>
        <w:rPr>
          <w:highlight w:val="black"/>
        </w:rPr>
      </w:pPr>
      <w:r>
        <w:rPr>
          <w:rFonts w:hint="eastAsia"/>
          <w:highlight w:val="black"/>
        </w:rPr>
        <w:t>①在勘探线剖面图上按设计开采的最低水平画出矿体下盘和上盘的岩石移动监测范围，在沿脉纵剖面图上画出矿体两端的岩石移动监测范围；</w:t>
      </w:r>
    </w:p>
    <w:p w14:paraId="090E7067">
      <w:pPr>
        <w:ind w:firstLine="583"/>
        <w:rPr>
          <w:highlight w:val="black"/>
        </w:rPr>
      </w:pPr>
      <w:r>
        <w:rPr>
          <w:rFonts w:hint="eastAsia"/>
          <w:highlight w:val="black"/>
        </w:rPr>
        <w:t>②在地形地质平面图上画出勘探线剖面图岩石移动监测范围与地表交点的坐标点位置，在地形地质平面图上相应画出沿脉纵剖面图矿脉两端岩石移动监测范围与地表交点的坐标点位置；</w:t>
      </w:r>
    </w:p>
    <w:p w14:paraId="09FADC7D">
      <w:pPr>
        <w:ind w:firstLine="583"/>
        <w:rPr>
          <w:highlight w:val="black"/>
        </w:rPr>
      </w:pPr>
      <w:r>
        <w:rPr>
          <w:rFonts w:hint="eastAsia"/>
          <w:highlight w:val="black"/>
        </w:rPr>
        <w:t>③将相邻两勘探线的各点连成直线，矿脉两端的二点分别与邻近勘探线的上、下盘二点连成直线，经修整后即得一闭合性地表岩石移动监测范围。</w:t>
      </w:r>
    </w:p>
    <w:p w14:paraId="77E95C4E">
      <w:pPr>
        <w:ind w:firstLine="583"/>
        <w:rPr>
          <w:highlight w:val="black"/>
        </w:rPr>
      </w:pPr>
      <w:r>
        <w:rPr>
          <w:rFonts w:hint="eastAsia"/>
          <w:highlight w:val="black"/>
        </w:rPr>
        <w:t>按上述方法进行地表岩石移动监测范围圈定，圈定结果见总平面布置图。</w:t>
      </w:r>
    </w:p>
    <w:p w14:paraId="4E8725AE">
      <w:pPr>
        <w:ind w:firstLine="583"/>
      </w:pPr>
      <w:r>
        <w:rPr>
          <w:rFonts w:hint="eastAsia"/>
        </w:rPr>
        <w:t>（5）支护</w:t>
      </w:r>
    </w:p>
    <w:p w14:paraId="31BD5C1A">
      <w:pPr>
        <w:ind w:firstLine="583"/>
        <w:rPr>
          <w:highlight w:val="black"/>
          <w:lang w:val="en-GB"/>
        </w:rPr>
      </w:pPr>
      <w:r>
        <w:rPr>
          <w:rFonts w:hint="eastAsia"/>
          <w:highlight w:val="black"/>
        </w:rPr>
        <w:t>1）</w:t>
      </w:r>
      <w:r>
        <w:rPr>
          <w:rFonts w:hint="eastAsia"/>
          <w:highlight w:val="black"/>
          <w:lang w:val="en-GB"/>
        </w:rPr>
        <w:t>斜坡道</w:t>
      </w:r>
    </w:p>
    <w:p w14:paraId="48832DC2">
      <w:pPr>
        <w:ind w:firstLine="583"/>
        <w:rPr>
          <w:highlight w:val="black"/>
          <w:lang w:val="en-GB"/>
        </w:rPr>
      </w:pPr>
      <w:r>
        <w:rPr>
          <w:rFonts w:hint="eastAsia"/>
          <w:highlight w:val="black"/>
          <w:lang w:val="en-GB"/>
        </w:rPr>
        <w:t>斜坡道采用光面爆破施工，斜坡道</w:t>
      </w:r>
      <w:r>
        <w:rPr>
          <w:rFonts w:hint="eastAsia"/>
          <w:highlight w:val="black"/>
        </w:rPr>
        <w:t>净断面为5.0m×4.5m三心拱</w:t>
      </w:r>
      <w:r>
        <w:rPr>
          <w:rFonts w:hint="eastAsia"/>
          <w:highlight w:val="black"/>
          <w:lang w:val="en-GB"/>
        </w:rPr>
        <w:t>，斜坡道</w:t>
      </w:r>
      <w:r>
        <w:rPr>
          <w:rFonts w:hint="eastAsia"/>
          <w:highlight w:val="black"/>
        </w:rPr>
        <w:t>近地表地段、经过断层和岩石破碎地带地段</w:t>
      </w:r>
      <w:r>
        <w:rPr>
          <w:rFonts w:hint="eastAsia"/>
          <w:highlight w:val="black"/>
          <w:lang w:val="en-GB"/>
        </w:rPr>
        <w:t>采用C30钢筋混凝土300～500mm厚支护；斜坡道井身经岩石不稳固地段采用锚网喷射C25混凝土100～150mm支护；斜坡道每隔200m～400m设一缓坡段错车道，错车道</w:t>
      </w:r>
      <w:r>
        <w:rPr>
          <w:rFonts w:hint="eastAsia"/>
          <w:highlight w:val="black"/>
        </w:rPr>
        <w:t>净断面为（宽×高）：6.5m×4.6m三心拱，</w:t>
      </w:r>
      <w:r>
        <w:rPr>
          <w:rFonts w:hint="eastAsia"/>
          <w:highlight w:val="black"/>
          <w:lang w:val="en-GB"/>
        </w:rPr>
        <w:t>设计采用锚网喷射C25混凝土100～150mm支护。</w:t>
      </w:r>
    </w:p>
    <w:p w14:paraId="6B7F3CEC">
      <w:pPr>
        <w:ind w:firstLine="583"/>
        <w:rPr>
          <w:highlight w:val="black"/>
          <w:lang w:val="en-GB"/>
        </w:rPr>
      </w:pPr>
      <w:r>
        <w:rPr>
          <w:rFonts w:hint="eastAsia"/>
          <w:highlight w:val="black"/>
        </w:rPr>
        <w:t>2）回风井</w:t>
      </w:r>
    </w:p>
    <w:p w14:paraId="0B511496">
      <w:pPr>
        <w:ind w:firstLine="583"/>
        <w:rPr>
          <w:highlight w:val="black"/>
        </w:rPr>
      </w:pPr>
      <w:r>
        <w:rPr>
          <w:rFonts w:hint="eastAsia"/>
          <w:highlight w:val="black"/>
        </w:rPr>
        <w:t>回风井井筒断面为圆形，净直径=3.0m，井筒位置选择围岩稳定性较好地段。井颈采用C30钢筋混凝土支护，支护厚度不小于800mm，井颈深入基岩内1m以上。局部不稳定地段采用C30钢筋混凝土300mm支护。</w:t>
      </w:r>
    </w:p>
    <w:p w14:paraId="408F72DE">
      <w:pPr>
        <w:ind w:firstLine="583"/>
        <w:rPr>
          <w:highlight w:val="black"/>
        </w:rPr>
      </w:pPr>
      <w:r>
        <w:rPr>
          <w:rFonts w:hint="eastAsia"/>
          <w:highlight w:val="black"/>
        </w:rPr>
        <w:t>3）管缆井</w:t>
      </w:r>
    </w:p>
    <w:p w14:paraId="5A368736">
      <w:pPr>
        <w:ind w:firstLine="583"/>
        <w:rPr>
          <w:highlight w:val="black"/>
        </w:rPr>
      </w:pPr>
      <w:r>
        <w:rPr>
          <w:rFonts w:hint="eastAsia"/>
          <w:highlight w:val="black"/>
        </w:rPr>
        <w:t>管缆井井筒断面为圆形，净直径=2.5m，井筒位置选择围岩稳定性较好地段。井颈采用C30钢筋混凝土支护，支护厚度不小于800mm，井颈深入基岩内1m以上。局部不稳定地段采用C30钢筋混凝土300mm支护。</w:t>
      </w:r>
    </w:p>
    <w:p w14:paraId="78EE1747">
      <w:pPr>
        <w:ind w:firstLine="583"/>
        <w:rPr>
          <w:highlight w:val="black"/>
          <w:lang w:val="en-GB"/>
        </w:rPr>
      </w:pPr>
      <w:r>
        <w:rPr>
          <w:rFonts w:hint="eastAsia"/>
          <w:highlight w:val="black"/>
        </w:rPr>
        <w:t>4）中段</w:t>
      </w:r>
      <w:r>
        <w:rPr>
          <w:rFonts w:hint="eastAsia"/>
          <w:highlight w:val="black"/>
          <w:lang w:val="en-GB"/>
        </w:rPr>
        <w:t>运输巷道</w:t>
      </w:r>
    </w:p>
    <w:p w14:paraId="60FFF7E0">
      <w:pPr>
        <w:ind w:firstLine="583"/>
        <w:rPr>
          <w:highlight w:val="black"/>
          <w:lang w:val="en-GB"/>
        </w:rPr>
      </w:pPr>
      <w:r>
        <w:rPr>
          <w:rFonts w:hint="eastAsia"/>
          <w:highlight w:val="black"/>
          <w:lang w:val="en-GB"/>
        </w:rPr>
        <w:t>设计井下中段运输巷道</w:t>
      </w:r>
      <w:r>
        <w:rPr>
          <w:rFonts w:hint="eastAsia"/>
          <w:highlight w:val="black"/>
        </w:rPr>
        <w:t>净断面为5.0m×4.5m三心拱</w:t>
      </w:r>
      <w:r>
        <w:rPr>
          <w:rFonts w:hint="eastAsia"/>
          <w:highlight w:val="black"/>
          <w:lang w:val="en-GB"/>
        </w:rPr>
        <w:t>，巷道及石门经岩石不稳固地段</w:t>
      </w:r>
      <w:r>
        <w:rPr>
          <w:rFonts w:hint="eastAsia"/>
          <w:highlight w:val="black"/>
        </w:rPr>
        <w:t>、遇断层和岩石破碎地带地段</w:t>
      </w:r>
      <w:r>
        <w:rPr>
          <w:rFonts w:hint="eastAsia"/>
          <w:highlight w:val="black"/>
          <w:lang w:val="en-GB"/>
        </w:rPr>
        <w:t>采用喷射混凝土支护、锚网喷射混凝土支护或钢架支护。</w:t>
      </w:r>
    </w:p>
    <w:p w14:paraId="56D53A98">
      <w:pPr>
        <w:ind w:firstLine="583"/>
        <w:rPr>
          <w:highlight w:val="black"/>
          <w:lang w:val="en-GB"/>
        </w:rPr>
      </w:pPr>
      <w:r>
        <w:rPr>
          <w:rFonts w:hint="eastAsia"/>
          <w:highlight w:val="black"/>
          <w:lang w:val="en-GB"/>
        </w:rPr>
        <w:t>根据《岩土锚杆与喷射混凝土支护工程技术规范》（GB50086-2015）中围岩分级标准和规定，井下巷道工程应根据围岩条件选择支护方式：根据设计巷道开挖跨度，本次设计Ⅰ级围岩等级地段不支护，Ⅱ级围岩地段采用喷C25混凝土50mm支护。Ⅲ级围岩地段采用喷射C25混凝土80～100mm支护或锚喷支护，锚喷支护时支护厚度50mm。Ⅳ级围岩地段采用锚网喷C25混凝土80～100mm支护。Ⅴ级围岩地段采用锚网喷C25混凝土150mm支护，局部钢拱架或格栅拱架支护。断裂构造派生轻微裂隙一般采用喷浆处理。</w:t>
      </w:r>
    </w:p>
    <w:p w14:paraId="4D35BA7A">
      <w:pPr>
        <w:ind w:firstLine="583"/>
        <w:rPr>
          <w:highlight w:val="black"/>
          <w:lang w:val="en-GB"/>
        </w:rPr>
      </w:pPr>
      <w:r>
        <w:rPr>
          <w:rFonts w:hint="eastAsia"/>
          <w:highlight w:val="black"/>
        </w:rPr>
        <w:t>5）水仓</w:t>
      </w:r>
      <w:r>
        <w:rPr>
          <w:rFonts w:hint="eastAsia"/>
          <w:highlight w:val="black"/>
          <w:lang w:val="en-GB"/>
        </w:rPr>
        <w:t>及水泵硐室</w:t>
      </w:r>
    </w:p>
    <w:p w14:paraId="213FAB52">
      <w:pPr>
        <w:ind w:firstLine="583"/>
        <w:rPr>
          <w:highlight w:val="black"/>
          <w:lang w:val="en-GB"/>
        </w:rPr>
      </w:pPr>
      <w:r>
        <w:rPr>
          <w:rFonts w:hint="eastAsia"/>
          <w:highlight w:val="black"/>
          <w:lang w:val="en-GB"/>
        </w:rPr>
        <w:t>设计水泵硐室采用C30钢筋混凝土300mm厚整体支护，硐室联络道采用喷射C25混凝土80～100mm支护或锚喷支护，锚喷支护时支护厚度50mm。水泵硐室设有两个出口，一个与中段相通，并安装密闭防水门；另一出口用管子斜巷与斜坡道井筒连通，标高高出水泵硐室地面7m。</w:t>
      </w:r>
    </w:p>
    <w:p w14:paraId="229C29D4">
      <w:pPr>
        <w:ind w:firstLine="583"/>
        <w:rPr>
          <w:highlight w:val="black"/>
          <w:lang w:val="en-GB"/>
        </w:rPr>
      </w:pPr>
      <w:r>
        <w:rPr>
          <w:rFonts w:hint="eastAsia"/>
          <w:highlight w:val="black"/>
          <w:lang w:val="en-GB"/>
        </w:rPr>
        <w:t>每个水仓由两条独立的巷道组成，水仓底板采用100mm厚的C15混凝土地面。水仓与吸水井连接处采用C30钢筋混凝土整体支护。</w:t>
      </w:r>
    </w:p>
    <w:p w14:paraId="5BFD76F7">
      <w:pPr>
        <w:ind w:firstLine="583"/>
        <w:rPr>
          <w:highlight w:val="black"/>
          <w:lang w:val="en-GB"/>
        </w:rPr>
      </w:pPr>
      <w:r>
        <w:rPr>
          <w:rFonts w:hint="eastAsia"/>
          <w:highlight w:val="black"/>
        </w:rPr>
        <w:t>6）</w:t>
      </w:r>
      <w:r>
        <w:rPr>
          <w:rFonts w:hint="eastAsia"/>
          <w:highlight w:val="black"/>
          <w:lang w:val="en-GB"/>
        </w:rPr>
        <w:t>配电硐室</w:t>
      </w:r>
    </w:p>
    <w:p w14:paraId="25C9D07A">
      <w:pPr>
        <w:ind w:firstLine="583"/>
        <w:rPr>
          <w:highlight w:val="black"/>
          <w:lang w:val="en-GB"/>
        </w:rPr>
      </w:pPr>
      <w:r>
        <w:rPr>
          <w:rFonts w:hint="eastAsia"/>
          <w:highlight w:val="black"/>
          <w:lang w:val="en-GB"/>
        </w:rPr>
        <w:t>变配电硐室采用C30钢筋混凝土300mm厚整体支护。硐室地面高于水泵房地面0.3m，变电硐室与水泵房之间设置防火栅栏两用门，变电硐室采用混凝土地面。</w:t>
      </w:r>
    </w:p>
    <w:p w14:paraId="4A4F9DA1">
      <w:pPr>
        <w:ind w:firstLine="583"/>
        <w:rPr>
          <w:highlight w:val="black"/>
          <w:lang w:val="en-GB"/>
        </w:rPr>
      </w:pPr>
      <w:r>
        <w:rPr>
          <w:rFonts w:hint="eastAsia"/>
          <w:highlight w:val="black"/>
        </w:rPr>
        <w:t>7）其他</w:t>
      </w:r>
      <w:r>
        <w:rPr>
          <w:rFonts w:hint="eastAsia"/>
          <w:highlight w:val="black"/>
          <w:lang w:val="en-GB"/>
        </w:rPr>
        <w:t>硐室</w:t>
      </w:r>
    </w:p>
    <w:p w14:paraId="6B5F0400">
      <w:pPr>
        <w:ind w:firstLine="583"/>
        <w:rPr>
          <w:highlight w:val="black"/>
          <w:lang w:val="en-GB"/>
        </w:rPr>
      </w:pPr>
      <w:r>
        <w:rPr>
          <w:rFonts w:hint="eastAsia"/>
          <w:highlight w:val="black"/>
          <w:lang w:val="en-GB"/>
        </w:rPr>
        <w:t>如遇局部破碎地段采用喷射混凝土支护或锚网喷射混凝土支护。</w:t>
      </w:r>
    </w:p>
    <w:p w14:paraId="37295E06">
      <w:pPr>
        <w:ind w:firstLine="583"/>
        <w:rPr>
          <w:highlight w:val="black"/>
          <w:lang w:val="en-GB"/>
        </w:rPr>
      </w:pPr>
      <w:r>
        <w:rPr>
          <w:rFonts w:hint="eastAsia"/>
          <w:highlight w:val="black"/>
          <w:lang w:val="en-GB"/>
        </w:rPr>
        <w:t>全矿井下禁止使用木支护。</w:t>
      </w:r>
    </w:p>
    <w:p w14:paraId="4908E6EB">
      <w:pPr>
        <w:ind w:firstLine="583"/>
      </w:pPr>
      <w:r>
        <w:rPr>
          <w:rFonts w:hint="eastAsia"/>
        </w:rPr>
        <w:t>（6）运输设备</w:t>
      </w:r>
    </w:p>
    <w:p w14:paraId="758F9DEF">
      <w:pPr>
        <w:ind w:firstLine="583"/>
        <w:rPr>
          <w:highlight w:val="black"/>
        </w:rPr>
      </w:pPr>
      <w:r>
        <w:rPr>
          <w:rFonts w:hint="eastAsia"/>
          <w:highlight w:val="black"/>
        </w:rPr>
        <w:t>本矿山运输共需</w:t>
      </w:r>
      <w:bookmarkStart w:id="166" w:name="_Hlk134865632"/>
      <w:r>
        <w:rPr>
          <w:rFonts w:hint="eastAsia"/>
          <w:highlight w:val="black"/>
        </w:rPr>
        <w:t>UQ-40型井下自卸汽车4台（3用1备）</w:t>
      </w:r>
      <w:r>
        <w:rPr>
          <w:highlight w:val="black"/>
        </w:rPr>
        <w:t>，</w:t>
      </w:r>
      <w:bookmarkStart w:id="167" w:name="_Hlk118447366"/>
      <w:r>
        <w:rPr>
          <w:highlight w:val="black"/>
        </w:rPr>
        <w:t>外形尺寸</w:t>
      </w:r>
      <w:r>
        <w:rPr>
          <w:rFonts w:hint="eastAsia"/>
          <w:highlight w:val="black"/>
        </w:rPr>
        <w:t>（</w:t>
      </w:r>
      <w:r>
        <w:rPr>
          <w:highlight w:val="black"/>
        </w:rPr>
        <w:t>长×宽×高</w:t>
      </w:r>
      <w:r>
        <w:rPr>
          <w:rFonts w:hint="eastAsia"/>
          <w:highlight w:val="black"/>
        </w:rPr>
        <w:t>）</w:t>
      </w:r>
      <w:r>
        <w:rPr>
          <w:highlight w:val="black"/>
        </w:rPr>
        <w:t>：</w:t>
      </w:r>
      <w:r>
        <w:rPr>
          <w:rFonts w:hint="eastAsia"/>
          <w:highlight w:val="black"/>
        </w:rPr>
        <w:t>8540</w:t>
      </w:r>
      <w:r>
        <w:rPr>
          <w:highlight w:val="black"/>
        </w:rPr>
        <w:t>×2</w:t>
      </w:r>
      <w:r>
        <w:rPr>
          <w:rFonts w:hint="eastAsia"/>
          <w:highlight w:val="black"/>
        </w:rPr>
        <w:t>55</w:t>
      </w:r>
      <w:r>
        <w:rPr>
          <w:highlight w:val="black"/>
        </w:rPr>
        <w:t>0×</w:t>
      </w:r>
      <w:r>
        <w:rPr>
          <w:rFonts w:hint="eastAsia"/>
          <w:highlight w:val="black"/>
        </w:rPr>
        <w:t>32</w:t>
      </w:r>
      <w:r>
        <w:rPr>
          <w:highlight w:val="black"/>
        </w:rPr>
        <w:t>00mm，额定载重</w:t>
      </w:r>
      <w:r>
        <w:rPr>
          <w:rFonts w:hint="eastAsia"/>
          <w:highlight w:val="black"/>
        </w:rPr>
        <w:t>40</w:t>
      </w:r>
      <w:r>
        <w:rPr>
          <w:highlight w:val="black"/>
        </w:rPr>
        <w:t>t，柴油机额定功率</w:t>
      </w:r>
      <w:r>
        <w:rPr>
          <w:rFonts w:hint="eastAsia"/>
          <w:highlight w:val="black"/>
        </w:rPr>
        <w:t>309</w:t>
      </w:r>
      <w:r>
        <w:rPr>
          <w:highlight w:val="black"/>
        </w:rPr>
        <w:t>kW，最小转弯半径</w:t>
      </w:r>
      <w:r>
        <w:rPr>
          <w:rFonts w:hint="eastAsia"/>
          <w:highlight w:val="black"/>
        </w:rPr>
        <w:t>15m</w:t>
      </w:r>
      <w:r>
        <w:rPr>
          <w:highlight w:val="black"/>
        </w:rPr>
        <w:t>m</w:t>
      </w:r>
      <w:bookmarkEnd w:id="167"/>
      <w:r>
        <w:rPr>
          <w:highlight w:val="black"/>
        </w:rPr>
        <w:t>。装有尾气净化装置</w:t>
      </w:r>
      <w:bookmarkStart w:id="168" w:name="_Hlk118447374"/>
      <w:r>
        <w:rPr>
          <w:rFonts w:hint="eastAsia"/>
          <w:highlight w:val="black"/>
        </w:rPr>
        <w:t>（</w:t>
      </w:r>
      <w:r>
        <w:rPr>
          <w:highlight w:val="black"/>
        </w:rPr>
        <w:t>水净化</w:t>
      </w:r>
      <w:bookmarkEnd w:id="168"/>
      <w:r>
        <w:rPr>
          <w:rFonts w:hint="eastAsia"/>
          <w:highlight w:val="black"/>
        </w:rPr>
        <w:t>）</w:t>
      </w:r>
      <w:r>
        <w:rPr>
          <w:highlight w:val="black"/>
        </w:rPr>
        <w:t>，负责运输矿岩。该车为定型产品，质量可靠，经安全认证，取得安标证书，</w:t>
      </w:r>
      <w:r>
        <w:rPr>
          <w:rFonts w:hint="eastAsia"/>
          <w:highlight w:val="black"/>
        </w:rPr>
        <w:t>并具备应急转向功能，</w:t>
      </w:r>
      <w:r>
        <w:rPr>
          <w:highlight w:val="black"/>
        </w:rPr>
        <w:t>该车故障率低，适合井下运输</w:t>
      </w:r>
      <w:bookmarkEnd w:id="166"/>
      <w:r>
        <w:rPr>
          <w:rFonts w:hint="eastAsia"/>
          <w:highlight w:val="black"/>
        </w:rPr>
        <w:t>。</w:t>
      </w:r>
    </w:p>
    <w:p w14:paraId="21AACE7D">
      <w:pPr>
        <w:ind w:firstLine="583"/>
        <w:rPr>
          <w:highlight w:val="black"/>
        </w:rPr>
      </w:pPr>
      <w:bookmarkStart w:id="169" w:name="_Toc27209"/>
      <w:r>
        <w:rPr>
          <w:highlight w:val="black"/>
        </w:rPr>
        <w:t>设计选用</w:t>
      </w:r>
      <w:r>
        <w:rPr>
          <w:rFonts w:hint="eastAsia"/>
          <w:highlight w:val="black"/>
        </w:rPr>
        <w:t>4</w:t>
      </w:r>
      <w:r>
        <w:rPr>
          <w:highlight w:val="black"/>
        </w:rPr>
        <w:t>台</w:t>
      </w:r>
      <w:r>
        <w:rPr>
          <w:rFonts w:hint="eastAsia"/>
          <w:highlight w:val="black"/>
        </w:rPr>
        <w:t>3</w:t>
      </w:r>
      <w:r>
        <w:rPr>
          <w:highlight w:val="black"/>
        </w:rPr>
        <w:t>m</w:t>
      </w:r>
      <w:r>
        <w:rPr>
          <w:highlight w:val="black"/>
          <w:vertAlign w:val="superscript"/>
        </w:rPr>
        <w:t>3</w:t>
      </w:r>
      <w:r>
        <w:rPr>
          <w:highlight w:val="black"/>
        </w:rPr>
        <w:t>WJ</w:t>
      </w:r>
      <w:r>
        <w:rPr>
          <w:rFonts w:hint="eastAsia"/>
          <w:highlight w:val="black"/>
        </w:rPr>
        <w:t>D</w:t>
      </w:r>
      <w:r>
        <w:rPr>
          <w:highlight w:val="black"/>
        </w:rPr>
        <w:t>-</w:t>
      </w:r>
      <w:r>
        <w:rPr>
          <w:rFonts w:hint="eastAsia"/>
          <w:highlight w:val="black"/>
        </w:rPr>
        <w:t>3</w:t>
      </w:r>
      <w:r>
        <w:rPr>
          <w:highlight w:val="black"/>
        </w:rPr>
        <w:t>型</w:t>
      </w:r>
      <w:r>
        <w:rPr>
          <w:rFonts w:hint="eastAsia"/>
          <w:highlight w:val="black"/>
        </w:rPr>
        <w:t>电动</w:t>
      </w:r>
      <w:r>
        <w:rPr>
          <w:highlight w:val="black"/>
        </w:rPr>
        <w:t>铲运机，此型号铲运机具有非煤矿山安标证书的定型产品，适合井下铲装作业。WJ</w:t>
      </w:r>
      <w:r>
        <w:rPr>
          <w:rFonts w:hint="eastAsia"/>
          <w:highlight w:val="black"/>
        </w:rPr>
        <w:t>D</w:t>
      </w:r>
      <w:r>
        <w:rPr>
          <w:highlight w:val="black"/>
        </w:rPr>
        <w:t>-</w:t>
      </w:r>
      <w:r>
        <w:rPr>
          <w:rFonts w:hint="eastAsia"/>
          <w:highlight w:val="black"/>
        </w:rPr>
        <w:t>3</w:t>
      </w:r>
      <w:r>
        <w:rPr>
          <w:highlight w:val="black"/>
        </w:rPr>
        <w:t>型柴油铲运机具体参数见下表。</w:t>
      </w:r>
    </w:p>
    <w:p w14:paraId="30C06435">
      <w:pPr>
        <w:spacing w:line="240" w:lineRule="auto"/>
        <w:ind w:firstLine="0" w:firstLineChars="0"/>
        <w:jc w:val="center"/>
        <w:rPr>
          <w:b/>
          <w:sz w:val="21"/>
          <w:szCs w:val="21"/>
        </w:rPr>
      </w:pPr>
      <w:r>
        <w:rPr>
          <w:rFonts w:hint="eastAsia"/>
          <w:b/>
          <w:sz w:val="21"/>
          <w:szCs w:val="21"/>
        </w:rPr>
        <w:t>表2-15</w:t>
      </w:r>
      <w:r>
        <w:rPr>
          <w:b/>
          <w:sz w:val="21"/>
          <w:szCs w:val="21"/>
        </w:rPr>
        <w:t xml:space="preserve"> </w:t>
      </w:r>
      <w:r>
        <w:rPr>
          <w:rFonts w:hint="eastAsia"/>
          <w:b/>
          <w:sz w:val="21"/>
          <w:szCs w:val="21"/>
        </w:rPr>
        <w:t>铲运机详细参数表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1071"/>
        <w:gridCol w:w="2199"/>
        <w:gridCol w:w="2731"/>
      </w:tblGrid>
      <w:tr w14:paraId="4D73E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pct"/>
            <w:tcBorders>
              <w:tl2br w:val="nil"/>
              <w:tr2bl w:val="nil"/>
            </w:tcBorders>
            <w:shd w:val="clear" w:color="000000" w:fill="FFFFFF"/>
            <w:vAlign w:val="center"/>
          </w:tcPr>
          <w:p w14:paraId="5FD11414">
            <w:pPr>
              <w:snapToGrid w:val="0"/>
              <w:spacing w:line="240" w:lineRule="atLeast"/>
              <w:ind w:firstLine="0" w:firstLineChars="0"/>
              <w:jc w:val="center"/>
              <w:rPr>
                <w:sz w:val="21"/>
                <w:highlight w:val="black"/>
              </w:rPr>
            </w:pPr>
            <w:r>
              <w:rPr>
                <w:sz w:val="21"/>
                <w:highlight w:val="black"/>
              </w:rPr>
              <w:t>型号</w:t>
            </w:r>
          </w:p>
        </w:tc>
        <w:tc>
          <w:tcPr>
            <w:tcW w:w="3463" w:type="pct"/>
            <w:gridSpan w:val="3"/>
            <w:tcBorders>
              <w:tl2br w:val="nil"/>
              <w:tr2bl w:val="nil"/>
            </w:tcBorders>
            <w:shd w:val="clear" w:color="000000" w:fill="FFFFFF"/>
            <w:vAlign w:val="center"/>
          </w:tcPr>
          <w:p w14:paraId="72FC2066">
            <w:pPr>
              <w:snapToGrid w:val="0"/>
              <w:spacing w:line="240" w:lineRule="atLeast"/>
              <w:ind w:firstLine="0" w:firstLineChars="0"/>
              <w:jc w:val="center"/>
              <w:rPr>
                <w:sz w:val="21"/>
                <w:highlight w:val="black"/>
              </w:rPr>
            </w:pPr>
            <w:r>
              <w:rPr>
                <w:sz w:val="21"/>
                <w:highlight w:val="black"/>
              </w:rPr>
              <w:t>WJD-3</w:t>
            </w:r>
          </w:p>
        </w:tc>
      </w:tr>
      <w:tr w14:paraId="727E5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pct"/>
            <w:tcBorders>
              <w:tl2br w:val="nil"/>
              <w:tr2bl w:val="nil"/>
            </w:tcBorders>
            <w:shd w:val="clear" w:color="000000" w:fill="FFFFFF"/>
            <w:vAlign w:val="center"/>
          </w:tcPr>
          <w:p w14:paraId="71838969">
            <w:pPr>
              <w:snapToGrid w:val="0"/>
              <w:spacing w:line="240" w:lineRule="atLeast"/>
              <w:ind w:firstLine="0" w:firstLineChars="0"/>
              <w:jc w:val="center"/>
              <w:rPr>
                <w:sz w:val="21"/>
                <w:highlight w:val="black"/>
              </w:rPr>
            </w:pPr>
            <w:r>
              <w:rPr>
                <w:sz w:val="21"/>
                <w:highlight w:val="black"/>
              </w:rPr>
              <w:t>斗容量m</w:t>
            </w:r>
            <w:r>
              <w:rPr>
                <w:sz w:val="21"/>
                <w:highlight w:val="black"/>
                <w:vertAlign w:val="superscript"/>
              </w:rPr>
              <w:t>3</w:t>
            </w:r>
          </w:p>
        </w:tc>
        <w:tc>
          <w:tcPr>
            <w:tcW w:w="618" w:type="pct"/>
            <w:tcBorders>
              <w:tl2br w:val="nil"/>
              <w:tr2bl w:val="nil"/>
            </w:tcBorders>
            <w:shd w:val="clear" w:color="000000" w:fill="FFFFFF"/>
            <w:vAlign w:val="center"/>
          </w:tcPr>
          <w:p w14:paraId="5E3B6DCA">
            <w:pPr>
              <w:snapToGrid w:val="0"/>
              <w:spacing w:line="240" w:lineRule="atLeast"/>
              <w:ind w:firstLine="0" w:firstLineChars="0"/>
              <w:jc w:val="center"/>
              <w:rPr>
                <w:sz w:val="21"/>
                <w:highlight w:val="black"/>
              </w:rPr>
            </w:pPr>
            <w:r>
              <w:rPr>
                <w:sz w:val="21"/>
                <w:highlight w:val="black"/>
              </w:rPr>
              <w:t>3</w:t>
            </w:r>
          </w:p>
        </w:tc>
        <w:tc>
          <w:tcPr>
            <w:tcW w:w="1269" w:type="pct"/>
            <w:tcBorders>
              <w:tl2br w:val="nil"/>
              <w:tr2bl w:val="nil"/>
            </w:tcBorders>
            <w:shd w:val="clear" w:color="000000" w:fill="FFFFFF"/>
            <w:vAlign w:val="center"/>
          </w:tcPr>
          <w:p w14:paraId="28EFC6E9">
            <w:pPr>
              <w:snapToGrid w:val="0"/>
              <w:spacing w:line="240" w:lineRule="atLeast"/>
              <w:ind w:firstLine="0" w:firstLineChars="0"/>
              <w:jc w:val="center"/>
              <w:rPr>
                <w:sz w:val="21"/>
                <w:highlight w:val="black"/>
              </w:rPr>
            </w:pPr>
            <w:r>
              <w:rPr>
                <w:sz w:val="21"/>
                <w:highlight w:val="black"/>
              </w:rPr>
              <w:t>长×宽×高mm</w:t>
            </w:r>
          </w:p>
        </w:tc>
        <w:tc>
          <w:tcPr>
            <w:tcW w:w="1576" w:type="pct"/>
            <w:tcBorders>
              <w:tl2br w:val="nil"/>
              <w:tr2bl w:val="nil"/>
            </w:tcBorders>
            <w:shd w:val="clear" w:color="000000" w:fill="FFFFFF"/>
            <w:vAlign w:val="center"/>
          </w:tcPr>
          <w:p w14:paraId="11AE9B09">
            <w:pPr>
              <w:snapToGrid w:val="0"/>
              <w:spacing w:line="240" w:lineRule="atLeast"/>
              <w:ind w:firstLine="0" w:firstLineChars="0"/>
              <w:jc w:val="center"/>
              <w:rPr>
                <w:sz w:val="21"/>
                <w:highlight w:val="black"/>
              </w:rPr>
            </w:pPr>
            <w:r>
              <w:rPr>
                <w:sz w:val="21"/>
                <w:highlight w:val="black"/>
              </w:rPr>
              <w:t>9091×2355×2255</w:t>
            </w:r>
          </w:p>
        </w:tc>
      </w:tr>
      <w:tr w14:paraId="533AB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pct"/>
            <w:tcBorders>
              <w:tl2br w:val="nil"/>
              <w:tr2bl w:val="nil"/>
            </w:tcBorders>
            <w:shd w:val="clear" w:color="000000" w:fill="FFFFFF"/>
            <w:vAlign w:val="center"/>
          </w:tcPr>
          <w:p w14:paraId="7430C474">
            <w:pPr>
              <w:snapToGrid w:val="0"/>
              <w:spacing w:line="240" w:lineRule="atLeast"/>
              <w:ind w:firstLine="0" w:firstLineChars="0"/>
              <w:jc w:val="center"/>
              <w:rPr>
                <w:sz w:val="21"/>
                <w:highlight w:val="black"/>
              </w:rPr>
            </w:pPr>
            <w:r>
              <w:rPr>
                <w:sz w:val="21"/>
                <w:highlight w:val="black"/>
              </w:rPr>
              <w:t>额定载重量T</w:t>
            </w:r>
          </w:p>
        </w:tc>
        <w:tc>
          <w:tcPr>
            <w:tcW w:w="618" w:type="pct"/>
            <w:tcBorders>
              <w:tl2br w:val="nil"/>
              <w:tr2bl w:val="nil"/>
            </w:tcBorders>
            <w:shd w:val="clear" w:color="000000" w:fill="FFFFFF"/>
            <w:vAlign w:val="center"/>
          </w:tcPr>
          <w:p w14:paraId="0DED888F">
            <w:pPr>
              <w:snapToGrid w:val="0"/>
              <w:spacing w:line="240" w:lineRule="atLeast"/>
              <w:ind w:firstLine="0" w:firstLineChars="0"/>
              <w:jc w:val="center"/>
              <w:rPr>
                <w:sz w:val="21"/>
                <w:highlight w:val="black"/>
              </w:rPr>
            </w:pPr>
            <w:r>
              <w:rPr>
                <w:sz w:val="21"/>
                <w:highlight w:val="black"/>
              </w:rPr>
              <w:t>7</w:t>
            </w:r>
          </w:p>
        </w:tc>
        <w:tc>
          <w:tcPr>
            <w:tcW w:w="1269" w:type="pct"/>
            <w:tcBorders>
              <w:tl2br w:val="nil"/>
              <w:tr2bl w:val="nil"/>
            </w:tcBorders>
            <w:shd w:val="clear" w:color="000000" w:fill="FFFFFF"/>
            <w:vAlign w:val="center"/>
          </w:tcPr>
          <w:p w14:paraId="6C9C9782">
            <w:pPr>
              <w:snapToGrid w:val="0"/>
              <w:spacing w:line="240" w:lineRule="atLeast"/>
              <w:ind w:firstLine="0" w:firstLineChars="0"/>
              <w:jc w:val="center"/>
              <w:rPr>
                <w:sz w:val="21"/>
                <w:highlight w:val="black"/>
              </w:rPr>
            </w:pPr>
            <w:r>
              <w:rPr>
                <w:sz w:val="21"/>
                <w:highlight w:val="black"/>
                <w:shd w:val="clear" w:color="auto" w:fill="FFFFFF"/>
              </w:rPr>
              <w:t>最大铲取力</w:t>
            </w:r>
            <w:r>
              <w:rPr>
                <w:rFonts w:hint="eastAsia"/>
                <w:sz w:val="21"/>
                <w:highlight w:val="black"/>
                <w:shd w:val="clear" w:color="auto" w:fill="FFFFFF"/>
              </w:rPr>
              <w:t>（</w:t>
            </w:r>
            <w:r>
              <w:rPr>
                <w:sz w:val="21"/>
                <w:highlight w:val="black"/>
                <w:shd w:val="clear" w:color="auto" w:fill="FFFFFF"/>
              </w:rPr>
              <w:t>kN</w:t>
            </w:r>
            <w:r>
              <w:rPr>
                <w:rFonts w:hint="eastAsia"/>
                <w:sz w:val="21"/>
                <w:highlight w:val="black"/>
                <w:shd w:val="clear" w:color="auto" w:fill="FFFFFF"/>
              </w:rPr>
              <w:t>）</w:t>
            </w:r>
          </w:p>
        </w:tc>
        <w:tc>
          <w:tcPr>
            <w:tcW w:w="1576" w:type="pct"/>
            <w:tcBorders>
              <w:tl2br w:val="nil"/>
              <w:tr2bl w:val="nil"/>
            </w:tcBorders>
            <w:shd w:val="clear" w:color="000000" w:fill="FFFFFF"/>
            <w:vAlign w:val="center"/>
          </w:tcPr>
          <w:p w14:paraId="4E6D53F5">
            <w:pPr>
              <w:snapToGrid w:val="0"/>
              <w:spacing w:line="240" w:lineRule="atLeast"/>
              <w:ind w:firstLine="0" w:firstLineChars="0"/>
              <w:jc w:val="center"/>
              <w:rPr>
                <w:sz w:val="21"/>
                <w:highlight w:val="black"/>
              </w:rPr>
            </w:pPr>
            <w:r>
              <w:rPr>
                <w:sz w:val="21"/>
                <w:highlight w:val="black"/>
              </w:rPr>
              <w:t>290</w:t>
            </w:r>
          </w:p>
        </w:tc>
      </w:tr>
      <w:tr w14:paraId="6CFF9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pct"/>
            <w:tcBorders>
              <w:tl2br w:val="nil"/>
              <w:tr2bl w:val="nil"/>
            </w:tcBorders>
            <w:shd w:val="clear" w:color="000000" w:fill="FFFFFF"/>
            <w:vAlign w:val="center"/>
          </w:tcPr>
          <w:p w14:paraId="0D80B898">
            <w:pPr>
              <w:snapToGrid w:val="0"/>
              <w:spacing w:line="240" w:lineRule="atLeast"/>
              <w:ind w:firstLine="0" w:firstLineChars="0"/>
              <w:jc w:val="center"/>
              <w:rPr>
                <w:sz w:val="21"/>
                <w:highlight w:val="black"/>
              </w:rPr>
            </w:pPr>
            <w:r>
              <w:rPr>
                <w:sz w:val="21"/>
                <w:highlight w:val="black"/>
              </w:rPr>
              <w:t>电动机功率kW</w:t>
            </w:r>
          </w:p>
        </w:tc>
        <w:tc>
          <w:tcPr>
            <w:tcW w:w="618" w:type="pct"/>
            <w:tcBorders>
              <w:tl2br w:val="nil"/>
              <w:tr2bl w:val="nil"/>
            </w:tcBorders>
            <w:shd w:val="clear" w:color="000000" w:fill="FFFFFF"/>
            <w:vAlign w:val="center"/>
          </w:tcPr>
          <w:p w14:paraId="1E3658D7">
            <w:pPr>
              <w:snapToGrid w:val="0"/>
              <w:spacing w:line="240" w:lineRule="atLeast"/>
              <w:ind w:firstLine="0" w:firstLineChars="0"/>
              <w:jc w:val="center"/>
              <w:rPr>
                <w:sz w:val="21"/>
                <w:highlight w:val="black"/>
              </w:rPr>
            </w:pPr>
            <w:r>
              <w:rPr>
                <w:sz w:val="21"/>
                <w:highlight w:val="black"/>
              </w:rPr>
              <w:t>90</w:t>
            </w:r>
          </w:p>
        </w:tc>
        <w:tc>
          <w:tcPr>
            <w:tcW w:w="1269" w:type="pct"/>
            <w:tcBorders>
              <w:tl2br w:val="nil"/>
              <w:tr2bl w:val="nil"/>
            </w:tcBorders>
            <w:shd w:val="clear" w:color="000000" w:fill="FFFFFF"/>
            <w:vAlign w:val="center"/>
          </w:tcPr>
          <w:p w14:paraId="25FAFDBC">
            <w:pPr>
              <w:snapToGrid w:val="0"/>
              <w:spacing w:line="240" w:lineRule="atLeast"/>
              <w:ind w:firstLine="0" w:firstLineChars="0"/>
              <w:jc w:val="center"/>
              <w:rPr>
                <w:sz w:val="21"/>
                <w:highlight w:val="black"/>
              </w:rPr>
            </w:pPr>
            <w:r>
              <w:rPr>
                <w:sz w:val="21"/>
                <w:highlight w:val="black"/>
                <w:shd w:val="clear" w:color="auto" w:fill="FFFFFF"/>
              </w:rPr>
              <w:t>最大牵引力</w:t>
            </w:r>
            <w:r>
              <w:rPr>
                <w:rFonts w:hint="eastAsia"/>
                <w:sz w:val="21"/>
                <w:highlight w:val="black"/>
                <w:shd w:val="clear" w:color="auto" w:fill="FFFFFF"/>
              </w:rPr>
              <w:t>（</w:t>
            </w:r>
            <w:r>
              <w:rPr>
                <w:sz w:val="21"/>
                <w:highlight w:val="black"/>
                <w:shd w:val="clear" w:color="auto" w:fill="FFFFFF"/>
              </w:rPr>
              <w:t>kN</w:t>
            </w:r>
            <w:r>
              <w:rPr>
                <w:rFonts w:hint="eastAsia"/>
                <w:sz w:val="21"/>
                <w:highlight w:val="black"/>
                <w:shd w:val="clear" w:color="auto" w:fill="FFFFFF"/>
              </w:rPr>
              <w:t>）</w:t>
            </w:r>
          </w:p>
        </w:tc>
        <w:tc>
          <w:tcPr>
            <w:tcW w:w="1576" w:type="pct"/>
            <w:tcBorders>
              <w:tl2br w:val="nil"/>
              <w:tr2bl w:val="nil"/>
            </w:tcBorders>
            <w:shd w:val="clear" w:color="000000" w:fill="FFFFFF"/>
            <w:vAlign w:val="center"/>
          </w:tcPr>
          <w:p w14:paraId="28E4CFAB">
            <w:pPr>
              <w:snapToGrid w:val="0"/>
              <w:spacing w:line="240" w:lineRule="atLeast"/>
              <w:ind w:firstLine="0" w:firstLineChars="0"/>
              <w:jc w:val="center"/>
              <w:rPr>
                <w:sz w:val="21"/>
                <w:highlight w:val="black"/>
              </w:rPr>
            </w:pPr>
            <w:r>
              <w:rPr>
                <w:sz w:val="21"/>
                <w:highlight w:val="black"/>
              </w:rPr>
              <w:t>2750</w:t>
            </w:r>
          </w:p>
        </w:tc>
      </w:tr>
      <w:tr w14:paraId="62EAE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pct"/>
            <w:tcBorders>
              <w:tl2br w:val="nil"/>
              <w:tr2bl w:val="nil"/>
            </w:tcBorders>
            <w:shd w:val="clear" w:color="000000" w:fill="FFFFFF"/>
            <w:vAlign w:val="center"/>
          </w:tcPr>
          <w:p w14:paraId="24B86C47">
            <w:pPr>
              <w:snapToGrid w:val="0"/>
              <w:spacing w:line="240" w:lineRule="atLeast"/>
              <w:ind w:firstLine="0" w:firstLineChars="0"/>
              <w:jc w:val="center"/>
              <w:rPr>
                <w:sz w:val="21"/>
                <w:highlight w:val="black"/>
              </w:rPr>
            </w:pPr>
            <w:r>
              <w:rPr>
                <w:sz w:val="21"/>
                <w:highlight w:val="black"/>
              </w:rPr>
              <w:t>最小转弯半径</w:t>
            </w:r>
            <w:r>
              <w:rPr>
                <w:rFonts w:hint="eastAsia"/>
                <w:sz w:val="21"/>
                <w:highlight w:val="black"/>
              </w:rPr>
              <w:t>（</w:t>
            </w:r>
            <w:r>
              <w:rPr>
                <w:sz w:val="21"/>
                <w:highlight w:val="black"/>
              </w:rPr>
              <w:t>mm</w:t>
            </w:r>
            <w:r>
              <w:rPr>
                <w:rFonts w:hint="eastAsia"/>
                <w:sz w:val="21"/>
                <w:highlight w:val="black"/>
              </w:rPr>
              <w:t>）</w:t>
            </w:r>
          </w:p>
        </w:tc>
        <w:tc>
          <w:tcPr>
            <w:tcW w:w="618" w:type="pct"/>
            <w:tcBorders>
              <w:tl2br w:val="nil"/>
              <w:tr2bl w:val="nil"/>
            </w:tcBorders>
            <w:shd w:val="clear" w:color="000000" w:fill="FFFFFF"/>
            <w:vAlign w:val="center"/>
          </w:tcPr>
          <w:p w14:paraId="521EAA32">
            <w:pPr>
              <w:snapToGrid w:val="0"/>
              <w:spacing w:line="240" w:lineRule="atLeast"/>
              <w:ind w:firstLine="0" w:firstLineChars="0"/>
              <w:jc w:val="center"/>
              <w:rPr>
                <w:sz w:val="21"/>
                <w:highlight w:val="black"/>
              </w:rPr>
            </w:pPr>
            <w:r>
              <w:rPr>
                <w:sz w:val="21"/>
                <w:highlight w:val="black"/>
              </w:rPr>
              <w:t>4470</w:t>
            </w:r>
          </w:p>
        </w:tc>
        <w:tc>
          <w:tcPr>
            <w:tcW w:w="1269" w:type="pct"/>
            <w:tcBorders>
              <w:tl2br w:val="nil"/>
              <w:tr2bl w:val="nil"/>
            </w:tcBorders>
            <w:shd w:val="clear" w:color="000000" w:fill="FFFFFF"/>
            <w:vAlign w:val="center"/>
          </w:tcPr>
          <w:p w14:paraId="7D742829">
            <w:pPr>
              <w:snapToGrid w:val="0"/>
              <w:spacing w:line="240" w:lineRule="atLeast"/>
              <w:ind w:firstLine="0" w:firstLineChars="0"/>
              <w:jc w:val="center"/>
              <w:rPr>
                <w:sz w:val="21"/>
                <w:highlight w:val="black"/>
              </w:rPr>
            </w:pPr>
            <w:r>
              <w:rPr>
                <w:sz w:val="21"/>
                <w:highlight w:val="black"/>
                <w:shd w:val="clear" w:color="auto" w:fill="FFFFFF"/>
              </w:rPr>
              <w:t>重量</w:t>
            </w:r>
            <w:r>
              <w:rPr>
                <w:rFonts w:hint="eastAsia"/>
                <w:sz w:val="21"/>
                <w:highlight w:val="black"/>
                <w:shd w:val="clear" w:color="auto" w:fill="FFFFFF"/>
              </w:rPr>
              <w:t>（</w:t>
            </w:r>
            <w:r>
              <w:rPr>
                <w:sz w:val="21"/>
                <w:highlight w:val="black"/>
                <w:shd w:val="clear" w:color="auto" w:fill="FFFFFF"/>
              </w:rPr>
              <w:t>kg</w:t>
            </w:r>
            <w:r>
              <w:rPr>
                <w:rFonts w:hint="eastAsia"/>
                <w:sz w:val="21"/>
                <w:highlight w:val="black"/>
                <w:shd w:val="clear" w:color="auto" w:fill="FFFFFF"/>
              </w:rPr>
              <w:t>）</w:t>
            </w:r>
          </w:p>
        </w:tc>
        <w:tc>
          <w:tcPr>
            <w:tcW w:w="1576" w:type="pct"/>
            <w:tcBorders>
              <w:tl2br w:val="nil"/>
              <w:tr2bl w:val="nil"/>
            </w:tcBorders>
            <w:shd w:val="clear" w:color="000000" w:fill="FFFFFF"/>
            <w:vAlign w:val="center"/>
          </w:tcPr>
          <w:p w14:paraId="6C35B197">
            <w:pPr>
              <w:snapToGrid w:val="0"/>
              <w:spacing w:line="240" w:lineRule="atLeast"/>
              <w:ind w:firstLine="0" w:firstLineChars="0"/>
              <w:jc w:val="center"/>
              <w:rPr>
                <w:sz w:val="21"/>
                <w:highlight w:val="black"/>
              </w:rPr>
            </w:pPr>
            <w:r>
              <w:rPr>
                <w:sz w:val="21"/>
                <w:highlight w:val="black"/>
              </w:rPr>
              <w:t>1270</w:t>
            </w:r>
          </w:p>
        </w:tc>
      </w:tr>
      <w:tr w14:paraId="5B994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pct"/>
            <w:tcBorders>
              <w:tl2br w:val="nil"/>
              <w:tr2bl w:val="nil"/>
            </w:tcBorders>
            <w:shd w:val="clear" w:color="000000" w:fill="FFFFFF"/>
            <w:vAlign w:val="center"/>
          </w:tcPr>
          <w:p w14:paraId="67EF9BE3">
            <w:pPr>
              <w:snapToGrid w:val="0"/>
              <w:spacing w:line="240" w:lineRule="atLeast"/>
              <w:ind w:firstLine="0" w:firstLineChars="0"/>
              <w:jc w:val="center"/>
              <w:rPr>
                <w:sz w:val="21"/>
                <w:highlight w:val="black"/>
              </w:rPr>
            </w:pPr>
            <w:r>
              <w:rPr>
                <w:sz w:val="21"/>
                <w:highlight w:val="black"/>
              </w:rPr>
              <w:t>行走速度km/h</w:t>
            </w:r>
          </w:p>
        </w:tc>
        <w:tc>
          <w:tcPr>
            <w:tcW w:w="618" w:type="pct"/>
            <w:tcBorders>
              <w:tl2br w:val="nil"/>
              <w:tr2bl w:val="nil"/>
            </w:tcBorders>
            <w:shd w:val="clear" w:color="000000" w:fill="FFFFFF"/>
            <w:vAlign w:val="center"/>
          </w:tcPr>
          <w:p w14:paraId="6E3C3B03">
            <w:pPr>
              <w:snapToGrid w:val="0"/>
              <w:spacing w:line="240" w:lineRule="atLeast"/>
              <w:ind w:firstLine="0" w:firstLineChars="0"/>
              <w:jc w:val="center"/>
              <w:rPr>
                <w:sz w:val="21"/>
                <w:highlight w:val="black"/>
              </w:rPr>
            </w:pPr>
            <w:r>
              <w:rPr>
                <w:sz w:val="21"/>
                <w:highlight w:val="black"/>
              </w:rPr>
              <w:t>0-30</w:t>
            </w:r>
          </w:p>
        </w:tc>
        <w:tc>
          <w:tcPr>
            <w:tcW w:w="1269" w:type="pct"/>
            <w:tcBorders>
              <w:tl2br w:val="nil"/>
              <w:tr2bl w:val="nil"/>
            </w:tcBorders>
            <w:shd w:val="clear" w:color="000000" w:fill="FFFFFF"/>
            <w:vAlign w:val="center"/>
          </w:tcPr>
          <w:p w14:paraId="17B0E358">
            <w:pPr>
              <w:snapToGrid w:val="0"/>
              <w:spacing w:line="240" w:lineRule="atLeast"/>
              <w:ind w:firstLine="0" w:firstLineChars="0"/>
              <w:jc w:val="center"/>
              <w:rPr>
                <w:sz w:val="21"/>
                <w:highlight w:val="black"/>
              </w:rPr>
            </w:pPr>
            <w:r>
              <w:rPr>
                <w:rFonts w:hint="eastAsia"/>
                <w:sz w:val="21"/>
                <w:highlight w:val="black"/>
              </w:rPr>
              <w:t>最小转弯半径</w:t>
            </w:r>
            <w:r>
              <w:rPr>
                <w:sz w:val="21"/>
                <w:highlight w:val="black"/>
              </w:rPr>
              <w:t>mm</w:t>
            </w:r>
          </w:p>
        </w:tc>
        <w:tc>
          <w:tcPr>
            <w:tcW w:w="1576" w:type="pct"/>
            <w:tcBorders>
              <w:tl2br w:val="nil"/>
              <w:tr2bl w:val="nil"/>
            </w:tcBorders>
            <w:shd w:val="clear" w:color="000000" w:fill="FFFFFF"/>
            <w:vAlign w:val="center"/>
          </w:tcPr>
          <w:p w14:paraId="780E672E">
            <w:pPr>
              <w:snapToGrid w:val="0"/>
              <w:spacing w:line="240" w:lineRule="atLeast"/>
              <w:ind w:firstLine="0" w:firstLineChars="0"/>
              <w:jc w:val="center"/>
              <w:rPr>
                <w:sz w:val="21"/>
                <w:highlight w:val="black"/>
              </w:rPr>
            </w:pPr>
            <w:r>
              <w:rPr>
                <w:sz w:val="21"/>
                <w:highlight w:val="black"/>
              </w:rPr>
              <w:t>5952</w:t>
            </w:r>
          </w:p>
        </w:tc>
      </w:tr>
    </w:tbl>
    <w:p w14:paraId="21B00BCC">
      <w:pPr>
        <w:ind w:firstLine="583"/>
        <w:rPr>
          <w:highlight w:val="black"/>
        </w:rPr>
      </w:pPr>
      <w:r>
        <w:rPr>
          <w:rFonts w:hint="eastAsia"/>
          <w:highlight w:val="black"/>
        </w:rPr>
        <w:t>设计为井下工人购置一台RU-</w:t>
      </w:r>
      <w:r>
        <w:rPr>
          <w:highlight w:val="black"/>
        </w:rPr>
        <w:t>9</w:t>
      </w:r>
      <w:r>
        <w:rPr>
          <w:rFonts w:hint="eastAsia"/>
          <w:highlight w:val="black"/>
        </w:rPr>
        <w:t>型无轨人车，该车最大承载人数9人（含司机），外形尺寸（长×宽×高）：</w:t>
      </w:r>
      <w:r>
        <w:rPr>
          <w:highlight w:val="black"/>
        </w:rPr>
        <w:t>495</w:t>
      </w:r>
      <w:r>
        <w:rPr>
          <w:rFonts w:hint="eastAsia"/>
          <w:highlight w:val="black"/>
        </w:rPr>
        <w:t>0×2000×</w:t>
      </w:r>
      <w:r>
        <w:rPr>
          <w:highlight w:val="black"/>
        </w:rPr>
        <w:t>22</w:t>
      </w:r>
      <w:r>
        <w:rPr>
          <w:rFonts w:hint="eastAsia"/>
          <w:highlight w:val="black"/>
        </w:rPr>
        <w:t>00mm，额定载重</w:t>
      </w:r>
      <w:r>
        <w:rPr>
          <w:highlight w:val="black"/>
        </w:rPr>
        <w:t>900</w:t>
      </w:r>
      <w:r>
        <w:rPr>
          <w:rFonts w:hint="eastAsia"/>
          <w:highlight w:val="black"/>
        </w:rPr>
        <w:t>kg，柴油机额定功率88kW，最小转弯半径6.5m。装有尾气净化装置（D</w:t>
      </w:r>
      <w:r>
        <w:rPr>
          <w:highlight w:val="black"/>
        </w:rPr>
        <w:t>OC+</w:t>
      </w:r>
      <w:r>
        <w:rPr>
          <w:rFonts w:hint="eastAsia"/>
          <w:highlight w:val="black"/>
        </w:rPr>
        <w:t>消音器），负责运输人员。该车为定型产品，质量可靠，经安全认证，取得安标证书，该车故障率低，适合井下运输。</w:t>
      </w:r>
    </w:p>
    <w:bookmarkEnd w:id="169"/>
    <w:p w14:paraId="79C1524B">
      <w:pPr>
        <w:pStyle w:val="4"/>
        <w:ind w:firstLine="0" w:firstLineChars="0"/>
      </w:pPr>
      <w:r>
        <w:t>2.4.6采矿工艺</w:t>
      </w:r>
    </w:p>
    <w:p w14:paraId="087F0880">
      <w:pPr>
        <w:ind w:firstLine="583"/>
        <w:rPr>
          <w:highlight w:val="black"/>
        </w:rPr>
      </w:pPr>
      <w:bookmarkStart w:id="170" w:name="_Hlk185542865"/>
      <w:r>
        <w:rPr>
          <w:rFonts w:hint="eastAsia"/>
          <w:highlight w:val="black"/>
        </w:rPr>
        <w:t>本矿矿岩稳定性较好，矿体围岩均为斜长角闪片麻岩和二长花岗片麻岩，其岩石比较坚硬、稳固，岩石质量是极好的，可以保证矿山在空场开采时有较好的稳定性，保证人员及设备安全。但是本矿山周边有公路以及村庄，为防止地表塌陷威胁周边车辆及人员安全，本次设计采用空场法回采结束后立即对空区进行尾砂胶结充填，可以有效防止地表大规模沉降或塌陷。考虑本矿山开采矿体较多，且矿体形态较为复杂，拟选择两种采矿方法对不同形态矿体进行开采，其中对于厚度超过10m的中厚-厚矿体采用分段空场嗣后充填法，占比约81%；对于厚度小于10m以及小矿体采用全面法嗣后充填法的开采方法，占比约19%</w:t>
      </w:r>
      <w:bookmarkEnd w:id="170"/>
      <w:r>
        <w:rPr>
          <w:rFonts w:hint="eastAsia"/>
          <w:highlight w:val="black"/>
        </w:rPr>
        <w:t>。</w:t>
      </w:r>
    </w:p>
    <w:p w14:paraId="0C75D6B8">
      <w:pPr>
        <w:ind w:firstLine="0" w:firstLineChars="0"/>
        <w:rPr>
          <w:b/>
          <w:bCs/>
        </w:rPr>
      </w:pPr>
      <w:r>
        <w:rPr>
          <w:rFonts w:hint="eastAsia"/>
          <w:b/>
          <w:bCs/>
        </w:rPr>
        <w:t>2.4.6.1分段空场嗣后胶结充填法</w:t>
      </w:r>
    </w:p>
    <w:p w14:paraId="1FBAF782">
      <w:pPr>
        <w:ind w:firstLine="583"/>
        <w:rPr>
          <w:highlight w:val="black"/>
        </w:rPr>
      </w:pPr>
      <w:r>
        <w:rPr>
          <w:rFonts w:hint="eastAsia"/>
          <w:highlight w:val="black"/>
        </w:rPr>
        <w:t>（1）</w:t>
      </w:r>
      <w:r>
        <w:rPr>
          <w:highlight w:val="black"/>
        </w:rPr>
        <w:t>构成要素</w:t>
      </w:r>
    </w:p>
    <w:p w14:paraId="62B60593">
      <w:pPr>
        <w:ind w:firstLine="583"/>
        <w:rPr>
          <w:highlight w:val="black"/>
        </w:rPr>
      </w:pPr>
      <w:r>
        <w:rPr>
          <w:highlight w:val="black"/>
        </w:rPr>
        <w:t>对于主矿体Fe4以及Fe4-12，因为为缓倾斜矿体，且平面面积较大，故设计分盘区开采，沿走向150m，倾向100m划分为一个盘区，盘区内分割为多个开采采场。盘区与盘区之间留设不小于10m的间柱，间柱内布置开拓运输巷道。</w:t>
      </w:r>
    </w:p>
    <w:p w14:paraId="7C00BFF3">
      <w:pPr>
        <w:ind w:firstLine="583"/>
        <w:rPr>
          <w:highlight w:val="black"/>
        </w:rPr>
      </w:pPr>
      <w:r>
        <w:rPr>
          <w:highlight w:val="black"/>
        </w:rPr>
        <w:t>采场垂直走向布置，采场沿走向宽15m，沿倾向长30m，高10</w:t>
      </w:r>
      <w:r>
        <w:rPr>
          <w:rFonts w:hint="eastAsia"/>
          <w:highlight w:val="black"/>
        </w:rPr>
        <w:t>—</w:t>
      </w:r>
      <w:r>
        <w:rPr>
          <w:highlight w:val="black"/>
        </w:rPr>
        <w:t>15m，不设顶、底、间柱。厚大矿体垂向分两步开采，首先开采上部，然后开采下部。设计采用嗣后尾砂胶结充填，首先对矿房进行“隔一采一”，然后立即对回采结束后的矿房进行尾砂胶结充填，待充填体达到设计强度以后，再对中间矿房进行回采。</w:t>
      </w:r>
    </w:p>
    <w:p w14:paraId="43D0CE87">
      <w:pPr>
        <w:ind w:firstLine="583"/>
        <w:rPr>
          <w:highlight w:val="black"/>
        </w:rPr>
      </w:pPr>
      <w:r>
        <w:rPr>
          <w:rFonts w:hint="eastAsia"/>
          <w:highlight w:val="black"/>
        </w:rPr>
        <w:t>（2）</w:t>
      </w:r>
      <w:r>
        <w:rPr>
          <w:highlight w:val="black"/>
        </w:rPr>
        <w:t xml:space="preserve"> 采准切割</w:t>
      </w:r>
    </w:p>
    <w:p w14:paraId="3C8FF79F">
      <w:pPr>
        <w:ind w:firstLine="583"/>
        <w:rPr>
          <w:highlight w:val="black"/>
        </w:rPr>
      </w:pPr>
      <w:r>
        <w:rPr>
          <w:highlight w:val="black"/>
        </w:rPr>
        <w:t>采切工程包括盘区运输巷道，出矿联络道、出矿进路、分段巷道、凿岩联络道、凿岩巷道、通风天井、天井联络道、堑沟拉底和切割天井等。</w:t>
      </w:r>
    </w:p>
    <w:p w14:paraId="7A1B5BC9">
      <w:pPr>
        <w:ind w:firstLine="583"/>
        <w:rPr>
          <w:highlight w:val="black"/>
        </w:rPr>
      </w:pPr>
      <w:r>
        <w:rPr>
          <w:rFonts w:hint="eastAsia"/>
          <w:highlight w:val="black"/>
        </w:rPr>
        <w:t>（3）</w:t>
      </w:r>
      <w:r>
        <w:rPr>
          <w:highlight w:val="black"/>
        </w:rPr>
        <w:t>矿房回采</w:t>
      </w:r>
    </w:p>
    <w:p w14:paraId="069D23BC">
      <w:pPr>
        <w:ind w:firstLine="583"/>
        <w:rPr>
          <w:highlight w:val="black"/>
        </w:rPr>
      </w:pPr>
      <w:bookmarkStart w:id="171" w:name="_Hlk192886256"/>
      <w:r>
        <w:rPr>
          <w:highlight w:val="black"/>
        </w:rPr>
        <w:t>分段空场嗣后</w:t>
      </w:r>
      <w:r>
        <w:rPr>
          <w:rFonts w:hint="eastAsia"/>
          <w:highlight w:val="black"/>
        </w:rPr>
        <w:t>胶结</w:t>
      </w:r>
      <w:r>
        <w:rPr>
          <w:highlight w:val="black"/>
        </w:rPr>
        <w:t>充填采矿法采用中深孔凿岩，</w:t>
      </w:r>
      <w:r>
        <w:rPr>
          <w:rFonts w:hint="eastAsia"/>
          <w:highlight w:val="black"/>
        </w:rPr>
        <w:t>平底结构采用</w:t>
      </w:r>
      <w:r>
        <w:rPr>
          <w:highlight w:val="black"/>
        </w:rPr>
        <w:t>WJD-3</w:t>
      </w:r>
      <w:r>
        <w:rPr>
          <w:rFonts w:hint="eastAsia"/>
          <w:highlight w:val="black"/>
        </w:rPr>
        <w:t>电动</w:t>
      </w:r>
      <w:r>
        <w:rPr>
          <w:highlight w:val="black"/>
        </w:rPr>
        <w:t>铲运机</w:t>
      </w:r>
      <w:r>
        <w:rPr>
          <w:rFonts w:hint="eastAsia"/>
          <w:highlight w:val="black"/>
        </w:rPr>
        <w:t>加装远程操控设备</w:t>
      </w:r>
      <w:r>
        <w:rPr>
          <w:highlight w:val="black"/>
        </w:rPr>
        <w:t>出矿方式，嗣后充填的回采工艺</w:t>
      </w:r>
      <w:bookmarkEnd w:id="171"/>
      <w:r>
        <w:rPr>
          <w:highlight w:val="black"/>
        </w:rPr>
        <w:t>。</w:t>
      </w:r>
    </w:p>
    <w:p w14:paraId="5570A48F">
      <w:pPr>
        <w:ind w:firstLine="583"/>
        <w:rPr>
          <w:highlight w:val="black"/>
        </w:rPr>
      </w:pPr>
      <w:r>
        <w:rPr>
          <w:highlight w:val="black"/>
        </w:rPr>
        <w:t>使用中深孔落矿，采用中深孔凿岩钻机凿上向扇形孔，炮孔直径Φ76mm，炮孔排距1.5m～2m，孔底距3m～4m。每一循环钻2排孔，每次爆破1～2排炮孔。采用井下装药车装药，非电起爆系统起爆。采用中深孔拉槽法形成切割天井，以切割天井为自由面形成切割槽，以切割槽为自由面侧向崩矿，崩下矿石利用铲运机运至采场底部的穿脉巷道，直接装自卸汽车，通过盘区运输巷道运出采场。</w:t>
      </w:r>
    </w:p>
    <w:p w14:paraId="5D65E3CE">
      <w:pPr>
        <w:ind w:firstLine="583"/>
        <w:rPr>
          <w:highlight w:val="black"/>
        </w:rPr>
      </w:pPr>
      <w:r>
        <w:rPr>
          <w:rFonts w:hint="eastAsia"/>
          <w:highlight w:val="black"/>
        </w:rPr>
        <w:t>上下中段同时回采时，上中段应至少超前下中段一个矿房，且不得小于20m。</w:t>
      </w:r>
    </w:p>
    <w:p w14:paraId="28E13838">
      <w:pPr>
        <w:ind w:firstLine="583"/>
        <w:rPr>
          <w:highlight w:val="black"/>
        </w:rPr>
      </w:pPr>
      <w:r>
        <w:rPr>
          <w:rFonts w:hint="eastAsia"/>
          <w:highlight w:val="black"/>
        </w:rPr>
        <w:t>（4）</w:t>
      </w:r>
      <w:r>
        <w:rPr>
          <w:highlight w:val="black"/>
        </w:rPr>
        <w:t>矿柱回采与采空区胶结充填</w:t>
      </w:r>
    </w:p>
    <w:p w14:paraId="22728413">
      <w:pPr>
        <w:ind w:firstLine="583"/>
        <w:rPr>
          <w:rFonts w:hint="eastAsia"/>
          <w:highlight w:val="black"/>
        </w:rPr>
      </w:pPr>
      <w:r>
        <w:rPr>
          <w:rFonts w:hint="eastAsia"/>
          <w:highlight w:val="black"/>
        </w:rPr>
        <w:t>为保护地表稳定，设计盘区矿柱(包括间柱及顶柱)均不予回收。开采结束后的采空区设计利用全尾砂胶结充填的方式处理。</w:t>
      </w:r>
    </w:p>
    <w:p w14:paraId="654C43AD">
      <w:pPr>
        <w:ind w:firstLine="583"/>
        <w:rPr>
          <w:rFonts w:hint="eastAsia"/>
          <w:highlight w:val="black"/>
        </w:rPr>
      </w:pPr>
      <w:r>
        <w:rPr>
          <w:rFonts w:hint="eastAsia"/>
          <w:highlight w:val="black"/>
        </w:rPr>
        <w:t>充填准备：矿块回采结束后，即进行充填准备工作。采场充填准备工作主要是做好采场的密闭工作，除预留泄水孔和观察通道外，使整个采场与周围其他井巷隔开，以防止充填料的流失和污染。之后做好脱水准备，从采场最上部的巷道中吊挂波纹滤水管，在采场底部将波纹滤水管敷设至充填泄水隔墙并穿过充填泄水隔墙，以排出采场内充填体的渗水。</w:t>
      </w:r>
    </w:p>
    <w:p w14:paraId="05AB0135">
      <w:pPr>
        <w:ind w:firstLine="583"/>
        <w:rPr>
          <w:rFonts w:hint="eastAsia"/>
          <w:highlight w:val="black"/>
        </w:rPr>
      </w:pPr>
      <w:r>
        <w:rPr>
          <w:rFonts w:hint="eastAsia"/>
          <w:highlight w:val="black"/>
        </w:rPr>
        <w:t>架设充填管路：充填水平的支管采用聚乙烯塑料管接至采场。充填前，自主充填管路向采场顶部敷设充填管，并仔细检查整个充填管路系统，确保充填控制阀启闭灵敏，管路完好、无堵塞。</w:t>
      </w:r>
    </w:p>
    <w:p w14:paraId="500CFD05">
      <w:pPr>
        <w:ind w:firstLine="583"/>
        <w:rPr>
          <w:rFonts w:hint="eastAsia"/>
          <w:highlight w:val="black"/>
        </w:rPr>
      </w:pPr>
      <w:r>
        <w:rPr>
          <w:rFonts w:hint="eastAsia"/>
          <w:highlight w:val="black"/>
        </w:rPr>
        <w:t>充填作业：矿房回采结束后应立即进行嗣后充填，本次设计采用全尾砂料浆胶结充填方案。在完成充填准备工作后，由充填钻孔向空区内充填灰砂比为1:8~1:4且浓度为68%左右的充填料浆，直至采场充满为止，充填体养护时间为28d。对局部未接顶的充填作业面，利用上中段对应的出矿巷道进行充填，直至充填料顶面与巷道底板面一致。为减少爆破对充填体的震动破坏，不得在充填体两侧同时进行二步采矿块回采。</w:t>
      </w:r>
    </w:p>
    <w:p w14:paraId="4BAE0A69">
      <w:pPr>
        <w:ind w:firstLine="583"/>
        <w:rPr>
          <w:rFonts w:hint="eastAsia"/>
          <w:highlight w:val="black"/>
        </w:rPr>
      </w:pPr>
      <w:r>
        <w:rPr>
          <w:rFonts w:hint="eastAsia"/>
          <w:highlight w:val="black"/>
        </w:rPr>
        <w:t>充填率不低于90%的情况下，可以满足充填质量要求。</w:t>
      </w:r>
    </w:p>
    <w:p w14:paraId="10AEB19F">
      <w:pPr>
        <w:ind w:firstLine="583"/>
        <w:rPr>
          <w:highlight w:val="black"/>
        </w:rPr>
      </w:pPr>
      <w:r>
        <w:rPr>
          <w:rFonts w:hint="eastAsia"/>
          <w:highlight w:val="black"/>
        </w:rPr>
        <w:t>（5）</w:t>
      </w:r>
      <w:r>
        <w:rPr>
          <w:highlight w:val="black"/>
        </w:rPr>
        <w:t>通风</w:t>
      </w:r>
    </w:p>
    <w:p w14:paraId="1C1DE9CB">
      <w:pPr>
        <w:ind w:firstLine="583"/>
        <w:rPr>
          <w:rFonts w:hint="eastAsia"/>
          <w:highlight w:val="black"/>
        </w:rPr>
      </w:pPr>
      <w:bookmarkStart w:id="172" w:name="_Hlk192887752"/>
      <w:r>
        <w:rPr>
          <w:rFonts w:hint="eastAsia"/>
          <w:highlight w:val="black"/>
        </w:rPr>
        <w:t>新鲜风流从分段运输巷道、凿岩巷道进入回采工作面，冲洗工作面以后从采场顶部回风穿脉进入盘区回风巷道，然后进入盘曲两侧通风天井内，最终引入上中段回风巷道内。</w:t>
      </w:r>
    </w:p>
    <w:bookmarkEnd w:id="172"/>
    <w:p w14:paraId="1AE06C05">
      <w:pPr>
        <w:ind w:firstLine="583"/>
        <w:rPr>
          <w:rFonts w:hint="eastAsia"/>
          <w:highlight w:val="black"/>
        </w:rPr>
      </w:pPr>
      <w:r>
        <w:rPr>
          <w:rFonts w:hint="eastAsia"/>
          <w:highlight w:val="black"/>
        </w:rPr>
        <w:t>采场用局扇加强通风。局部通风采用阻燃风筒。</w:t>
      </w:r>
    </w:p>
    <w:p w14:paraId="2A1239B7">
      <w:pPr>
        <w:ind w:firstLine="583"/>
        <w:rPr>
          <w:highlight w:val="black"/>
        </w:rPr>
      </w:pPr>
      <w:r>
        <w:rPr>
          <w:rFonts w:hint="eastAsia"/>
          <w:highlight w:val="black"/>
        </w:rPr>
        <w:t>（6）</w:t>
      </w:r>
      <w:r>
        <w:rPr>
          <w:highlight w:val="black"/>
        </w:rPr>
        <w:t>二次破碎</w:t>
      </w:r>
    </w:p>
    <w:p w14:paraId="183CF567">
      <w:pPr>
        <w:ind w:firstLine="583"/>
        <w:rPr>
          <w:highlight w:val="black"/>
        </w:rPr>
      </w:pPr>
      <w:r>
        <w:rPr>
          <w:highlight w:val="black"/>
        </w:rPr>
        <w:t>采场出矿最大块度控制在350mm以下，采场大块产出率按10%计算。采场采下的矿石块度大于350mm者需进行二次破碎。二次破碎采用UPL-20.4/700小型破碎台车进行二次破碎，需要碎石台车2台，禁止使用裸露药包进行二次爆破。</w:t>
      </w:r>
    </w:p>
    <w:p w14:paraId="759F34AD">
      <w:pPr>
        <w:pStyle w:val="4"/>
        <w:tabs>
          <w:tab w:val="left" w:pos="420"/>
        </w:tabs>
        <w:ind w:firstLine="0" w:firstLineChars="0"/>
      </w:pPr>
      <w:r>
        <w:rPr>
          <w:rFonts w:hint="eastAsia" w:cs="宋体"/>
          <w:bCs/>
        </w:rPr>
        <w:t>2.4.6.2</w:t>
      </w:r>
      <w:r>
        <w:rPr>
          <w:rFonts w:hint="eastAsia"/>
        </w:rPr>
        <w:t>全面法嗣后胶结充填法</w:t>
      </w:r>
    </w:p>
    <w:p w14:paraId="77B4BCE4">
      <w:pPr>
        <w:ind w:firstLine="583"/>
        <w:rPr>
          <w:highlight w:val="black"/>
        </w:rPr>
      </w:pPr>
      <w:r>
        <w:rPr>
          <w:rFonts w:hint="eastAsia"/>
          <w:highlight w:val="black"/>
        </w:rPr>
        <w:t>（1）</w:t>
      </w:r>
      <w:r>
        <w:rPr>
          <w:highlight w:val="black"/>
        </w:rPr>
        <w:t>矿块结构参数</w:t>
      </w:r>
    </w:p>
    <w:p w14:paraId="6BBF7455">
      <w:pPr>
        <w:ind w:firstLine="583"/>
        <w:rPr>
          <w:highlight w:val="black"/>
        </w:rPr>
      </w:pPr>
      <w:r>
        <w:rPr>
          <w:highlight w:val="black"/>
        </w:rPr>
        <w:t>除主矿体Fe4以及Fe4-12之外，其他矿体规模均较小，近乎水平且厚度小，设计采用全面法开采，并对开采结束后的采空区进行尾砂胶结充填。</w:t>
      </w:r>
    </w:p>
    <w:p w14:paraId="2ADEC44F">
      <w:pPr>
        <w:ind w:firstLine="583"/>
        <w:rPr>
          <w:highlight w:val="black"/>
        </w:rPr>
      </w:pPr>
      <w:r>
        <w:rPr>
          <w:highlight w:val="black"/>
        </w:rPr>
        <w:t>采场沿走向布置，采场沿走向长40m，宽15m，高为矿体厚度，顶柱3m，间柱宽5m，不设底柱。设计采用嗣后尾砂胶结充填，首先对矿房进行“隔一采一”，然后立即对回采结束后的矿房进行尾砂胶结充填，待充填体达到设计强度以后，再对中间矿房进行回采。</w:t>
      </w:r>
    </w:p>
    <w:p w14:paraId="3F1DE60A">
      <w:pPr>
        <w:ind w:firstLine="583"/>
        <w:rPr>
          <w:highlight w:val="black"/>
        </w:rPr>
      </w:pPr>
      <w:r>
        <w:rPr>
          <w:rFonts w:hint="eastAsia"/>
          <w:highlight w:val="black"/>
        </w:rPr>
        <w:t>（2）</w:t>
      </w:r>
      <w:r>
        <w:rPr>
          <w:highlight w:val="black"/>
        </w:rPr>
        <w:t>采切工作</w:t>
      </w:r>
    </w:p>
    <w:p w14:paraId="790ED137">
      <w:pPr>
        <w:ind w:firstLine="583"/>
        <w:rPr>
          <w:highlight w:val="black"/>
        </w:rPr>
      </w:pPr>
      <w:r>
        <w:rPr>
          <w:highlight w:val="black"/>
        </w:rPr>
        <w:t>采切工程主要有在矿房两侧布置上山与上阶段的运输巷贯通，兼做通风行人出口，规格2m×2m；在矿房底部布置切割平巷，作为回采的自由空间，规格2m×2m；矿房底部每隔5～8m布置1条装矿溜子，规格2m×2m；上山每隔10～15m布置1条联络道进入矿房，规格2m×2m。</w:t>
      </w:r>
    </w:p>
    <w:p w14:paraId="487D250A">
      <w:pPr>
        <w:ind w:firstLine="583"/>
        <w:rPr>
          <w:highlight w:val="black"/>
        </w:rPr>
      </w:pPr>
      <w:r>
        <w:rPr>
          <w:rFonts w:hint="eastAsia"/>
          <w:highlight w:val="black"/>
        </w:rPr>
        <w:t>（3）</w:t>
      </w:r>
      <w:r>
        <w:rPr>
          <w:highlight w:val="black"/>
        </w:rPr>
        <w:t>回采工作</w:t>
      </w:r>
    </w:p>
    <w:p w14:paraId="0402C66E">
      <w:pPr>
        <w:ind w:firstLine="583"/>
        <w:rPr>
          <w:highlight w:val="black"/>
        </w:rPr>
      </w:pPr>
      <w:r>
        <w:rPr>
          <w:highlight w:val="black"/>
        </w:rPr>
        <w:t>矿块的回采工作自切割上山开始，沿矿体走向从一侧天井开始向另一侧天井推进。相邻两个矿块可同时生产，一个凿岩，另一个出矿。</w:t>
      </w:r>
    </w:p>
    <w:p w14:paraId="79831C9C">
      <w:pPr>
        <w:ind w:firstLine="583"/>
        <w:rPr>
          <w:highlight w:val="black"/>
        </w:rPr>
      </w:pPr>
      <w:r>
        <w:rPr>
          <w:highlight w:val="black"/>
        </w:rPr>
        <w:t>矿房内沿倾斜方向分三个梯段，采用YT-28型凿岩机打水平炮孔，炮孔垂直工作面平行布置，孔距0.8~0.9m，排距0.9~1.0m，孔深1.8m。采用乳化炸药，人工装药，</w:t>
      </w:r>
      <w:r>
        <w:rPr>
          <w:rFonts w:hint="eastAsia"/>
          <w:highlight w:val="black"/>
        </w:rPr>
        <w:t>采用数码雷管</w:t>
      </w:r>
      <w:r>
        <w:rPr>
          <w:highlight w:val="black"/>
        </w:rPr>
        <w:t>一次微差爆破。</w:t>
      </w:r>
    </w:p>
    <w:p w14:paraId="35ED84C8">
      <w:pPr>
        <w:ind w:firstLine="583"/>
        <w:rPr>
          <w:highlight w:val="black"/>
        </w:rPr>
      </w:pPr>
      <w:bookmarkStart w:id="173" w:name="_Hlk59721651"/>
      <w:r>
        <w:rPr>
          <w:rFonts w:hint="eastAsia"/>
          <w:highlight w:val="black"/>
        </w:rPr>
        <w:t>出矿采用平底结构，</w:t>
      </w:r>
      <w:r>
        <w:rPr>
          <w:highlight w:val="black"/>
        </w:rPr>
        <w:t>采场崩落的矿石采用2JP-30型电耙直接</w:t>
      </w:r>
      <w:r>
        <w:rPr>
          <w:rFonts w:hint="eastAsia"/>
          <w:highlight w:val="black"/>
        </w:rPr>
        <w:t>耙至出矿穿脉内，然后由遥控铲运机装入自卸汽车内运出</w:t>
      </w:r>
      <w:r>
        <w:rPr>
          <w:highlight w:val="black"/>
        </w:rPr>
        <w:t>。</w:t>
      </w:r>
    </w:p>
    <w:bookmarkEnd w:id="173"/>
    <w:p w14:paraId="740BCD16">
      <w:pPr>
        <w:ind w:firstLine="583"/>
        <w:rPr>
          <w:highlight w:val="black"/>
        </w:rPr>
      </w:pPr>
      <w:r>
        <w:rPr>
          <w:highlight w:val="black"/>
        </w:rPr>
        <w:t>为了保护顶板，采场内根据顶板稳定情况留规则点柱，其边长</w:t>
      </w:r>
      <w:r>
        <w:rPr>
          <w:rFonts w:hint="eastAsia"/>
          <w:highlight w:val="black"/>
        </w:rPr>
        <w:t>（</w:t>
      </w:r>
      <w:r>
        <w:rPr>
          <w:highlight w:val="black"/>
        </w:rPr>
        <w:t>或直径</w:t>
      </w:r>
      <w:r>
        <w:rPr>
          <w:rFonts w:hint="eastAsia"/>
          <w:highlight w:val="black"/>
        </w:rPr>
        <w:t>）</w:t>
      </w:r>
      <w:r>
        <w:rPr>
          <w:highlight w:val="black"/>
        </w:rPr>
        <w:t>不小于3m。在岩石不稳固地段，应采用锚网支护。</w:t>
      </w:r>
    </w:p>
    <w:p w14:paraId="03C7BC6F">
      <w:pPr>
        <w:ind w:firstLine="583"/>
        <w:rPr>
          <w:highlight w:val="black"/>
        </w:rPr>
      </w:pPr>
      <w:r>
        <w:rPr>
          <w:rFonts w:hint="eastAsia"/>
          <w:highlight w:val="black"/>
        </w:rPr>
        <w:t>上下中段同时回采时，上中段应至少超前下中段一个矿房，且不得小于20m。</w:t>
      </w:r>
    </w:p>
    <w:p w14:paraId="2094901E">
      <w:pPr>
        <w:ind w:firstLine="583"/>
        <w:rPr>
          <w:highlight w:val="black"/>
        </w:rPr>
      </w:pPr>
      <w:r>
        <w:rPr>
          <w:rFonts w:hint="eastAsia"/>
          <w:highlight w:val="black"/>
        </w:rPr>
        <w:t>（4）</w:t>
      </w:r>
      <w:r>
        <w:rPr>
          <w:highlight w:val="black"/>
        </w:rPr>
        <w:t>矿柱回采与采空区胶结充填</w:t>
      </w:r>
    </w:p>
    <w:p w14:paraId="19FA6DDA">
      <w:pPr>
        <w:ind w:firstLine="583"/>
        <w:rPr>
          <w:rFonts w:hint="eastAsia"/>
          <w:highlight w:val="black"/>
        </w:rPr>
      </w:pPr>
      <w:r>
        <w:rPr>
          <w:rFonts w:hint="eastAsia"/>
          <w:highlight w:val="black"/>
        </w:rPr>
        <w:t>为保护地表稳定，设计盘区矿柱(包括间柱及顶柱)均不予回收。开采结束后的采空区设计利用全尾砂胶结充填的方式处理。</w:t>
      </w:r>
    </w:p>
    <w:p w14:paraId="597FAD65">
      <w:pPr>
        <w:ind w:firstLine="583"/>
        <w:rPr>
          <w:rFonts w:hint="eastAsia"/>
          <w:highlight w:val="black"/>
        </w:rPr>
      </w:pPr>
      <w:r>
        <w:rPr>
          <w:rFonts w:hint="eastAsia"/>
          <w:highlight w:val="black"/>
        </w:rPr>
        <w:t>充填准备：矿块回采结束后，即进行充填准备工作。采场充填准备工作主要是做好采场的密闭工作，除预留泄水孔和观察通道外，使整个采场与周围其他井巷隔开，以防止充填料的流失和污染。之后做好脱水准备，从采场最上部的巷道中吊挂波纹滤水管，在采场底部将波纹滤水管敷设至充填泄水隔墙并穿过充填泄水隔墙，以排出采场内充填体的渗水。</w:t>
      </w:r>
    </w:p>
    <w:p w14:paraId="5DFC52A4">
      <w:pPr>
        <w:ind w:firstLine="583"/>
        <w:rPr>
          <w:rFonts w:hint="eastAsia"/>
          <w:highlight w:val="black"/>
        </w:rPr>
      </w:pPr>
      <w:r>
        <w:rPr>
          <w:rFonts w:hint="eastAsia"/>
          <w:highlight w:val="black"/>
        </w:rPr>
        <w:t>架设充填管路：充填水平的支管采用聚乙烯塑料管接至采场。充填前，自主充填管路向采场顶部敷设充填管，并仔细检查整个充填管路系统，确保充填控制阀启闭灵敏，管路完好、无堵塞。</w:t>
      </w:r>
    </w:p>
    <w:p w14:paraId="24F90F20">
      <w:pPr>
        <w:ind w:firstLine="583"/>
        <w:rPr>
          <w:rFonts w:hint="eastAsia"/>
          <w:highlight w:val="black"/>
        </w:rPr>
      </w:pPr>
      <w:r>
        <w:rPr>
          <w:rFonts w:hint="eastAsia"/>
          <w:highlight w:val="black"/>
        </w:rPr>
        <w:t>充填作业：矿房回采结束后应立即进行嗣后充填，本次设计采用全尾砂料浆胶结充填方案。在完成充填准备工作后，由充填钻孔向空区内充填灰砂比为1:8~1:4且浓度为68%左右的充填料浆，直至采场充满为止，充填体养护时间为28d。对局部未接顶的充填作业面，利用上中段对应的出矿巷道进行充填，直至充填料顶面与巷道底板面一致。为减少爆破对充填体的震动破坏，不得在充填体两侧同时进行二步采矿块回采。</w:t>
      </w:r>
    </w:p>
    <w:p w14:paraId="6CC0E2E4">
      <w:pPr>
        <w:ind w:firstLine="583"/>
        <w:rPr>
          <w:highlight w:val="black"/>
        </w:rPr>
      </w:pPr>
      <w:r>
        <w:rPr>
          <w:rFonts w:hint="eastAsia"/>
          <w:highlight w:val="black"/>
        </w:rPr>
        <w:t>充填率不低于90%的情况下，可以满足充填质量要求</w:t>
      </w:r>
      <w:r>
        <w:rPr>
          <w:highlight w:val="black"/>
        </w:rPr>
        <w:t>。</w:t>
      </w:r>
    </w:p>
    <w:p w14:paraId="15799105">
      <w:pPr>
        <w:ind w:firstLine="583"/>
        <w:rPr>
          <w:highlight w:val="black"/>
        </w:rPr>
      </w:pPr>
      <w:r>
        <w:rPr>
          <w:rFonts w:hint="eastAsia"/>
          <w:highlight w:val="black"/>
        </w:rPr>
        <w:t>（5）</w:t>
      </w:r>
      <w:r>
        <w:rPr>
          <w:highlight w:val="black"/>
        </w:rPr>
        <w:t>通风</w:t>
      </w:r>
    </w:p>
    <w:p w14:paraId="73BD23BC">
      <w:pPr>
        <w:ind w:firstLine="583"/>
        <w:rPr>
          <w:highlight w:val="black"/>
        </w:rPr>
      </w:pPr>
      <w:bookmarkStart w:id="174" w:name="_Hlk59477059"/>
      <w:r>
        <w:rPr>
          <w:highlight w:val="black"/>
        </w:rPr>
        <w:t>爆破完成后需对采场进行机械通风，及时排出爆破产生的有害气体和粉尘。待采场内有害物质的浓度达到允许值后，工作人员方可进入作业面。新鲜风流经运输巷、切割天井进入采场，污风经通风逃生道从上中段的运输巷排出。每个采场配备局扇辅助通风。</w:t>
      </w:r>
      <w:bookmarkEnd w:id="174"/>
    </w:p>
    <w:p w14:paraId="3A10E8F8">
      <w:pPr>
        <w:pStyle w:val="4"/>
        <w:tabs>
          <w:tab w:val="left" w:pos="420"/>
        </w:tabs>
        <w:ind w:firstLine="0" w:firstLineChars="0"/>
      </w:pPr>
      <w:r>
        <w:rPr>
          <w:rFonts w:hint="eastAsia" w:cs="宋体"/>
          <w:bCs/>
        </w:rPr>
        <w:t>2.4.6.3</w:t>
      </w:r>
      <w:r>
        <w:rPr>
          <w:rFonts w:hint="eastAsia"/>
        </w:rPr>
        <w:t>充填</w:t>
      </w:r>
    </w:p>
    <w:p w14:paraId="35C64DBB">
      <w:pPr>
        <w:ind w:firstLine="583"/>
      </w:pPr>
      <w:r>
        <w:rPr>
          <w:rFonts w:hint="eastAsia"/>
        </w:rPr>
        <w:t>（1）充填方案</w:t>
      </w:r>
    </w:p>
    <w:p w14:paraId="13A0DE65">
      <w:pPr>
        <w:ind w:firstLine="583"/>
        <w:rPr>
          <w:highlight w:val="black"/>
        </w:rPr>
      </w:pPr>
      <w:r>
        <w:rPr>
          <w:rFonts w:hint="eastAsia"/>
          <w:highlight w:val="black"/>
        </w:rPr>
        <w:t>根据东北大学资源与土木工程学院于2024年11月编制的《本溪市昱蕴铁选有限公司大柳峪铁矿北采区充填实验与充填采场稳定性分析及结构参数优化研究项目研究报告》对充填方案进行了数值模拟研究。</w:t>
      </w:r>
    </w:p>
    <w:p w14:paraId="1D808BE8">
      <w:pPr>
        <w:ind w:firstLine="583"/>
        <w:rPr>
          <w:highlight w:val="black"/>
        </w:rPr>
      </w:pPr>
      <w:r>
        <w:rPr>
          <w:rFonts w:hint="eastAsia"/>
          <w:highlight w:val="black"/>
        </w:rPr>
        <w:t>1）综合分析全尾砂胶结充填和废石+充填料浆胶结充填两种模式的特点，考虑到全尾砂胶结充填体有更好的完整性，能够提高充填体强度，更好地控制采场地压和地表沉降，推荐采用全尾砂胶结充填（充填体强度不低于2MPa），且整体充填率不低于90%时，地表农田最大倾斜i=-0.06mm/m，最大曲率k=0.002×10</w:t>
      </w:r>
      <w:r>
        <w:rPr>
          <w:rFonts w:hint="eastAsia"/>
          <w:highlight w:val="black"/>
          <w:vertAlign w:val="superscript"/>
        </w:rPr>
        <w:t>-3</w:t>
      </w:r>
      <w:r>
        <w:rPr>
          <w:rFonts w:hint="eastAsia"/>
          <w:highlight w:val="black"/>
        </w:rPr>
        <w:t>/m，最大水平变形ε=-0.034mm/m；S304省道最大倾斜i=-0.009mm/m，最大曲率k=0.0005×10</w:t>
      </w:r>
      <w:r>
        <w:rPr>
          <w:rFonts w:hint="eastAsia"/>
          <w:highlight w:val="black"/>
          <w:vertAlign w:val="superscript"/>
        </w:rPr>
        <w:t>-3</w:t>
      </w:r>
      <w:r>
        <w:rPr>
          <w:rFonts w:hint="eastAsia"/>
          <w:highlight w:val="black"/>
        </w:rPr>
        <w:t>/m，最大水平变形ε=0.007mm/m；地表最大位移处最大倾斜i=-0.08mm/m，最大曲率k=0.0025×10</w:t>
      </w:r>
      <w:r>
        <w:rPr>
          <w:rFonts w:hint="eastAsia"/>
          <w:highlight w:val="black"/>
          <w:vertAlign w:val="superscript"/>
        </w:rPr>
        <w:t>-3</w:t>
      </w:r>
      <w:r>
        <w:rPr>
          <w:rFonts w:hint="eastAsia"/>
          <w:highlight w:val="black"/>
        </w:rPr>
        <w:t>/m，最大水平变形ε=0.026mm/m；地表最大位移处最大倾斜i=-0.05mm/m，最大曲率k=0.002×10</w:t>
      </w:r>
      <w:r>
        <w:rPr>
          <w:rFonts w:hint="eastAsia"/>
          <w:highlight w:val="black"/>
          <w:vertAlign w:val="superscript"/>
        </w:rPr>
        <w:t>-3</w:t>
      </w:r>
      <w:r>
        <w:rPr>
          <w:rFonts w:hint="eastAsia"/>
          <w:highlight w:val="black"/>
        </w:rPr>
        <w:t>/m，最大水平变形ε=-0.05mm/m。均符合相关规范要求，整体地表移动值未超过其安全规范极限值。</w:t>
      </w:r>
    </w:p>
    <w:p w14:paraId="6783F422">
      <w:pPr>
        <w:ind w:firstLine="583"/>
        <w:rPr>
          <w:highlight w:val="black"/>
        </w:rPr>
      </w:pPr>
      <w:r>
        <w:rPr>
          <w:rFonts w:hint="eastAsia"/>
          <w:highlight w:val="black"/>
        </w:rPr>
        <w:t>2）通过进行全尾砂不同料浆浓度（66%、68%、70%和72%）、不同灰砂比（1:4、1:6、1:8和1:10）不同养护时间（3d、7d、14d和28d）的胶结强度系统实验。根据实验结果，建议采用充填料浆浓度68%~70%（能够保证较好的料浆流动性）、灰砂比1:6，此时28d充填体强度为2.58~3.06MPa，满足充填体强度要求。</w:t>
      </w:r>
    </w:p>
    <w:p w14:paraId="4C39A6AD">
      <w:pPr>
        <w:ind w:firstLine="583"/>
        <w:rPr>
          <w:highlight w:val="black"/>
        </w:rPr>
      </w:pPr>
      <w:r>
        <w:rPr>
          <w:rFonts w:hint="eastAsia"/>
          <w:highlight w:val="black"/>
        </w:rPr>
        <w:t>3）通过数值模拟采场结构参数，研究发现采场跨度为15m和盘区间柱厚度为10m时，空区顶板与间柱应力水平低于岩体极限强度，盘区间柱无明显应力集中与塑性区贯通，空区整体可保持稳定。因此，为确保空区围岩与矿柱稳定，考虑到充填效果、充填成本、矿山经济效益等因素，建议采场跨度应不超过15m，盘区间柱厚度不低于10m。本次《可研报告》沿用该研究方案，进行井下采场充填方案设计。</w:t>
      </w:r>
    </w:p>
    <w:p w14:paraId="5ABC0B05">
      <w:pPr>
        <w:ind w:firstLine="583"/>
        <w:rPr>
          <w:highlight w:val="black"/>
        </w:rPr>
      </w:pPr>
      <w:r>
        <w:rPr>
          <w:rFonts w:hint="eastAsia"/>
          <w:highlight w:val="black"/>
          <w:lang w:val="sq-AL"/>
        </w:rPr>
        <w:t>（</w:t>
      </w:r>
      <w:r>
        <w:rPr>
          <w:rFonts w:hint="eastAsia"/>
          <w:highlight w:val="black"/>
        </w:rPr>
        <w:t>1</w:t>
      </w:r>
      <w:r>
        <w:rPr>
          <w:rFonts w:hint="eastAsia"/>
          <w:highlight w:val="black"/>
          <w:lang w:val="sq-AL"/>
        </w:rPr>
        <w:t>）</w:t>
      </w:r>
      <w:r>
        <w:rPr>
          <w:rFonts w:hint="eastAsia"/>
          <w:highlight w:val="black"/>
        </w:rPr>
        <w:t>充填材料</w:t>
      </w:r>
    </w:p>
    <w:p w14:paraId="7AFFA64A">
      <w:pPr>
        <w:ind w:firstLine="583"/>
        <w:rPr>
          <w:highlight w:val="black"/>
          <w:lang w:val="sq-AL"/>
        </w:rPr>
      </w:pPr>
      <w:r>
        <w:rPr>
          <w:rFonts w:hint="eastAsia"/>
          <w:highlight w:val="black"/>
          <w:lang w:val="sq-AL"/>
        </w:rPr>
        <w:t>充填材料的费用是构成充填成本的主要部分，因此在选择充填材料时，首先要保证充填材料来源广、成本低。</w:t>
      </w:r>
    </w:p>
    <w:p w14:paraId="3C9B5F2B">
      <w:pPr>
        <w:ind w:firstLine="583"/>
        <w:rPr>
          <w:highlight w:val="black"/>
          <w:lang w:val="sq-AL"/>
        </w:rPr>
      </w:pPr>
      <w:r>
        <w:rPr>
          <w:rFonts w:hint="eastAsia"/>
          <w:highlight w:val="black"/>
          <w:lang w:val="sq-AL"/>
        </w:rPr>
        <w:t>设计采用全尾砂充填料浆胶结充填的工艺，充填材料为尾砂和水泥。</w:t>
      </w:r>
    </w:p>
    <w:p w14:paraId="2F9EB8E2">
      <w:pPr>
        <w:ind w:firstLine="583"/>
        <w:rPr>
          <w:highlight w:val="black"/>
          <w:lang w:val="sq-AL"/>
        </w:rPr>
      </w:pPr>
      <w:r>
        <w:rPr>
          <w:rFonts w:hint="eastAsia"/>
          <w:highlight w:val="black"/>
          <w:lang w:val="sq-AL"/>
        </w:rPr>
        <w:t>本次设计选用的充填骨料为选厂排出的尾砂。既能就地取材让矿山固体废料资源化，节省材料成本，又可以解决尾矿排放问题，减少对环境的破坏、保护自然环境和远景资源，具有良好的经济效益和社会效益。</w:t>
      </w:r>
    </w:p>
    <w:p w14:paraId="77277BC8">
      <w:pPr>
        <w:ind w:firstLine="583"/>
        <w:rPr>
          <w:highlight w:val="black"/>
          <w:lang w:val="sq-AL"/>
        </w:rPr>
      </w:pPr>
      <w:r>
        <w:rPr>
          <w:rFonts w:hint="eastAsia"/>
          <w:highlight w:val="black"/>
          <w:lang w:val="sq-AL"/>
        </w:rPr>
        <w:t>充填胶凝材料选用水泥，密度3.1t/m</w:t>
      </w:r>
      <w:r>
        <w:rPr>
          <w:rFonts w:hint="eastAsia"/>
          <w:highlight w:val="black"/>
          <w:vertAlign w:val="superscript"/>
          <w:lang w:val="sq-AL"/>
        </w:rPr>
        <w:t>3</w:t>
      </w:r>
      <w:r>
        <w:rPr>
          <w:rFonts w:hint="eastAsia"/>
          <w:highlight w:val="black"/>
          <w:lang w:val="sq-AL"/>
        </w:rPr>
        <w:t>，松散体重1.3t/m</w:t>
      </w:r>
      <w:r>
        <w:rPr>
          <w:rFonts w:hint="eastAsia"/>
          <w:highlight w:val="black"/>
          <w:vertAlign w:val="superscript"/>
          <w:lang w:val="sq-AL"/>
        </w:rPr>
        <w:t>3</w:t>
      </w:r>
      <w:r>
        <w:rPr>
          <w:rFonts w:hint="eastAsia"/>
          <w:highlight w:val="black"/>
          <w:lang w:val="sq-AL"/>
        </w:rPr>
        <w:t>。</w:t>
      </w:r>
    </w:p>
    <w:p w14:paraId="40C4A503">
      <w:pPr>
        <w:ind w:firstLine="583"/>
      </w:pPr>
      <w:r>
        <w:rPr>
          <w:rFonts w:hint="eastAsia"/>
        </w:rPr>
        <w:t>（2）充填系统计算</w:t>
      </w:r>
    </w:p>
    <w:p w14:paraId="52FB3995">
      <w:pPr>
        <w:ind w:firstLine="583"/>
        <w:rPr>
          <w:highlight w:val="black"/>
          <w:lang w:val="sq-AL"/>
        </w:rPr>
      </w:pPr>
      <w:r>
        <w:rPr>
          <w:highlight w:val="black"/>
          <w:lang w:val="sq-AL"/>
        </w:rPr>
        <w:t>本矿山生产规模</w:t>
      </w:r>
      <w:r>
        <w:rPr>
          <w:rFonts w:hint="eastAsia"/>
          <w:highlight w:val="black"/>
          <w:lang w:val="sq-AL"/>
        </w:rPr>
        <w:t>8</w:t>
      </w:r>
      <w:r>
        <w:rPr>
          <w:highlight w:val="black"/>
          <w:lang w:val="sq-AL"/>
        </w:rPr>
        <w:t>0万t/a，工作天数3</w:t>
      </w:r>
      <w:r>
        <w:rPr>
          <w:rFonts w:hint="eastAsia"/>
          <w:highlight w:val="black"/>
          <w:lang w:val="sq-AL"/>
        </w:rPr>
        <w:t>0</w:t>
      </w:r>
      <w:r>
        <w:rPr>
          <w:highlight w:val="black"/>
          <w:lang w:val="sq-AL"/>
        </w:rPr>
        <w:t>0d/a。充填系统计算见下表。</w:t>
      </w:r>
    </w:p>
    <w:p w14:paraId="0ADCECA3">
      <w:pPr>
        <w:snapToGrid w:val="0"/>
        <w:spacing w:line="240" w:lineRule="auto"/>
        <w:ind w:firstLine="444"/>
        <w:jc w:val="center"/>
        <w:rPr>
          <w:b/>
          <w:sz w:val="21"/>
          <w:szCs w:val="21"/>
        </w:rPr>
      </w:pPr>
    </w:p>
    <w:p w14:paraId="586EE515">
      <w:pPr>
        <w:snapToGrid w:val="0"/>
        <w:spacing w:line="240" w:lineRule="auto"/>
        <w:ind w:firstLine="444"/>
        <w:jc w:val="center"/>
        <w:rPr>
          <w:b/>
          <w:sz w:val="21"/>
          <w:szCs w:val="21"/>
        </w:rPr>
      </w:pPr>
      <w:r>
        <w:rPr>
          <w:b/>
          <w:sz w:val="21"/>
          <w:szCs w:val="21"/>
        </w:rPr>
        <w:t>表</w:t>
      </w:r>
      <w:r>
        <w:rPr>
          <w:rFonts w:hint="eastAsia"/>
          <w:b/>
          <w:sz w:val="21"/>
          <w:szCs w:val="21"/>
        </w:rPr>
        <w:t>2-16</w:t>
      </w:r>
      <w:r>
        <w:rPr>
          <w:b/>
          <w:sz w:val="21"/>
          <w:szCs w:val="21"/>
        </w:rPr>
        <w:t xml:space="preserve"> 工程充填系统计算表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029"/>
        <w:gridCol w:w="3410"/>
        <w:gridCol w:w="1398"/>
        <w:gridCol w:w="1116"/>
      </w:tblGrid>
      <w:tr w14:paraId="6EFF7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7" w:type="pct"/>
            <w:tcBorders>
              <w:tl2br w:val="nil"/>
              <w:tr2bl w:val="nil"/>
            </w:tcBorders>
            <w:shd w:val="clear" w:color="auto" w:fill="auto"/>
            <w:vAlign w:val="center"/>
          </w:tcPr>
          <w:p w14:paraId="3157357D">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项目</w:t>
            </w:r>
          </w:p>
        </w:tc>
        <w:tc>
          <w:tcPr>
            <w:tcW w:w="594" w:type="pct"/>
            <w:tcBorders>
              <w:tl2br w:val="nil"/>
              <w:tr2bl w:val="nil"/>
            </w:tcBorders>
            <w:shd w:val="clear" w:color="auto" w:fill="auto"/>
            <w:vAlign w:val="center"/>
          </w:tcPr>
          <w:p w14:paraId="79ABD499">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序号</w:t>
            </w:r>
          </w:p>
        </w:tc>
        <w:tc>
          <w:tcPr>
            <w:tcW w:w="1968" w:type="pct"/>
            <w:tcBorders>
              <w:tl2br w:val="nil"/>
              <w:tr2bl w:val="nil"/>
            </w:tcBorders>
            <w:shd w:val="clear" w:color="auto" w:fill="auto"/>
            <w:vAlign w:val="center"/>
          </w:tcPr>
          <w:p w14:paraId="5007E9C4">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项目</w:t>
            </w:r>
          </w:p>
        </w:tc>
        <w:tc>
          <w:tcPr>
            <w:tcW w:w="807" w:type="pct"/>
            <w:tcBorders>
              <w:tl2br w:val="nil"/>
              <w:tr2bl w:val="nil"/>
            </w:tcBorders>
            <w:shd w:val="clear" w:color="auto" w:fill="auto"/>
            <w:vAlign w:val="center"/>
          </w:tcPr>
          <w:p w14:paraId="5A9FEB87">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单位</w:t>
            </w:r>
          </w:p>
        </w:tc>
        <w:tc>
          <w:tcPr>
            <w:tcW w:w="644" w:type="pct"/>
            <w:tcBorders>
              <w:tl2br w:val="nil"/>
              <w:tr2bl w:val="nil"/>
            </w:tcBorders>
            <w:shd w:val="clear" w:color="auto" w:fill="auto"/>
            <w:vAlign w:val="center"/>
          </w:tcPr>
          <w:p w14:paraId="441B8664">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数值</w:t>
            </w:r>
          </w:p>
        </w:tc>
      </w:tr>
      <w:tr w14:paraId="78134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restart"/>
            <w:tcBorders>
              <w:tl2br w:val="nil"/>
              <w:tr2bl w:val="nil"/>
            </w:tcBorders>
            <w:shd w:val="clear" w:color="auto" w:fill="auto"/>
            <w:vAlign w:val="center"/>
          </w:tcPr>
          <w:p w14:paraId="597E8E50">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参数</w:t>
            </w:r>
          </w:p>
        </w:tc>
        <w:tc>
          <w:tcPr>
            <w:tcW w:w="594" w:type="pct"/>
            <w:tcBorders>
              <w:tl2br w:val="nil"/>
              <w:tr2bl w:val="nil"/>
            </w:tcBorders>
            <w:shd w:val="clear" w:color="auto" w:fill="auto"/>
            <w:vAlign w:val="center"/>
          </w:tcPr>
          <w:p w14:paraId="67267118">
            <w:pPr>
              <w:widowControl/>
              <w:spacing w:line="240" w:lineRule="auto"/>
              <w:ind w:firstLine="0" w:firstLineChars="0"/>
              <w:jc w:val="center"/>
              <w:rPr>
                <w:kern w:val="0"/>
                <w:sz w:val="21"/>
                <w:szCs w:val="21"/>
                <w:highlight w:val="black"/>
              </w:rPr>
            </w:pPr>
            <w:r>
              <w:rPr>
                <w:kern w:val="0"/>
                <w:sz w:val="21"/>
                <w:szCs w:val="21"/>
                <w:highlight w:val="black"/>
              </w:rPr>
              <w:t>1</w:t>
            </w:r>
          </w:p>
        </w:tc>
        <w:tc>
          <w:tcPr>
            <w:tcW w:w="1968" w:type="pct"/>
            <w:tcBorders>
              <w:tl2br w:val="nil"/>
              <w:tr2bl w:val="nil"/>
            </w:tcBorders>
            <w:shd w:val="clear" w:color="auto" w:fill="auto"/>
            <w:vAlign w:val="center"/>
          </w:tcPr>
          <w:p w14:paraId="48CDA459">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矿山规模</w:t>
            </w:r>
          </w:p>
        </w:tc>
        <w:tc>
          <w:tcPr>
            <w:tcW w:w="807" w:type="pct"/>
            <w:tcBorders>
              <w:tl2br w:val="nil"/>
              <w:tr2bl w:val="nil"/>
            </w:tcBorders>
            <w:shd w:val="clear" w:color="auto" w:fill="auto"/>
            <w:vAlign w:val="center"/>
          </w:tcPr>
          <w:p w14:paraId="1426C320">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万</w:t>
            </w:r>
            <w:r>
              <w:rPr>
                <w:kern w:val="0"/>
                <w:sz w:val="21"/>
                <w:szCs w:val="21"/>
                <w:highlight w:val="black"/>
              </w:rPr>
              <w:t>t/a</w:t>
            </w:r>
          </w:p>
        </w:tc>
        <w:tc>
          <w:tcPr>
            <w:tcW w:w="644" w:type="pct"/>
            <w:tcBorders>
              <w:tl2br w:val="nil"/>
              <w:tr2bl w:val="nil"/>
            </w:tcBorders>
            <w:shd w:val="clear" w:color="auto" w:fill="auto"/>
            <w:vAlign w:val="center"/>
          </w:tcPr>
          <w:p w14:paraId="2E185F78">
            <w:pPr>
              <w:widowControl/>
              <w:spacing w:line="240" w:lineRule="auto"/>
              <w:ind w:firstLine="0" w:firstLineChars="0"/>
              <w:jc w:val="center"/>
              <w:rPr>
                <w:kern w:val="0"/>
                <w:sz w:val="21"/>
                <w:szCs w:val="21"/>
                <w:highlight w:val="black"/>
              </w:rPr>
            </w:pPr>
            <w:r>
              <w:rPr>
                <w:kern w:val="0"/>
                <w:sz w:val="21"/>
                <w:szCs w:val="21"/>
                <w:highlight w:val="black"/>
              </w:rPr>
              <w:t>80</w:t>
            </w:r>
          </w:p>
        </w:tc>
      </w:tr>
      <w:tr w14:paraId="0F6A6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16490DA0">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0B9C639B">
            <w:pPr>
              <w:widowControl/>
              <w:spacing w:line="240" w:lineRule="auto"/>
              <w:ind w:firstLine="0" w:firstLineChars="0"/>
              <w:jc w:val="center"/>
              <w:rPr>
                <w:kern w:val="0"/>
                <w:sz w:val="21"/>
                <w:szCs w:val="21"/>
                <w:highlight w:val="black"/>
              </w:rPr>
            </w:pPr>
            <w:r>
              <w:rPr>
                <w:kern w:val="0"/>
                <w:sz w:val="21"/>
                <w:szCs w:val="21"/>
                <w:highlight w:val="black"/>
              </w:rPr>
              <w:t>2</w:t>
            </w:r>
          </w:p>
        </w:tc>
        <w:tc>
          <w:tcPr>
            <w:tcW w:w="1968" w:type="pct"/>
            <w:tcBorders>
              <w:tl2br w:val="nil"/>
              <w:tr2bl w:val="nil"/>
            </w:tcBorders>
            <w:shd w:val="clear" w:color="auto" w:fill="auto"/>
            <w:vAlign w:val="center"/>
          </w:tcPr>
          <w:p w14:paraId="09A5F8CB">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矿石体重</w:t>
            </w:r>
          </w:p>
        </w:tc>
        <w:tc>
          <w:tcPr>
            <w:tcW w:w="807" w:type="pct"/>
            <w:tcBorders>
              <w:tl2br w:val="nil"/>
              <w:tr2bl w:val="nil"/>
            </w:tcBorders>
            <w:shd w:val="clear" w:color="auto" w:fill="auto"/>
            <w:vAlign w:val="center"/>
          </w:tcPr>
          <w:p w14:paraId="3F464229">
            <w:pPr>
              <w:widowControl/>
              <w:spacing w:line="240" w:lineRule="auto"/>
              <w:ind w:firstLine="0" w:firstLineChars="0"/>
              <w:jc w:val="center"/>
              <w:rPr>
                <w:kern w:val="0"/>
                <w:sz w:val="21"/>
                <w:szCs w:val="21"/>
                <w:highlight w:val="black"/>
              </w:rPr>
            </w:pPr>
            <w:r>
              <w:rPr>
                <w:kern w:val="0"/>
                <w:sz w:val="21"/>
                <w:szCs w:val="21"/>
                <w:highlight w:val="black"/>
              </w:rPr>
              <w:t>t/m</w:t>
            </w:r>
            <w:r>
              <w:rPr>
                <w:kern w:val="0"/>
                <w:sz w:val="21"/>
                <w:szCs w:val="21"/>
                <w:highlight w:val="black"/>
                <w:vertAlign w:val="superscript"/>
              </w:rPr>
              <w:t>3</w:t>
            </w:r>
          </w:p>
        </w:tc>
        <w:tc>
          <w:tcPr>
            <w:tcW w:w="644" w:type="pct"/>
            <w:tcBorders>
              <w:tl2br w:val="nil"/>
              <w:tr2bl w:val="nil"/>
            </w:tcBorders>
            <w:shd w:val="clear" w:color="auto" w:fill="auto"/>
            <w:vAlign w:val="center"/>
          </w:tcPr>
          <w:p w14:paraId="05650480">
            <w:pPr>
              <w:widowControl/>
              <w:spacing w:line="240" w:lineRule="auto"/>
              <w:ind w:firstLine="0" w:firstLineChars="0"/>
              <w:jc w:val="center"/>
              <w:rPr>
                <w:kern w:val="0"/>
                <w:sz w:val="21"/>
                <w:szCs w:val="21"/>
                <w:highlight w:val="black"/>
              </w:rPr>
            </w:pPr>
            <w:r>
              <w:rPr>
                <w:kern w:val="0"/>
                <w:sz w:val="21"/>
                <w:szCs w:val="21"/>
                <w:highlight w:val="black"/>
              </w:rPr>
              <w:t>3.36</w:t>
            </w:r>
          </w:p>
        </w:tc>
      </w:tr>
      <w:tr w14:paraId="79E3F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7F319550">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2C3A271C">
            <w:pPr>
              <w:widowControl/>
              <w:spacing w:line="240" w:lineRule="auto"/>
              <w:ind w:firstLine="0" w:firstLineChars="0"/>
              <w:jc w:val="center"/>
              <w:rPr>
                <w:kern w:val="0"/>
                <w:sz w:val="21"/>
                <w:szCs w:val="21"/>
                <w:highlight w:val="black"/>
              </w:rPr>
            </w:pPr>
            <w:r>
              <w:rPr>
                <w:kern w:val="0"/>
                <w:sz w:val="21"/>
                <w:szCs w:val="21"/>
                <w:highlight w:val="black"/>
              </w:rPr>
              <w:t>3</w:t>
            </w:r>
          </w:p>
        </w:tc>
        <w:tc>
          <w:tcPr>
            <w:tcW w:w="1968" w:type="pct"/>
            <w:tcBorders>
              <w:tl2br w:val="nil"/>
              <w:tr2bl w:val="nil"/>
            </w:tcBorders>
            <w:shd w:val="clear" w:color="auto" w:fill="auto"/>
            <w:vAlign w:val="center"/>
          </w:tcPr>
          <w:p w14:paraId="4DFB1930">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采充比</w:t>
            </w:r>
          </w:p>
        </w:tc>
        <w:tc>
          <w:tcPr>
            <w:tcW w:w="807" w:type="pct"/>
            <w:tcBorders>
              <w:tl2br w:val="nil"/>
              <w:tr2bl w:val="nil"/>
            </w:tcBorders>
            <w:shd w:val="clear" w:color="auto" w:fill="auto"/>
            <w:vAlign w:val="center"/>
          </w:tcPr>
          <w:p w14:paraId="3502333C">
            <w:pPr>
              <w:widowControl/>
              <w:spacing w:line="240" w:lineRule="auto"/>
              <w:ind w:firstLine="0" w:firstLineChars="0"/>
              <w:jc w:val="left"/>
              <w:rPr>
                <w:kern w:val="0"/>
                <w:sz w:val="20"/>
                <w:highlight w:val="black"/>
              </w:rPr>
            </w:pPr>
            <w:r>
              <w:rPr>
                <w:kern w:val="0"/>
                <w:sz w:val="20"/>
                <w:highlight w:val="black"/>
              </w:rPr>
              <w:t>　</w:t>
            </w:r>
          </w:p>
        </w:tc>
        <w:tc>
          <w:tcPr>
            <w:tcW w:w="644" w:type="pct"/>
            <w:tcBorders>
              <w:tl2br w:val="nil"/>
              <w:tr2bl w:val="nil"/>
            </w:tcBorders>
            <w:shd w:val="clear" w:color="auto" w:fill="auto"/>
            <w:vAlign w:val="center"/>
          </w:tcPr>
          <w:p w14:paraId="307454BF">
            <w:pPr>
              <w:widowControl/>
              <w:spacing w:line="240" w:lineRule="auto"/>
              <w:ind w:firstLine="0" w:firstLineChars="0"/>
              <w:jc w:val="center"/>
              <w:rPr>
                <w:kern w:val="0"/>
                <w:sz w:val="21"/>
                <w:szCs w:val="21"/>
                <w:highlight w:val="black"/>
              </w:rPr>
            </w:pPr>
            <w:r>
              <w:rPr>
                <w:kern w:val="0"/>
                <w:sz w:val="21"/>
                <w:szCs w:val="21"/>
                <w:highlight w:val="black"/>
              </w:rPr>
              <w:t>0.9</w:t>
            </w:r>
          </w:p>
        </w:tc>
      </w:tr>
      <w:tr w14:paraId="7BBBE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395F984A">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23621218">
            <w:pPr>
              <w:widowControl/>
              <w:spacing w:line="240" w:lineRule="auto"/>
              <w:ind w:firstLine="0" w:firstLineChars="0"/>
              <w:jc w:val="center"/>
              <w:rPr>
                <w:kern w:val="0"/>
                <w:sz w:val="21"/>
                <w:szCs w:val="21"/>
                <w:highlight w:val="black"/>
              </w:rPr>
            </w:pPr>
            <w:r>
              <w:rPr>
                <w:kern w:val="0"/>
                <w:sz w:val="21"/>
                <w:szCs w:val="21"/>
                <w:highlight w:val="black"/>
              </w:rPr>
              <w:t>4</w:t>
            </w:r>
          </w:p>
        </w:tc>
        <w:tc>
          <w:tcPr>
            <w:tcW w:w="1968" w:type="pct"/>
            <w:tcBorders>
              <w:tl2br w:val="nil"/>
              <w:tr2bl w:val="nil"/>
            </w:tcBorders>
            <w:shd w:val="clear" w:color="auto" w:fill="auto"/>
            <w:vAlign w:val="center"/>
          </w:tcPr>
          <w:p w14:paraId="045CF9F0">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年工作天数</w:t>
            </w:r>
          </w:p>
        </w:tc>
        <w:tc>
          <w:tcPr>
            <w:tcW w:w="807" w:type="pct"/>
            <w:tcBorders>
              <w:tl2br w:val="nil"/>
              <w:tr2bl w:val="nil"/>
            </w:tcBorders>
            <w:shd w:val="clear" w:color="auto" w:fill="auto"/>
            <w:vAlign w:val="center"/>
          </w:tcPr>
          <w:p w14:paraId="7DED3025">
            <w:pPr>
              <w:widowControl/>
              <w:spacing w:line="240" w:lineRule="auto"/>
              <w:ind w:firstLine="0" w:firstLineChars="0"/>
              <w:jc w:val="center"/>
              <w:rPr>
                <w:kern w:val="0"/>
                <w:sz w:val="21"/>
                <w:szCs w:val="21"/>
                <w:highlight w:val="black"/>
              </w:rPr>
            </w:pPr>
            <w:r>
              <w:rPr>
                <w:kern w:val="0"/>
                <w:sz w:val="21"/>
                <w:szCs w:val="21"/>
                <w:highlight w:val="black"/>
              </w:rPr>
              <w:t>d</w:t>
            </w:r>
          </w:p>
        </w:tc>
        <w:tc>
          <w:tcPr>
            <w:tcW w:w="644" w:type="pct"/>
            <w:tcBorders>
              <w:tl2br w:val="nil"/>
              <w:tr2bl w:val="nil"/>
            </w:tcBorders>
            <w:shd w:val="clear" w:color="auto" w:fill="auto"/>
            <w:vAlign w:val="center"/>
          </w:tcPr>
          <w:p w14:paraId="0F5CF1FB">
            <w:pPr>
              <w:widowControl/>
              <w:spacing w:line="240" w:lineRule="auto"/>
              <w:ind w:firstLine="0" w:firstLineChars="0"/>
              <w:jc w:val="center"/>
              <w:rPr>
                <w:kern w:val="0"/>
                <w:sz w:val="21"/>
                <w:szCs w:val="21"/>
                <w:highlight w:val="black"/>
              </w:rPr>
            </w:pPr>
            <w:r>
              <w:rPr>
                <w:kern w:val="0"/>
                <w:sz w:val="21"/>
                <w:szCs w:val="21"/>
                <w:highlight w:val="black"/>
              </w:rPr>
              <w:t>300</w:t>
            </w:r>
          </w:p>
        </w:tc>
      </w:tr>
      <w:tr w14:paraId="418A3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73445645">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1FAE7799">
            <w:pPr>
              <w:widowControl/>
              <w:spacing w:line="240" w:lineRule="auto"/>
              <w:ind w:firstLine="0" w:firstLineChars="0"/>
              <w:jc w:val="center"/>
              <w:rPr>
                <w:kern w:val="0"/>
                <w:sz w:val="21"/>
                <w:szCs w:val="21"/>
                <w:highlight w:val="black"/>
              </w:rPr>
            </w:pPr>
            <w:r>
              <w:rPr>
                <w:kern w:val="0"/>
                <w:sz w:val="21"/>
                <w:szCs w:val="21"/>
                <w:highlight w:val="black"/>
              </w:rPr>
              <w:t>5</w:t>
            </w:r>
          </w:p>
        </w:tc>
        <w:tc>
          <w:tcPr>
            <w:tcW w:w="1968" w:type="pct"/>
            <w:tcBorders>
              <w:tl2br w:val="nil"/>
              <w:tr2bl w:val="nil"/>
            </w:tcBorders>
            <w:shd w:val="clear" w:color="auto" w:fill="auto"/>
            <w:vAlign w:val="center"/>
          </w:tcPr>
          <w:p w14:paraId="032EFD08">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日充填小时数</w:t>
            </w:r>
          </w:p>
        </w:tc>
        <w:tc>
          <w:tcPr>
            <w:tcW w:w="807" w:type="pct"/>
            <w:tcBorders>
              <w:tl2br w:val="nil"/>
              <w:tr2bl w:val="nil"/>
            </w:tcBorders>
            <w:shd w:val="clear" w:color="auto" w:fill="auto"/>
            <w:vAlign w:val="center"/>
          </w:tcPr>
          <w:p w14:paraId="3CADC438">
            <w:pPr>
              <w:widowControl/>
              <w:spacing w:line="240" w:lineRule="auto"/>
              <w:ind w:firstLine="0" w:firstLineChars="0"/>
              <w:jc w:val="center"/>
              <w:rPr>
                <w:kern w:val="0"/>
                <w:sz w:val="21"/>
                <w:szCs w:val="21"/>
                <w:highlight w:val="black"/>
              </w:rPr>
            </w:pPr>
            <w:r>
              <w:rPr>
                <w:kern w:val="0"/>
                <w:sz w:val="21"/>
                <w:szCs w:val="21"/>
                <w:highlight w:val="black"/>
              </w:rPr>
              <w:t>h</w:t>
            </w:r>
          </w:p>
        </w:tc>
        <w:tc>
          <w:tcPr>
            <w:tcW w:w="644" w:type="pct"/>
            <w:tcBorders>
              <w:tl2br w:val="nil"/>
              <w:tr2bl w:val="nil"/>
            </w:tcBorders>
            <w:shd w:val="clear" w:color="auto" w:fill="auto"/>
            <w:vAlign w:val="center"/>
          </w:tcPr>
          <w:p w14:paraId="714D678B">
            <w:pPr>
              <w:widowControl/>
              <w:spacing w:line="240" w:lineRule="auto"/>
              <w:ind w:firstLine="0" w:firstLineChars="0"/>
              <w:jc w:val="center"/>
              <w:rPr>
                <w:kern w:val="0"/>
                <w:sz w:val="21"/>
                <w:szCs w:val="21"/>
                <w:highlight w:val="black"/>
              </w:rPr>
            </w:pPr>
            <w:r>
              <w:rPr>
                <w:kern w:val="0"/>
                <w:sz w:val="21"/>
                <w:szCs w:val="21"/>
                <w:highlight w:val="black"/>
              </w:rPr>
              <w:t>20</w:t>
            </w:r>
          </w:p>
        </w:tc>
      </w:tr>
      <w:tr w14:paraId="70367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6D64A2AC">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48C18E08">
            <w:pPr>
              <w:widowControl/>
              <w:spacing w:line="240" w:lineRule="auto"/>
              <w:ind w:firstLine="0" w:firstLineChars="0"/>
              <w:jc w:val="center"/>
              <w:rPr>
                <w:kern w:val="0"/>
                <w:sz w:val="21"/>
                <w:szCs w:val="21"/>
                <w:highlight w:val="black"/>
              </w:rPr>
            </w:pPr>
            <w:r>
              <w:rPr>
                <w:kern w:val="0"/>
                <w:sz w:val="21"/>
                <w:szCs w:val="21"/>
                <w:highlight w:val="black"/>
              </w:rPr>
              <w:t>6</w:t>
            </w:r>
          </w:p>
        </w:tc>
        <w:tc>
          <w:tcPr>
            <w:tcW w:w="1968" w:type="pct"/>
            <w:tcBorders>
              <w:tl2br w:val="nil"/>
              <w:tr2bl w:val="nil"/>
            </w:tcBorders>
            <w:shd w:val="clear" w:color="auto" w:fill="auto"/>
            <w:vAlign w:val="center"/>
          </w:tcPr>
          <w:p w14:paraId="447291F6">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充填料流失系数</w:t>
            </w:r>
          </w:p>
        </w:tc>
        <w:tc>
          <w:tcPr>
            <w:tcW w:w="807" w:type="pct"/>
            <w:tcBorders>
              <w:tl2br w:val="nil"/>
              <w:tr2bl w:val="nil"/>
            </w:tcBorders>
            <w:shd w:val="clear" w:color="auto" w:fill="auto"/>
            <w:vAlign w:val="center"/>
          </w:tcPr>
          <w:p w14:paraId="7A566806">
            <w:pPr>
              <w:widowControl/>
              <w:spacing w:line="240" w:lineRule="auto"/>
              <w:ind w:firstLine="0" w:firstLineChars="0"/>
              <w:jc w:val="left"/>
              <w:rPr>
                <w:kern w:val="0"/>
                <w:sz w:val="20"/>
                <w:highlight w:val="black"/>
              </w:rPr>
            </w:pPr>
            <w:r>
              <w:rPr>
                <w:kern w:val="0"/>
                <w:sz w:val="20"/>
                <w:highlight w:val="black"/>
              </w:rPr>
              <w:t>　</w:t>
            </w:r>
          </w:p>
        </w:tc>
        <w:tc>
          <w:tcPr>
            <w:tcW w:w="644" w:type="pct"/>
            <w:tcBorders>
              <w:tl2br w:val="nil"/>
              <w:tr2bl w:val="nil"/>
            </w:tcBorders>
            <w:shd w:val="clear" w:color="auto" w:fill="auto"/>
            <w:vAlign w:val="center"/>
          </w:tcPr>
          <w:p w14:paraId="5FE1B054">
            <w:pPr>
              <w:widowControl/>
              <w:spacing w:line="240" w:lineRule="auto"/>
              <w:ind w:firstLine="0" w:firstLineChars="0"/>
              <w:jc w:val="center"/>
              <w:rPr>
                <w:kern w:val="0"/>
                <w:sz w:val="21"/>
                <w:szCs w:val="21"/>
                <w:highlight w:val="black"/>
              </w:rPr>
            </w:pPr>
            <w:r>
              <w:rPr>
                <w:kern w:val="0"/>
                <w:sz w:val="21"/>
                <w:szCs w:val="21"/>
                <w:highlight w:val="black"/>
              </w:rPr>
              <w:t>1.03</w:t>
            </w:r>
          </w:p>
        </w:tc>
      </w:tr>
      <w:tr w14:paraId="5D3C5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740C72D8">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1C9EC2AE">
            <w:pPr>
              <w:widowControl/>
              <w:spacing w:line="240" w:lineRule="auto"/>
              <w:ind w:firstLine="0" w:firstLineChars="0"/>
              <w:jc w:val="center"/>
              <w:rPr>
                <w:kern w:val="0"/>
                <w:sz w:val="21"/>
                <w:szCs w:val="21"/>
                <w:highlight w:val="black"/>
              </w:rPr>
            </w:pPr>
            <w:r>
              <w:rPr>
                <w:kern w:val="0"/>
                <w:sz w:val="21"/>
                <w:szCs w:val="21"/>
                <w:highlight w:val="black"/>
              </w:rPr>
              <w:t>7</w:t>
            </w:r>
          </w:p>
        </w:tc>
        <w:tc>
          <w:tcPr>
            <w:tcW w:w="1968" w:type="pct"/>
            <w:tcBorders>
              <w:tl2br w:val="nil"/>
              <w:tr2bl w:val="nil"/>
            </w:tcBorders>
            <w:shd w:val="clear" w:color="auto" w:fill="auto"/>
            <w:vAlign w:val="center"/>
          </w:tcPr>
          <w:p w14:paraId="119F4A95">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充填料空区沉缩比</w:t>
            </w:r>
          </w:p>
        </w:tc>
        <w:tc>
          <w:tcPr>
            <w:tcW w:w="807" w:type="pct"/>
            <w:tcBorders>
              <w:tl2br w:val="nil"/>
              <w:tr2bl w:val="nil"/>
            </w:tcBorders>
            <w:shd w:val="clear" w:color="auto" w:fill="auto"/>
            <w:vAlign w:val="center"/>
          </w:tcPr>
          <w:p w14:paraId="26FCE08A">
            <w:pPr>
              <w:widowControl/>
              <w:spacing w:line="240" w:lineRule="auto"/>
              <w:ind w:firstLine="0" w:firstLineChars="0"/>
              <w:jc w:val="left"/>
              <w:rPr>
                <w:kern w:val="0"/>
                <w:sz w:val="20"/>
                <w:highlight w:val="black"/>
              </w:rPr>
            </w:pPr>
            <w:r>
              <w:rPr>
                <w:kern w:val="0"/>
                <w:sz w:val="20"/>
                <w:highlight w:val="black"/>
              </w:rPr>
              <w:t>　</w:t>
            </w:r>
          </w:p>
        </w:tc>
        <w:tc>
          <w:tcPr>
            <w:tcW w:w="644" w:type="pct"/>
            <w:tcBorders>
              <w:tl2br w:val="nil"/>
              <w:tr2bl w:val="nil"/>
            </w:tcBorders>
            <w:shd w:val="clear" w:color="auto" w:fill="auto"/>
            <w:vAlign w:val="center"/>
          </w:tcPr>
          <w:p w14:paraId="4E3EE0A1">
            <w:pPr>
              <w:widowControl/>
              <w:spacing w:line="240" w:lineRule="auto"/>
              <w:ind w:firstLine="0" w:firstLineChars="0"/>
              <w:jc w:val="center"/>
              <w:rPr>
                <w:kern w:val="0"/>
                <w:sz w:val="21"/>
                <w:szCs w:val="21"/>
                <w:highlight w:val="black"/>
              </w:rPr>
            </w:pPr>
            <w:r>
              <w:rPr>
                <w:kern w:val="0"/>
                <w:sz w:val="21"/>
                <w:szCs w:val="21"/>
                <w:highlight w:val="black"/>
              </w:rPr>
              <w:t>1.1</w:t>
            </w:r>
          </w:p>
        </w:tc>
      </w:tr>
      <w:tr w14:paraId="56C77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6F4DFB17">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1DA69798">
            <w:pPr>
              <w:widowControl/>
              <w:spacing w:line="240" w:lineRule="auto"/>
              <w:ind w:firstLine="0" w:firstLineChars="0"/>
              <w:jc w:val="center"/>
              <w:rPr>
                <w:kern w:val="0"/>
                <w:sz w:val="21"/>
                <w:szCs w:val="21"/>
                <w:highlight w:val="black"/>
              </w:rPr>
            </w:pPr>
            <w:r>
              <w:rPr>
                <w:kern w:val="0"/>
                <w:sz w:val="21"/>
                <w:szCs w:val="21"/>
                <w:highlight w:val="black"/>
              </w:rPr>
              <w:t>8</w:t>
            </w:r>
          </w:p>
        </w:tc>
        <w:tc>
          <w:tcPr>
            <w:tcW w:w="1968" w:type="pct"/>
            <w:tcBorders>
              <w:tl2br w:val="nil"/>
              <w:tr2bl w:val="nil"/>
            </w:tcBorders>
            <w:shd w:val="clear" w:color="auto" w:fill="auto"/>
            <w:vAlign w:val="center"/>
          </w:tcPr>
          <w:p w14:paraId="1B126DF9">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不均衡系数</w:t>
            </w:r>
          </w:p>
        </w:tc>
        <w:tc>
          <w:tcPr>
            <w:tcW w:w="807" w:type="pct"/>
            <w:tcBorders>
              <w:tl2br w:val="nil"/>
              <w:tr2bl w:val="nil"/>
            </w:tcBorders>
            <w:shd w:val="clear" w:color="auto" w:fill="auto"/>
            <w:vAlign w:val="center"/>
          </w:tcPr>
          <w:p w14:paraId="2D11B570">
            <w:pPr>
              <w:widowControl/>
              <w:spacing w:line="240" w:lineRule="auto"/>
              <w:ind w:firstLine="0" w:firstLineChars="0"/>
              <w:jc w:val="left"/>
              <w:rPr>
                <w:kern w:val="0"/>
                <w:sz w:val="20"/>
                <w:highlight w:val="black"/>
              </w:rPr>
            </w:pPr>
            <w:r>
              <w:rPr>
                <w:kern w:val="0"/>
                <w:sz w:val="20"/>
                <w:highlight w:val="black"/>
              </w:rPr>
              <w:t>　</w:t>
            </w:r>
          </w:p>
        </w:tc>
        <w:tc>
          <w:tcPr>
            <w:tcW w:w="644" w:type="pct"/>
            <w:tcBorders>
              <w:tl2br w:val="nil"/>
              <w:tr2bl w:val="nil"/>
            </w:tcBorders>
            <w:shd w:val="clear" w:color="auto" w:fill="auto"/>
            <w:vAlign w:val="center"/>
          </w:tcPr>
          <w:p w14:paraId="1B6A4436">
            <w:pPr>
              <w:widowControl/>
              <w:spacing w:line="240" w:lineRule="auto"/>
              <w:ind w:firstLine="0" w:firstLineChars="0"/>
              <w:jc w:val="center"/>
              <w:rPr>
                <w:kern w:val="0"/>
                <w:sz w:val="21"/>
                <w:szCs w:val="21"/>
                <w:highlight w:val="black"/>
              </w:rPr>
            </w:pPr>
            <w:r>
              <w:rPr>
                <w:kern w:val="0"/>
                <w:sz w:val="21"/>
                <w:szCs w:val="21"/>
                <w:highlight w:val="black"/>
              </w:rPr>
              <w:t>1.2</w:t>
            </w:r>
          </w:p>
        </w:tc>
      </w:tr>
      <w:tr w14:paraId="2F8F1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restart"/>
            <w:tcBorders>
              <w:tl2br w:val="nil"/>
              <w:tr2bl w:val="nil"/>
            </w:tcBorders>
            <w:shd w:val="clear" w:color="auto" w:fill="auto"/>
            <w:vAlign w:val="center"/>
          </w:tcPr>
          <w:p w14:paraId="3D977693">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计算结果</w:t>
            </w:r>
          </w:p>
        </w:tc>
        <w:tc>
          <w:tcPr>
            <w:tcW w:w="594" w:type="pct"/>
            <w:tcBorders>
              <w:tl2br w:val="nil"/>
              <w:tr2bl w:val="nil"/>
            </w:tcBorders>
            <w:shd w:val="clear" w:color="auto" w:fill="auto"/>
            <w:vAlign w:val="center"/>
          </w:tcPr>
          <w:p w14:paraId="76ACB07A">
            <w:pPr>
              <w:widowControl/>
              <w:spacing w:line="240" w:lineRule="auto"/>
              <w:ind w:firstLine="0" w:firstLineChars="0"/>
              <w:jc w:val="center"/>
              <w:rPr>
                <w:kern w:val="0"/>
                <w:sz w:val="21"/>
                <w:szCs w:val="21"/>
                <w:highlight w:val="black"/>
              </w:rPr>
            </w:pPr>
            <w:r>
              <w:rPr>
                <w:kern w:val="0"/>
                <w:sz w:val="21"/>
                <w:szCs w:val="21"/>
                <w:highlight w:val="black"/>
              </w:rPr>
              <w:t>1</w:t>
            </w:r>
          </w:p>
        </w:tc>
        <w:tc>
          <w:tcPr>
            <w:tcW w:w="1968" w:type="pct"/>
            <w:tcBorders>
              <w:tl2br w:val="nil"/>
              <w:tr2bl w:val="nil"/>
            </w:tcBorders>
            <w:shd w:val="clear" w:color="auto" w:fill="auto"/>
            <w:vAlign w:val="center"/>
          </w:tcPr>
          <w:p w14:paraId="59FB38AC">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采空区体积</w:t>
            </w:r>
          </w:p>
        </w:tc>
        <w:tc>
          <w:tcPr>
            <w:tcW w:w="807" w:type="pct"/>
            <w:tcBorders>
              <w:tl2br w:val="nil"/>
              <w:tr2bl w:val="nil"/>
            </w:tcBorders>
            <w:shd w:val="clear" w:color="auto" w:fill="auto"/>
            <w:vAlign w:val="center"/>
          </w:tcPr>
          <w:p w14:paraId="15B9FE2C">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万</w:t>
            </w:r>
            <w:r>
              <w:rPr>
                <w:kern w:val="0"/>
                <w:sz w:val="21"/>
                <w:szCs w:val="21"/>
                <w:highlight w:val="black"/>
              </w:rPr>
              <w:t>m</w:t>
            </w:r>
            <w:r>
              <w:rPr>
                <w:kern w:val="0"/>
                <w:sz w:val="21"/>
                <w:szCs w:val="21"/>
                <w:highlight w:val="black"/>
                <w:vertAlign w:val="superscript"/>
              </w:rPr>
              <w:t>3</w:t>
            </w:r>
            <w:r>
              <w:rPr>
                <w:kern w:val="0"/>
                <w:sz w:val="21"/>
                <w:szCs w:val="21"/>
                <w:highlight w:val="black"/>
              </w:rPr>
              <w:t>/a</w:t>
            </w:r>
          </w:p>
        </w:tc>
        <w:tc>
          <w:tcPr>
            <w:tcW w:w="644" w:type="pct"/>
            <w:tcBorders>
              <w:tl2br w:val="nil"/>
              <w:tr2bl w:val="nil"/>
            </w:tcBorders>
            <w:shd w:val="clear" w:color="auto" w:fill="auto"/>
            <w:vAlign w:val="center"/>
          </w:tcPr>
          <w:p w14:paraId="1B588FBD">
            <w:pPr>
              <w:widowControl/>
              <w:spacing w:line="240" w:lineRule="auto"/>
              <w:ind w:firstLine="0" w:firstLineChars="0"/>
              <w:jc w:val="center"/>
              <w:rPr>
                <w:kern w:val="0"/>
                <w:sz w:val="21"/>
                <w:szCs w:val="21"/>
                <w:highlight w:val="black"/>
              </w:rPr>
            </w:pPr>
            <w:r>
              <w:rPr>
                <w:kern w:val="0"/>
                <w:sz w:val="21"/>
                <w:szCs w:val="21"/>
                <w:highlight w:val="black"/>
              </w:rPr>
              <w:t>23.8</w:t>
            </w:r>
          </w:p>
        </w:tc>
      </w:tr>
      <w:tr w14:paraId="4FB1D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1E795D0A">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30F30E3E">
            <w:pPr>
              <w:widowControl/>
              <w:spacing w:line="240" w:lineRule="auto"/>
              <w:ind w:firstLine="0" w:firstLineChars="0"/>
              <w:jc w:val="center"/>
              <w:rPr>
                <w:kern w:val="0"/>
                <w:sz w:val="21"/>
                <w:szCs w:val="21"/>
                <w:highlight w:val="black"/>
              </w:rPr>
            </w:pPr>
            <w:r>
              <w:rPr>
                <w:kern w:val="0"/>
                <w:sz w:val="21"/>
                <w:szCs w:val="21"/>
                <w:highlight w:val="black"/>
              </w:rPr>
              <w:t>2</w:t>
            </w:r>
          </w:p>
        </w:tc>
        <w:tc>
          <w:tcPr>
            <w:tcW w:w="1968" w:type="pct"/>
            <w:tcBorders>
              <w:tl2br w:val="nil"/>
              <w:tr2bl w:val="nil"/>
            </w:tcBorders>
            <w:shd w:val="clear" w:color="auto" w:fill="auto"/>
            <w:vAlign w:val="center"/>
          </w:tcPr>
          <w:p w14:paraId="7776308B">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尾砂充填体积</w:t>
            </w:r>
          </w:p>
        </w:tc>
        <w:tc>
          <w:tcPr>
            <w:tcW w:w="807" w:type="pct"/>
            <w:tcBorders>
              <w:tl2br w:val="nil"/>
              <w:tr2bl w:val="nil"/>
            </w:tcBorders>
            <w:shd w:val="clear" w:color="auto" w:fill="auto"/>
            <w:vAlign w:val="center"/>
          </w:tcPr>
          <w:p w14:paraId="0C314467">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万</w:t>
            </w:r>
            <w:r>
              <w:rPr>
                <w:kern w:val="0"/>
                <w:sz w:val="21"/>
                <w:szCs w:val="21"/>
                <w:highlight w:val="black"/>
              </w:rPr>
              <w:t>m</w:t>
            </w:r>
            <w:r>
              <w:rPr>
                <w:kern w:val="0"/>
                <w:sz w:val="21"/>
                <w:szCs w:val="21"/>
                <w:highlight w:val="black"/>
                <w:vertAlign w:val="superscript"/>
              </w:rPr>
              <w:t>3</w:t>
            </w:r>
            <w:r>
              <w:rPr>
                <w:kern w:val="0"/>
                <w:sz w:val="21"/>
                <w:szCs w:val="21"/>
                <w:highlight w:val="black"/>
              </w:rPr>
              <w:t>/a</w:t>
            </w:r>
          </w:p>
        </w:tc>
        <w:tc>
          <w:tcPr>
            <w:tcW w:w="644" w:type="pct"/>
            <w:tcBorders>
              <w:tl2br w:val="nil"/>
              <w:tr2bl w:val="nil"/>
            </w:tcBorders>
            <w:shd w:val="clear" w:color="auto" w:fill="auto"/>
            <w:vAlign w:val="center"/>
          </w:tcPr>
          <w:p w14:paraId="5919D94A">
            <w:pPr>
              <w:widowControl/>
              <w:spacing w:line="240" w:lineRule="auto"/>
              <w:ind w:firstLine="0" w:firstLineChars="0"/>
              <w:jc w:val="center"/>
              <w:rPr>
                <w:kern w:val="0"/>
                <w:sz w:val="21"/>
                <w:szCs w:val="21"/>
                <w:highlight w:val="black"/>
              </w:rPr>
            </w:pPr>
            <w:r>
              <w:rPr>
                <w:kern w:val="0"/>
                <w:sz w:val="21"/>
                <w:szCs w:val="21"/>
                <w:highlight w:val="black"/>
              </w:rPr>
              <w:t>22.7</w:t>
            </w:r>
          </w:p>
        </w:tc>
      </w:tr>
      <w:tr w14:paraId="23D51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756D942C">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07DA5C91">
            <w:pPr>
              <w:widowControl/>
              <w:spacing w:line="240" w:lineRule="auto"/>
              <w:ind w:firstLine="0" w:firstLineChars="0"/>
              <w:jc w:val="center"/>
              <w:rPr>
                <w:kern w:val="0"/>
                <w:sz w:val="21"/>
                <w:szCs w:val="21"/>
                <w:highlight w:val="black"/>
              </w:rPr>
            </w:pPr>
            <w:r>
              <w:rPr>
                <w:kern w:val="0"/>
                <w:sz w:val="21"/>
                <w:szCs w:val="21"/>
                <w:highlight w:val="black"/>
              </w:rPr>
              <w:t>3</w:t>
            </w:r>
          </w:p>
        </w:tc>
        <w:tc>
          <w:tcPr>
            <w:tcW w:w="1968" w:type="pct"/>
            <w:tcBorders>
              <w:tl2br w:val="nil"/>
              <w:tr2bl w:val="nil"/>
            </w:tcBorders>
            <w:shd w:val="clear" w:color="auto" w:fill="auto"/>
            <w:vAlign w:val="center"/>
          </w:tcPr>
          <w:p w14:paraId="5F1DCE76">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日平均充填料需求量</w:t>
            </w:r>
          </w:p>
        </w:tc>
        <w:tc>
          <w:tcPr>
            <w:tcW w:w="807" w:type="pct"/>
            <w:tcBorders>
              <w:tl2br w:val="nil"/>
              <w:tr2bl w:val="nil"/>
            </w:tcBorders>
            <w:shd w:val="clear" w:color="auto" w:fill="auto"/>
            <w:vAlign w:val="center"/>
          </w:tcPr>
          <w:p w14:paraId="15867004">
            <w:pPr>
              <w:widowControl/>
              <w:spacing w:line="240" w:lineRule="auto"/>
              <w:ind w:firstLine="0" w:firstLineChars="0"/>
              <w:jc w:val="center"/>
              <w:rPr>
                <w:kern w:val="0"/>
                <w:sz w:val="21"/>
                <w:szCs w:val="21"/>
                <w:highlight w:val="black"/>
              </w:rPr>
            </w:pPr>
            <w:r>
              <w:rPr>
                <w:kern w:val="0"/>
                <w:sz w:val="21"/>
                <w:szCs w:val="21"/>
                <w:highlight w:val="black"/>
              </w:rPr>
              <w:t>m</w:t>
            </w:r>
            <w:r>
              <w:rPr>
                <w:kern w:val="0"/>
                <w:sz w:val="21"/>
                <w:szCs w:val="21"/>
                <w:highlight w:val="black"/>
                <w:vertAlign w:val="superscript"/>
              </w:rPr>
              <w:t>3</w:t>
            </w:r>
            <w:r>
              <w:rPr>
                <w:kern w:val="0"/>
                <w:sz w:val="21"/>
                <w:szCs w:val="21"/>
                <w:highlight w:val="black"/>
              </w:rPr>
              <w:t>/d</w:t>
            </w:r>
          </w:p>
        </w:tc>
        <w:tc>
          <w:tcPr>
            <w:tcW w:w="644" w:type="pct"/>
            <w:tcBorders>
              <w:tl2br w:val="nil"/>
              <w:tr2bl w:val="nil"/>
            </w:tcBorders>
            <w:shd w:val="clear" w:color="auto" w:fill="auto"/>
            <w:vAlign w:val="center"/>
          </w:tcPr>
          <w:p w14:paraId="6184198D">
            <w:pPr>
              <w:widowControl/>
              <w:spacing w:line="240" w:lineRule="auto"/>
              <w:ind w:firstLine="0" w:firstLineChars="0"/>
              <w:jc w:val="center"/>
              <w:rPr>
                <w:kern w:val="0"/>
                <w:sz w:val="21"/>
                <w:szCs w:val="21"/>
                <w:highlight w:val="black"/>
              </w:rPr>
            </w:pPr>
            <w:r>
              <w:rPr>
                <w:kern w:val="0"/>
                <w:sz w:val="21"/>
                <w:szCs w:val="21"/>
                <w:highlight w:val="black"/>
              </w:rPr>
              <w:t>756.7</w:t>
            </w:r>
          </w:p>
        </w:tc>
      </w:tr>
      <w:tr w14:paraId="2B356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40D5DBFA">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6764C9B4">
            <w:pPr>
              <w:widowControl/>
              <w:spacing w:line="240" w:lineRule="auto"/>
              <w:ind w:firstLine="0" w:firstLineChars="0"/>
              <w:jc w:val="center"/>
              <w:rPr>
                <w:kern w:val="0"/>
                <w:sz w:val="21"/>
                <w:szCs w:val="21"/>
                <w:highlight w:val="black"/>
              </w:rPr>
            </w:pPr>
            <w:r>
              <w:rPr>
                <w:kern w:val="0"/>
                <w:sz w:val="21"/>
                <w:szCs w:val="21"/>
                <w:highlight w:val="black"/>
              </w:rPr>
              <w:t>4</w:t>
            </w:r>
          </w:p>
        </w:tc>
        <w:tc>
          <w:tcPr>
            <w:tcW w:w="1968" w:type="pct"/>
            <w:tcBorders>
              <w:tl2br w:val="nil"/>
              <w:tr2bl w:val="nil"/>
            </w:tcBorders>
            <w:shd w:val="clear" w:color="auto" w:fill="auto"/>
            <w:vAlign w:val="center"/>
          </w:tcPr>
          <w:p w14:paraId="209AEDF6">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充填站小时制备能力</w:t>
            </w:r>
          </w:p>
        </w:tc>
        <w:tc>
          <w:tcPr>
            <w:tcW w:w="807" w:type="pct"/>
            <w:tcBorders>
              <w:tl2br w:val="nil"/>
              <w:tr2bl w:val="nil"/>
            </w:tcBorders>
            <w:shd w:val="clear" w:color="auto" w:fill="auto"/>
            <w:vAlign w:val="center"/>
          </w:tcPr>
          <w:p w14:paraId="72A7BB99">
            <w:pPr>
              <w:widowControl/>
              <w:spacing w:line="240" w:lineRule="auto"/>
              <w:ind w:firstLine="0" w:firstLineChars="0"/>
              <w:jc w:val="center"/>
              <w:rPr>
                <w:kern w:val="0"/>
                <w:sz w:val="21"/>
                <w:szCs w:val="21"/>
                <w:highlight w:val="black"/>
              </w:rPr>
            </w:pPr>
            <w:r>
              <w:rPr>
                <w:kern w:val="0"/>
                <w:sz w:val="21"/>
                <w:szCs w:val="21"/>
                <w:highlight w:val="black"/>
              </w:rPr>
              <w:t>m</w:t>
            </w:r>
            <w:r>
              <w:rPr>
                <w:kern w:val="0"/>
                <w:sz w:val="21"/>
                <w:szCs w:val="21"/>
                <w:highlight w:val="black"/>
                <w:vertAlign w:val="superscript"/>
              </w:rPr>
              <w:t>3</w:t>
            </w:r>
            <w:r>
              <w:rPr>
                <w:kern w:val="0"/>
                <w:sz w:val="21"/>
                <w:szCs w:val="21"/>
                <w:highlight w:val="black"/>
              </w:rPr>
              <w:t>/h</w:t>
            </w:r>
          </w:p>
        </w:tc>
        <w:tc>
          <w:tcPr>
            <w:tcW w:w="644" w:type="pct"/>
            <w:tcBorders>
              <w:tl2br w:val="nil"/>
              <w:tr2bl w:val="nil"/>
            </w:tcBorders>
            <w:shd w:val="clear" w:color="auto" w:fill="auto"/>
            <w:vAlign w:val="center"/>
          </w:tcPr>
          <w:p w14:paraId="27D4D67E">
            <w:pPr>
              <w:widowControl/>
              <w:spacing w:line="240" w:lineRule="auto"/>
              <w:ind w:firstLine="0" w:firstLineChars="0"/>
              <w:jc w:val="center"/>
              <w:rPr>
                <w:kern w:val="0"/>
                <w:sz w:val="21"/>
                <w:szCs w:val="21"/>
                <w:highlight w:val="black"/>
              </w:rPr>
            </w:pPr>
            <w:r>
              <w:rPr>
                <w:kern w:val="0"/>
                <w:sz w:val="21"/>
                <w:szCs w:val="21"/>
                <w:highlight w:val="black"/>
              </w:rPr>
              <w:t>37.8</w:t>
            </w:r>
          </w:p>
        </w:tc>
      </w:tr>
      <w:tr w14:paraId="3DFB3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pct"/>
            <w:vMerge w:val="continue"/>
            <w:tcBorders>
              <w:tl2br w:val="nil"/>
              <w:tr2bl w:val="nil"/>
            </w:tcBorders>
            <w:vAlign w:val="center"/>
          </w:tcPr>
          <w:p w14:paraId="3AD56CBF">
            <w:pPr>
              <w:widowControl/>
              <w:spacing w:line="240" w:lineRule="auto"/>
              <w:ind w:firstLine="0" w:firstLineChars="0"/>
              <w:jc w:val="left"/>
              <w:rPr>
                <w:rFonts w:ascii="宋体" w:hAnsi="宋体" w:cs="宋体"/>
                <w:kern w:val="0"/>
                <w:sz w:val="21"/>
                <w:szCs w:val="21"/>
                <w:highlight w:val="black"/>
              </w:rPr>
            </w:pPr>
          </w:p>
        </w:tc>
        <w:tc>
          <w:tcPr>
            <w:tcW w:w="594" w:type="pct"/>
            <w:tcBorders>
              <w:tl2br w:val="nil"/>
              <w:tr2bl w:val="nil"/>
            </w:tcBorders>
            <w:shd w:val="clear" w:color="auto" w:fill="auto"/>
            <w:vAlign w:val="center"/>
          </w:tcPr>
          <w:p w14:paraId="28B9AC63">
            <w:pPr>
              <w:widowControl/>
              <w:spacing w:line="240" w:lineRule="auto"/>
              <w:ind w:firstLine="0" w:firstLineChars="0"/>
              <w:jc w:val="center"/>
              <w:rPr>
                <w:kern w:val="0"/>
                <w:sz w:val="21"/>
                <w:szCs w:val="21"/>
                <w:highlight w:val="black"/>
              </w:rPr>
            </w:pPr>
            <w:r>
              <w:rPr>
                <w:kern w:val="0"/>
                <w:sz w:val="21"/>
                <w:szCs w:val="21"/>
                <w:highlight w:val="black"/>
              </w:rPr>
              <w:t>5</w:t>
            </w:r>
          </w:p>
        </w:tc>
        <w:tc>
          <w:tcPr>
            <w:tcW w:w="1968" w:type="pct"/>
            <w:tcBorders>
              <w:tl2br w:val="nil"/>
              <w:tr2bl w:val="nil"/>
            </w:tcBorders>
            <w:shd w:val="clear" w:color="auto" w:fill="auto"/>
            <w:vAlign w:val="center"/>
          </w:tcPr>
          <w:p w14:paraId="76171300">
            <w:pPr>
              <w:widowControl/>
              <w:spacing w:line="240" w:lineRule="auto"/>
              <w:ind w:firstLine="0" w:firstLineChars="0"/>
              <w:jc w:val="center"/>
              <w:rPr>
                <w:rFonts w:ascii="宋体" w:hAnsi="宋体" w:cs="宋体"/>
                <w:kern w:val="0"/>
                <w:sz w:val="21"/>
                <w:szCs w:val="21"/>
                <w:highlight w:val="black"/>
              </w:rPr>
            </w:pPr>
            <w:r>
              <w:rPr>
                <w:rFonts w:hint="eastAsia" w:ascii="宋体" w:hAnsi="宋体" w:cs="宋体"/>
                <w:kern w:val="0"/>
                <w:sz w:val="21"/>
                <w:szCs w:val="21"/>
                <w:highlight w:val="black"/>
              </w:rPr>
              <w:t>充填站设计规模</w:t>
            </w:r>
          </w:p>
        </w:tc>
        <w:tc>
          <w:tcPr>
            <w:tcW w:w="807" w:type="pct"/>
            <w:tcBorders>
              <w:tl2br w:val="nil"/>
              <w:tr2bl w:val="nil"/>
            </w:tcBorders>
            <w:shd w:val="clear" w:color="auto" w:fill="auto"/>
            <w:vAlign w:val="center"/>
          </w:tcPr>
          <w:p w14:paraId="6E40DA50">
            <w:pPr>
              <w:widowControl/>
              <w:spacing w:line="240" w:lineRule="auto"/>
              <w:ind w:firstLine="0" w:firstLineChars="0"/>
              <w:jc w:val="center"/>
              <w:rPr>
                <w:kern w:val="0"/>
                <w:sz w:val="21"/>
                <w:szCs w:val="21"/>
                <w:highlight w:val="black"/>
              </w:rPr>
            </w:pPr>
            <w:r>
              <w:rPr>
                <w:kern w:val="0"/>
                <w:sz w:val="21"/>
                <w:szCs w:val="21"/>
                <w:highlight w:val="black"/>
              </w:rPr>
              <w:t>m</w:t>
            </w:r>
            <w:r>
              <w:rPr>
                <w:kern w:val="0"/>
                <w:sz w:val="21"/>
                <w:szCs w:val="21"/>
                <w:highlight w:val="black"/>
                <w:vertAlign w:val="superscript"/>
              </w:rPr>
              <w:t>3</w:t>
            </w:r>
            <w:r>
              <w:rPr>
                <w:kern w:val="0"/>
                <w:sz w:val="21"/>
                <w:szCs w:val="21"/>
                <w:highlight w:val="black"/>
              </w:rPr>
              <w:t>/h</w:t>
            </w:r>
          </w:p>
        </w:tc>
        <w:tc>
          <w:tcPr>
            <w:tcW w:w="644" w:type="pct"/>
            <w:tcBorders>
              <w:tl2br w:val="nil"/>
              <w:tr2bl w:val="nil"/>
            </w:tcBorders>
            <w:shd w:val="clear" w:color="auto" w:fill="auto"/>
            <w:vAlign w:val="center"/>
          </w:tcPr>
          <w:p w14:paraId="49041DE2">
            <w:pPr>
              <w:widowControl/>
              <w:spacing w:line="240" w:lineRule="auto"/>
              <w:ind w:firstLine="0" w:firstLineChars="0"/>
              <w:jc w:val="center"/>
              <w:rPr>
                <w:kern w:val="0"/>
                <w:sz w:val="21"/>
                <w:szCs w:val="21"/>
                <w:highlight w:val="black"/>
              </w:rPr>
            </w:pPr>
            <w:r>
              <w:rPr>
                <w:kern w:val="0"/>
                <w:sz w:val="21"/>
                <w:szCs w:val="21"/>
                <w:highlight w:val="black"/>
              </w:rPr>
              <w:t>40</w:t>
            </w:r>
          </w:p>
        </w:tc>
      </w:tr>
    </w:tbl>
    <w:p w14:paraId="68F1C680">
      <w:pPr>
        <w:ind w:firstLine="583"/>
        <w:rPr>
          <w:highlight w:val="black"/>
        </w:rPr>
      </w:pPr>
      <w:r>
        <w:rPr>
          <w:highlight w:val="black"/>
        </w:rPr>
        <w:t>综上所述，地面充填料浆制备站设计规模</w:t>
      </w:r>
      <w:r>
        <w:rPr>
          <w:rFonts w:hint="eastAsia"/>
          <w:highlight w:val="black"/>
        </w:rPr>
        <w:t>4</w:t>
      </w:r>
      <w:r>
        <w:rPr>
          <w:highlight w:val="black"/>
        </w:rPr>
        <w:t>0m</w:t>
      </w:r>
      <w:r>
        <w:rPr>
          <w:highlight w:val="black"/>
          <w:vertAlign w:val="superscript"/>
        </w:rPr>
        <w:t>3</w:t>
      </w:r>
      <w:r>
        <w:rPr>
          <w:highlight w:val="black"/>
        </w:rPr>
        <w:t>/h，年充填能力</w:t>
      </w:r>
      <w:r>
        <w:rPr>
          <w:rFonts w:hint="eastAsia"/>
          <w:highlight w:val="black"/>
        </w:rPr>
        <w:t>24</w:t>
      </w:r>
      <w:r>
        <w:rPr>
          <w:highlight w:val="black"/>
        </w:rPr>
        <w:t>万m</w:t>
      </w:r>
      <w:r>
        <w:rPr>
          <w:highlight w:val="black"/>
          <w:vertAlign w:val="superscript"/>
        </w:rPr>
        <w:t>3</w:t>
      </w:r>
      <w:r>
        <w:rPr>
          <w:highlight w:val="black"/>
        </w:rPr>
        <w:t>/a。</w:t>
      </w:r>
    </w:p>
    <w:p w14:paraId="1E5902C8">
      <w:pPr>
        <w:ind w:firstLine="583"/>
        <w:rPr>
          <w:lang w:val="zh-TW"/>
        </w:rPr>
      </w:pPr>
      <w:r>
        <w:rPr>
          <w:rFonts w:hint="eastAsia"/>
        </w:rPr>
        <w:t>（3）</w:t>
      </w:r>
      <w:r>
        <w:rPr>
          <w:lang w:val="zh-TW"/>
        </w:rPr>
        <w:t>充填料配比、浓度及充填材料消耗</w:t>
      </w:r>
    </w:p>
    <w:p w14:paraId="57CC63CF">
      <w:pPr>
        <w:ind w:firstLine="583"/>
        <w:rPr>
          <w:highlight w:val="black"/>
        </w:rPr>
      </w:pPr>
      <w:r>
        <w:rPr>
          <w:rFonts w:hint="eastAsia"/>
          <w:highlight w:val="black"/>
        </w:rPr>
        <w:t>1）</w:t>
      </w:r>
      <w:r>
        <w:rPr>
          <w:highlight w:val="black"/>
        </w:rPr>
        <w:t>充填料浓度及配比</w:t>
      </w:r>
    </w:p>
    <w:p w14:paraId="571DDC08">
      <w:pPr>
        <w:ind w:firstLine="583"/>
        <w:rPr>
          <w:highlight w:val="black"/>
        </w:rPr>
      </w:pPr>
      <w:r>
        <w:rPr>
          <w:rFonts w:hint="eastAsia"/>
          <w:highlight w:val="black"/>
        </w:rPr>
        <w:t>通过进行全尾砂不同料浆浓度（66%、68%、70%和72%）、不同灰砂比（1:4、1:6、1:8 和1:10）不同养护时间（3d、7d、14d和28d）的胶结强度系统实验。根据实验结果，建议采用充填料浆浓度68%~70%（能够保证较好的料浆流动性）、灰砂比1:6，此时28d充填体强度为2.58~3.06MPa，满足充填体强度要求</w:t>
      </w:r>
      <w:r>
        <w:rPr>
          <w:highlight w:val="black"/>
        </w:rPr>
        <w:t>。</w:t>
      </w:r>
    </w:p>
    <w:p w14:paraId="2F8F04F6">
      <w:pPr>
        <w:ind w:firstLine="583"/>
        <w:rPr>
          <w:highlight w:val="black"/>
        </w:rPr>
      </w:pPr>
      <w:r>
        <w:rPr>
          <w:rFonts w:hint="eastAsia"/>
          <w:highlight w:val="black"/>
        </w:rPr>
        <w:t>2）</w:t>
      </w:r>
      <w:r>
        <w:rPr>
          <w:highlight w:val="black"/>
        </w:rPr>
        <w:t>充填材料消耗</w:t>
      </w:r>
    </w:p>
    <w:p w14:paraId="1CBE13FB">
      <w:pPr>
        <w:ind w:firstLine="583"/>
        <w:rPr>
          <w:highlight w:val="black"/>
        </w:rPr>
      </w:pPr>
      <w:r>
        <w:rPr>
          <w:rFonts w:hint="eastAsia"/>
          <w:highlight w:val="black"/>
        </w:rPr>
        <w:t>正常生产期，充填需要尾砂12.9万m</w:t>
      </w:r>
      <w:r>
        <w:rPr>
          <w:rFonts w:hint="eastAsia"/>
          <w:highlight w:val="black"/>
          <w:vertAlign w:val="superscript"/>
        </w:rPr>
        <w:t>3</w:t>
      </w:r>
      <w:r>
        <w:rPr>
          <w:rFonts w:hint="eastAsia"/>
          <w:highlight w:val="black"/>
        </w:rPr>
        <w:t>/a，水泥2.6万m</w:t>
      </w:r>
      <w:r>
        <w:rPr>
          <w:rFonts w:hint="eastAsia"/>
          <w:highlight w:val="black"/>
          <w:vertAlign w:val="superscript"/>
        </w:rPr>
        <w:t>3</w:t>
      </w:r>
      <w:r>
        <w:rPr>
          <w:rFonts w:hint="eastAsia"/>
          <w:highlight w:val="black"/>
        </w:rPr>
        <w:t>/a。选厂排出尾矿量15.6万m</w:t>
      </w:r>
      <w:r>
        <w:rPr>
          <w:rFonts w:hint="eastAsia"/>
          <w:highlight w:val="black"/>
          <w:vertAlign w:val="superscript"/>
        </w:rPr>
        <w:t>3</w:t>
      </w:r>
      <w:r>
        <w:rPr>
          <w:rFonts w:hint="eastAsia"/>
          <w:highlight w:val="black"/>
        </w:rPr>
        <w:t>/a，可以满足井下充填需求，剩余部分排至尾矿库。</w:t>
      </w:r>
    </w:p>
    <w:p w14:paraId="43114A04">
      <w:pPr>
        <w:ind w:firstLine="583"/>
      </w:pPr>
      <w:r>
        <w:rPr>
          <w:rFonts w:hint="eastAsia"/>
        </w:rPr>
        <w:t>（4）</w:t>
      </w:r>
      <w:r>
        <w:t>充填料</w:t>
      </w:r>
      <w:r>
        <w:rPr>
          <w:rFonts w:hint="eastAsia"/>
        </w:rPr>
        <w:t>制备</w:t>
      </w:r>
    </w:p>
    <w:p w14:paraId="09516063">
      <w:pPr>
        <w:ind w:firstLine="583"/>
        <w:rPr>
          <w:szCs w:val="26"/>
          <w:highlight w:val="black"/>
        </w:rPr>
      </w:pPr>
      <w:r>
        <w:rPr>
          <w:highlight w:val="black"/>
        </w:rPr>
        <w:t>本次设计充填制备工艺采用深锥浓密机+搅拌桶方式。选厂尾矿输送系统将重量浓度约35%的尾砂送至充填站深锥浓密机，经二次浓缩后底流达70%左右，经底流泵提升至搅拌系统，料仓中的水泥经微粉称输送到搅拌系统中，按一定配比与尾砂浆充分搅拌均匀，形成重量浓度</w:t>
      </w:r>
      <w:r>
        <w:rPr>
          <w:rFonts w:hint="eastAsia"/>
          <w:highlight w:val="black"/>
        </w:rPr>
        <w:t>68</w:t>
      </w:r>
      <w:r>
        <w:rPr>
          <w:highlight w:val="black"/>
        </w:rPr>
        <w:t>%的充填料浆，自流输送至井下采空区。充填工艺流程图，如下图所示。</w:t>
      </w:r>
    </w:p>
    <w:p w14:paraId="11EB5CC8">
      <w:pPr>
        <w:ind w:firstLine="583"/>
        <w:rPr>
          <w:rFonts w:eastAsia="仿宋_GB2312"/>
          <w:szCs w:val="28"/>
        </w:rPr>
      </w:pPr>
      <w:r>
        <w:rPr>
          <w:rFonts w:eastAsia="仿宋_GB2312"/>
          <w:szCs w:val="22"/>
        </w:rPr>
        <w:drawing>
          <wp:inline distT="0" distB="0" distL="114300" distR="114300">
            <wp:extent cx="4913630" cy="3411855"/>
            <wp:effectExtent l="0" t="0" r="8890" b="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8"/>
                    <a:srcRect l="17294" t="13422" r="32944" b="19363"/>
                    <a:stretch>
                      <a:fillRect/>
                    </a:stretch>
                  </pic:blipFill>
                  <pic:spPr>
                    <a:xfrm>
                      <a:off x="0" y="0"/>
                      <a:ext cx="4913630" cy="3411855"/>
                    </a:xfrm>
                    <a:prstGeom prst="rect">
                      <a:avLst/>
                    </a:prstGeom>
                    <a:noFill/>
                    <a:ln>
                      <a:noFill/>
                    </a:ln>
                  </pic:spPr>
                </pic:pic>
              </a:graphicData>
            </a:graphic>
          </wp:inline>
        </w:drawing>
      </w:r>
    </w:p>
    <w:p w14:paraId="0D531B95">
      <w:pPr>
        <w:snapToGrid w:val="0"/>
        <w:spacing w:after="191" w:afterLines="50" w:line="240" w:lineRule="auto"/>
        <w:ind w:firstLine="444"/>
        <w:jc w:val="center"/>
        <w:rPr>
          <w:b/>
          <w:sz w:val="21"/>
          <w:szCs w:val="21"/>
        </w:rPr>
      </w:pPr>
      <w:r>
        <w:rPr>
          <w:b/>
          <w:sz w:val="21"/>
          <w:szCs w:val="21"/>
        </w:rPr>
        <w:t>图</w:t>
      </w:r>
      <w:r>
        <w:rPr>
          <w:rFonts w:hint="eastAsia"/>
          <w:b/>
          <w:sz w:val="21"/>
          <w:szCs w:val="21"/>
        </w:rPr>
        <w:t>2-4</w:t>
      </w:r>
      <w:r>
        <w:rPr>
          <w:b/>
          <w:sz w:val="21"/>
          <w:szCs w:val="21"/>
        </w:rPr>
        <w:t xml:space="preserve"> 充填工艺流程图</w:t>
      </w:r>
    </w:p>
    <w:p w14:paraId="4855DC13">
      <w:pPr>
        <w:pStyle w:val="4"/>
        <w:ind w:firstLine="0" w:firstLineChars="0"/>
      </w:pPr>
      <w:r>
        <w:t>2.4.</w:t>
      </w:r>
      <w:r>
        <w:rPr>
          <w:rFonts w:hint="eastAsia"/>
        </w:rPr>
        <w:t>7 通风系统</w:t>
      </w:r>
    </w:p>
    <w:p w14:paraId="20E8A08B">
      <w:pPr>
        <w:ind w:firstLine="0" w:firstLineChars="0"/>
        <w:rPr>
          <w:rFonts w:ascii="宋体" w:hAnsi="宋体" w:cs="宋体"/>
          <w:b/>
          <w:bCs/>
        </w:rPr>
      </w:pPr>
      <w:r>
        <w:rPr>
          <w:rFonts w:hint="eastAsia" w:ascii="宋体" w:hAnsi="宋体" w:cs="宋体"/>
          <w:b/>
          <w:bCs/>
        </w:rPr>
        <w:t>2.4.7.1 通风方式及通风系统</w:t>
      </w:r>
    </w:p>
    <w:p w14:paraId="1763AD98">
      <w:pPr>
        <w:ind w:firstLine="583"/>
        <w:rPr>
          <w:highlight w:val="black"/>
        </w:rPr>
      </w:pPr>
      <w:bookmarkStart w:id="175" w:name="_Hlk185542880"/>
      <w:r>
        <w:rPr>
          <w:rFonts w:hint="eastAsia"/>
          <w:highlight w:val="black"/>
        </w:rPr>
        <w:t>矿山通风采用侧翼对角抽出式通风系统。为了保证井下获得稳定的连续风流，矿井通风工作采用连续工作制。</w:t>
      </w:r>
    </w:p>
    <w:p w14:paraId="6607636D">
      <w:pPr>
        <w:ind w:firstLine="583"/>
        <w:rPr>
          <w:highlight w:val="black"/>
          <w:lang w:val="zh-TW"/>
        </w:rPr>
      </w:pPr>
      <w:r>
        <w:rPr>
          <w:rFonts w:hint="eastAsia"/>
          <w:highlight w:val="black"/>
        </w:rPr>
        <w:t>矿山开采时新鲜风流经斜坡道进入，通过中段运输巷道进入井下中段采场，冲洗工作面后，污风经各中段回风天井，最后经回风井抽至地表</w:t>
      </w:r>
      <w:bookmarkEnd w:id="175"/>
      <w:r>
        <w:rPr>
          <w:rFonts w:hint="eastAsia"/>
          <w:highlight w:val="black"/>
          <w:lang w:val="zh-TW"/>
        </w:rPr>
        <w:t>。</w:t>
      </w:r>
    </w:p>
    <w:p w14:paraId="447E4A2D">
      <w:pPr>
        <w:ind w:firstLine="0" w:firstLineChars="0"/>
        <w:rPr>
          <w:rFonts w:ascii="宋体" w:hAnsi="宋体" w:cs="宋体"/>
          <w:b/>
          <w:bCs/>
        </w:rPr>
      </w:pPr>
      <w:r>
        <w:rPr>
          <w:rFonts w:hint="eastAsia" w:ascii="宋体" w:hAnsi="宋体" w:cs="宋体"/>
          <w:b/>
          <w:bCs/>
        </w:rPr>
        <w:t>2.4.7.2 矿井风量、负压计算</w:t>
      </w:r>
    </w:p>
    <w:p w14:paraId="3BF08AAC">
      <w:pPr>
        <w:ind w:firstLine="583"/>
        <w:rPr>
          <w:highlight w:val="black"/>
        </w:rPr>
      </w:pPr>
      <w:r>
        <w:rPr>
          <w:rFonts w:hint="eastAsia"/>
          <w:highlight w:val="black"/>
        </w:rPr>
        <w:t>（1）</w:t>
      </w:r>
      <w:r>
        <w:rPr>
          <w:highlight w:val="black"/>
        </w:rPr>
        <w:t>按井下同时工作最大人数计算矿井总需风量</w:t>
      </w:r>
    </w:p>
    <w:p w14:paraId="1604B8A9">
      <w:pPr>
        <w:ind w:firstLine="583"/>
        <w:jc w:val="center"/>
        <w:rPr>
          <w:highlight w:val="black"/>
        </w:rPr>
      </w:pPr>
      <w:r>
        <w:rPr>
          <w:highlight w:val="black"/>
        </w:rPr>
        <w:t>Q=4NK</w:t>
      </w:r>
    </w:p>
    <w:p w14:paraId="4E2CEC82">
      <w:pPr>
        <w:ind w:firstLine="583"/>
        <w:rPr>
          <w:highlight w:val="black"/>
        </w:rPr>
      </w:pPr>
      <w:r>
        <w:rPr>
          <w:highlight w:val="black"/>
        </w:rPr>
        <w:t>式中：Q－矿井需风量，m³/s；</w:t>
      </w:r>
    </w:p>
    <w:p w14:paraId="2C7A0B26">
      <w:pPr>
        <w:ind w:firstLine="583"/>
        <w:rPr>
          <w:highlight w:val="black"/>
        </w:rPr>
      </w:pPr>
      <w:r>
        <w:rPr>
          <w:highlight w:val="black"/>
        </w:rPr>
        <w:t>N－井下同时工作最大人数，</w:t>
      </w:r>
      <w:r>
        <w:rPr>
          <w:rFonts w:hint="eastAsia"/>
          <w:highlight w:val="black"/>
        </w:rPr>
        <w:t>27</w:t>
      </w:r>
      <w:r>
        <w:rPr>
          <w:highlight w:val="black"/>
        </w:rPr>
        <w:t>人；</w:t>
      </w:r>
    </w:p>
    <w:p w14:paraId="610A7510">
      <w:pPr>
        <w:ind w:firstLine="583"/>
        <w:rPr>
          <w:highlight w:val="black"/>
        </w:rPr>
      </w:pPr>
      <w:r>
        <w:rPr>
          <w:highlight w:val="black"/>
        </w:rPr>
        <w:t>K－矿井风量备用系数，K=1.35。</w:t>
      </w:r>
    </w:p>
    <w:p w14:paraId="6939D2DB">
      <w:pPr>
        <w:ind w:firstLine="583"/>
        <w:rPr>
          <w:highlight w:val="black"/>
        </w:rPr>
      </w:pPr>
      <w:r>
        <w:rPr>
          <w:highlight w:val="black"/>
        </w:rPr>
        <w:t>Q=4×N×K=4×</w:t>
      </w:r>
      <w:r>
        <w:rPr>
          <w:rFonts w:hint="eastAsia"/>
          <w:highlight w:val="black"/>
        </w:rPr>
        <w:t>29</w:t>
      </w:r>
      <w:r>
        <w:rPr>
          <w:highlight w:val="black"/>
        </w:rPr>
        <w:t>×1.35=</w:t>
      </w:r>
      <w:r>
        <w:rPr>
          <w:rFonts w:hint="eastAsia"/>
          <w:highlight w:val="black"/>
        </w:rPr>
        <w:t>156.6</w:t>
      </w:r>
      <w:r>
        <w:rPr>
          <w:highlight w:val="black"/>
        </w:rPr>
        <w:t>m</w:t>
      </w:r>
      <w:r>
        <w:rPr>
          <w:highlight w:val="black"/>
          <w:vertAlign w:val="superscript"/>
        </w:rPr>
        <w:t>3</w:t>
      </w:r>
      <w:r>
        <w:rPr>
          <w:highlight w:val="black"/>
        </w:rPr>
        <w:t>/min=</w:t>
      </w:r>
      <w:r>
        <w:rPr>
          <w:rFonts w:hint="eastAsia"/>
          <w:highlight w:val="black"/>
        </w:rPr>
        <w:t>2.43</w:t>
      </w:r>
      <w:r>
        <w:rPr>
          <w:highlight w:val="black"/>
        </w:rPr>
        <w:t>m³/s</w:t>
      </w:r>
    </w:p>
    <w:p w14:paraId="6A5B18E9">
      <w:pPr>
        <w:ind w:firstLine="583"/>
        <w:rPr>
          <w:highlight w:val="black"/>
        </w:rPr>
      </w:pPr>
      <w:r>
        <w:rPr>
          <w:rFonts w:hint="eastAsia"/>
          <w:highlight w:val="black"/>
        </w:rPr>
        <w:t>（2）</w:t>
      </w:r>
      <w:r>
        <w:rPr>
          <w:highlight w:val="black"/>
        </w:rPr>
        <w:t>按实际需要计算矿井所需总风量</w:t>
      </w:r>
    </w:p>
    <w:p w14:paraId="43D79E6D">
      <w:pPr>
        <w:ind w:firstLine="583"/>
        <w:rPr>
          <w:highlight w:val="black"/>
        </w:rPr>
      </w:pPr>
      <w:r>
        <w:rPr>
          <w:highlight w:val="black"/>
        </w:rPr>
        <w:t>按各采掘工作面、需独立通风的硐室与其他需风量以及矿井漏风量计算：</w:t>
      </w:r>
    </w:p>
    <w:p w14:paraId="41E59822">
      <w:pPr>
        <w:adjustRightInd w:val="0"/>
        <w:snapToGrid w:val="0"/>
        <w:spacing w:line="520" w:lineRule="atLeast"/>
        <w:ind w:firstLine="543"/>
        <w:jc w:val="center"/>
        <w:rPr>
          <w:kern w:val="0"/>
          <w:sz w:val="26"/>
          <w:highlight w:val="black"/>
        </w:rPr>
      </w:pPr>
      <w:r>
        <w:rPr>
          <w:kern w:val="0"/>
          <w:sz w:val="26"/>
          <w:highlight w:val="black"/>
        </w:rPr>
        <w:pict>
          <v:shape id="对象 1099" o:spid="_x0000_s1027" o:spt="75" type="#_x0000_t75" style="position:absolute;left:0pt;margin-left:130.95pt;margin-top:1.95pt;height:23.35pt;width:170.8pt;z-index:251663360;mso-width-relative:page;mso-height-relative:page;" o:ole="t" filled="f" o:preferrelative="t" stroked="f" coordsize="21600,21600">
            <v:path/>
            <v:fill on="f" focussize="0,0"/>
            <v:stroke on="f" joinstyle="miter"/>
            <v:imagedata r:id="rId30" o:title=""/>
            <o:lock v:ext="edit" aspectratio="t"/>
          </v:shape>
          <o:OLEObject Type="Embed" ProgID="" ShapeID="对象 1099" DrawAspect="Content" ObjectID="_1468075727" r:id="rId29">
            <o:LockedField>false</o:LockedField>
          </o:OLEObject>
        </w:pict>
      </w:r>
    </w:p>
    <w:p w14:paraId="200A36B5">
      <w:pPr>
        <w:ind w:firstLine="583"/>
        <w:rPr>
          <w:highlight w:val="black"/>
        </w:rPr>
      </w:pPr>
      <w:r>
        <w:rPr>
          <w:highlight w:val="black"/>
        </w:rPr>
        <w:t>式中：Q－矿井所需总风量，m³/s；</w:t>
      </w:r>
    </w:p>
    <w:p w14:paraId="42E175E0">
      <w:pPr>
        <w:ind w:firstLine="583"/>
        <w:rPr>
          <w:highlight w:val="black"/>
        </w:rPr>
      </w:pPr>
      <w:r>
        <w:rPr>
          <w:highlight w:val="black"/>
        </w:rPr>
        <w:t>q</w:t>
      </w:r>
      <w:r>
        <w:rPr>
          <w:highlight w:val="black"/>
          <w:vertAlign w:val="subscript"/>
        </w:rPr>
        <w:t>h</w:t>
      </w:r>
      <w:r>
        <w:rPr>
          <w:highlight w:val="black"/>
        </w:rPr>
        <w:t>－回采工作面</w:t>
      </w:r>
      <w:r>
        <w:rPr>
          <w:rFonts w:hint="eastAsia"/>
          <w:highlight w:val="black"/>
        </w:rPr>
        <w:t>（</w:t>
      </w:r>
      <w:r>
        <w:rPr>
          <w:highlight w:val="black"/>
        </w:rPr>
        <w:t>包括备用采场</w:t>
      </w:r>
      <w:r>
        <w:rPr>
          <w:rFonts w:hint="eastAsia"/>
          <w:highlight w:val="black"/>
        </w:rPr>
        <w:t>）</w:t>
      </w:r>
      <w:r>
        <w:rPr>
          <w:highlight w:val="black"/>
        </w:rPr>
        <w:t>所需风量，m³/s；</w:t>
      </w:r>
    </w:p>
    <w:p w14:paraId="5E73EE16">
      <w:pPr>
        <w:ind w:firstLine="583"/>
        <w:rPr>
          <w:highlight w:val="black"/>
        </w:rPr>
      </w:pPr>
      <w:r>
        <w:rPr>
          <w:highlight w:val="black"/>
        </w:rPr>
        <w:t>q</w:t>
      </w:r>
      <w:r>
        <w:rPr>
          <w:highlight w:val="black"/>
          <w:vertAlign w:val="subscript"/>
        </w:rPr>
        <w:t>j</w:t>
      </w:r>
      <w:r>
        <w:rPr>
          <w:highlight w:val="black"/>
        </w:rPr>
        <w:t>－掘进工作面所需风量，m³/s；</w:t>
      </w:r>
    </w:p>
    <w:p w14:paraId="2081A86C">
      <w:pPr>
        <w:ind w:firstLine="583"/>
        <w:rPr>
          <w:highlight w:val="black"/>
        </w:rPr>
      </w:pPr>
      <w:r>
        <w:rPr>
          <w:highlight w:val="black"/>
        </w:rPr>
        <w:t>q</w:t>
      </w:r>
      <w:r>
        <w:rPr>
          <w:highlight w:val="black"/>
          <w:vertAlign w:val="subscript"/>
        </w:rPr>
        <w:t>d</w:t>
      </w:r>
      <w:r>
        <w:rPr>
          <w:highlight w:val="black"/>
        </w:rPr>
        <w:t>－独立通风的硐室所需风量，m³/s；</w:t>
      </w:r>
    </w:p>
    <w:p w14:paraId="2926F653">
      <w:pPr>
        <w:ind w:firstLine="583"/>
        <w:rPr>
          <w:highlight w:val="black"/>
        </w:rPr>
      </w:pPr>
      <w:r>
        <w:rPr>
          <w:highlight w:val="black"/>
        </w:rPr>
        <w:t>k</w:t>
      </w:r>
      <w:r>
        <w:rPr>
          <w:highlight w:val="black"/>
          <w:vertAlign w:val="subscript"/>
        </w:rPr>
        <w:t>1</w:t>
      </w:r>
      <w:r>
        <w:rPr>
          <w:highlight w:val="black"/>
        </w:rPr>
        <w:t>－内部漏风系数，1.1；</w:t>
      </w:r>
    </w:p>
    <w:p w14:paraId="56C4A5BE">
      <w:pPr>
        <w:ind w:firstLine="583"/>
        <w:rPr>
          <w:highlight w:val="black"/>
        </w:rPr>
      </w:pPr>
      <w:r>
        <w:rPr>
          <w:highlight w:val="black"/>
        </w:rPr>
        <w:t>k</w:t>
      </w:r>
      <w:r>
        <w:rPr>
          <w:highlight w:val="black"/>
          <w:vertAlign w:val="subscript"/>
        </w:rPr>
        <w:t>2</w:t>
      </w:r>
      <w:r>
        <w:rPr>
          <w:highlight w:val="black"/>
        </w:rPr>
        <w:t>－外部漏风系数，1.15。</w:t>
      </w:r>
    </w:p>
    <w:p w14:paraId="511750D3">
      <w:pPr>
        <w:ind w:firstLine="583"/>
        <w:rPr>
          <w:highlight w:val="black"/>
        </w:rPr>
      </w:pPr>
      <w:r>
        <w:rPr>
          <w:rFonts w:hint="eastAsia"/>
          <w:highlight w:val="black"/>
        </w:rPr>
        <w:t>1）</w:t>
      </w:r>
      <w:r>
        <w:rPr>
          <w:highlight w:val="black"/>
        </w:rPr>
        <w:t>回采工作面所需风量</w:t>
      </w:r>
    </w:p>
    <w:p w14:paraId="06849096">
      <w:pPr>
        <w:ind w:firstLine="583"/>
        <w:rPr>
          <w:highlight w:val="black"/>
        </w:rPr>
      </w:pPr>
      <w:r>
        <w:rPr>
          <w:highlight w:val="black"/>
        </w:rPr>
        <w:t>按排尘风速、排除炮烟分别计算回采工作面所需风量如下：</w:t>
      </w:r>
    </w:p>
    <w:p w14:paraId="26AB8D7B">
      <w:pPr>
        <w:ind w:firstLine="583"/>
        <w:rPr>
          <w:highlight w:val="black"/>
        </w:rPr>
      </w:pPr>
      <w:r>
        <w:rPr>
          <w:highlight w:val="black"/>
        </w:rPr>
        <w:t>a、按排尘风速计算</w:t>
      </w:r>
    </w:p>
    <w:p w14:paraId="1E5F69FF">
      <w:pPr>
        <w:ind w:firstLine="583"/>
        <w:rPr>
          <w:highlight w:val="black"/>
        </w:rPr>
      </w:pPr>
      <w:r>
        <w:rPr>
          <w:highlight w:val="black"/>
        </w:rPr>
        <w:t>按产尘设备在作业面的过风断面和排尘风速计算：</w:t>
      </w:r>
    </w:p>
    <w:p w14:paraId="4D722BF6">
      <w:pPr>
        <w:adjustRightInd w:val="0"/>
        <w:snapToGrid w:val="0"/>
        <w:spacing w:line="520" w:lineRule="atLeast"/>
        <w:ind w:firstLine="543"/>
        <w:jc w:val="center"/>
        <w:rPr>
          <w:kern w:val="0"/>
          <w:sz w:val="26"/>
          <w:highlight w:val="black"/>
        </w:rPr>
      </w:pPr>
      <w:r>
        <w:rPr>
          <w:kern w:val="0"/>
          <w:position w:val="-12"/>
          <w:sz w:val="26"/>
          <w:highlight w:val="black"/>
        </w:rPr>
        <w:drawing>
          <wp:inline distT="0" distB="0" distL="114300" distR="114300">
            <wp:extent cx="664210" cy="293370"/>
            <wp:effectExtent l="0" t="0" r="6350" b="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31"/>
                    <a:stretch>
                      <a:fillRect/>
                    </a:stretch>
                  </pic:blipFill>
                  <pic:spPr>
                    <a:xfrm>
                      <a:off x="0" y="0"/>
                      <a:ext cx="664210" cy="293370"/>
                    </a:xfrm>
                    <a:prstGeom prst="rect">
                      <a:avLst/>
                    </a:prstGeom>
                    <a:noFill/>
                    <a:ln>
                      <a:noFill/>
                    </a:ln>
                  </pic:spPr>
                </pic:pic>
              </a:graphicData>
            </a:graphic>
          </wp:inline>
        </w:drawing>
      </w:r>
    </w:p>
    <w:p w14:paraId="300D4B6B">
      <w:pPr>
        <w:ind w:firstLine="583"/>
        <w:rPr>
          <w:highlight w:val="black"/>
        </w:rPr>
      </w:pPr>
      <w:r>
        <w:rPr>
          <w:highlight w:val="black"/>
        </w:rPr>
        <w:t>式中：q</w:t>
      </w:r>
      <w:r>
        <w:rPr>
          <w:highlight w:val="black"/>
          <w:vertAlign w:val="subscript"/>
        </w:rPr>
        <w:t>hs</w:t>
      </w:r>
      <w:r>
        <w:rPr>
          <w:highlight w:val="black"/>
        </w:rPr>
        <w:t>－作业面排尘需风量，m³/s；</w:t>
      </w:r>
    </w:p>
    <w:p w14:paraId="0913138D">
      <w:pPr>
        <w:ind w:firstLine="583"/>
        <w:rPr>
          <w:highlight w:val="black"/>
        </w:rPr>
      </w:pPr>
      <w:r>
        <w:rPr>
          <w:highlight w:val="black"/>
        </w:rPr>
        <w:t>s－工人和产尘设备所在位置的过风断面，</w:t>
      </w:r>
      <w:r>
        <w:rPr>
          <w:rFonts w:hint="eastAsia"/>
          <w:highlight w:val="black"/>
        </w:rPr>
        <w:t>25</w:t>
      </w:r>
      <w:r>
        <w:rPr>
          <w:highlight w:val="black"/>
        </w:rPr>
        <w:t>m</w:t>
      </w:r>
      <w:r>
        <w:rPr>
          <w:highlight w:val="black"/>
          <w:vertAlign w:val="superscript"/>
        </w:rPr>
        <w:t>2</w:t>
      </w:r>
      <w:r>
        <w:rPr>
          <w:highlight w:val="black"/>
        </w:rPr>
        <w:t>；</w:t>
      </w:r>
    </w:p>
    <w:p w14:paraId="3BE1CD3B">
      <w:pPr>
        <w:ind w:firstLine="583"/>
        <w:rPr>
          <w:highlight w:val="black"/>
        </w:rPr>
      </w:pPr>
      <w:r>
        <w:rPr>
          <w:highlight w:val="black"/>
        </w:rPr>
        <w:t>v－作业面排尘风速，巷道型作业面，取0.</w:t>
      </w:r>
      <w:r>
        <w:rPr>
          <w:rFonts w:hint="eastAsia"/>
          <w:highlight w:val="black"/>
        </w:rPr>
        <w:t>1</w:t>
      </w:r>
      <w:r>
        <w:rPr>
          <w:highlight w:val="black"/>
        </w:rPr>
        <w:t>5m/s。</w:t>
      </w:r>
    </w:p>
    <w:p w14:paraId="608B356F">
      <w:pPr>
        <w:ind w:firstLine="583"/>
        <w:rPr>
          <w:highlight w:val="black"/>
        </w:rPr>
      </w:pPr>
      <w:r>
        <w:rPr>
          <w:highlight w:val="black"/>
        </w:rPr>
        <w:t>q</w:t>
      </w:r>
      <w:r>
        <w:rPr>
          <w:highlight w:val="black"/>
          <w:vertAlign w:val="subscript"/>
        </w:rPr>
        <w:t>hs</w:t>
      </w:r>
      <w:r>
        <w:rPr>
          <w:highlight w:val="black"/>
        </w:rPr>
        <w:t>=sv=</w:t>
      </w:r>
      <w:r>
        <w:rPr>
          <w:rFonts w:hint="eastAsia"/>
          <w:highlight w:val="black"/>
        </w:rPr>
        <w:t>25</w:t>
      </w:r>
      <w:r>
        <w:rPr>
          <w:highlight w:val="black"/>
        </w:rPr>
        <w:t>×0.</w:t>
      </w:r>
      <w:r>
        <w:rPr>
          <w:rFonts w:hint="eastAsia"/>
          <w:highlight w:val="black"/>
        </w:rPr>
        <w:t>1</w:t>
      </w:r>
      <w:r>
        <w:rPr>
          <w:highlight w:val="black"/>
        </w:rPr>
        <w:t>5=</w:t>
      </w:r>
      <w:r>
        <w:rPr>
          <w:rFonts w:hint="eastAsia"/>
          <w:highlight w:val="black"/>
        </w:rPr>
        <w:t>3.75</w:t>
      </w:r>
      <w:r>
        <w:rPr>
          <w:highlight w:val="black"/>
        </w:rPr>
        <w:t>m</w:t>
      </w:r>
      <w:r>
        <w:rPr>
          <w:highlight w:val="black"/>
          <w:vertAlign w:val="superscript"/>
        </w:rPr>
        <w:t>3</w:t>
      </w:r>
      <w:r>
        <w:rPr>
          <w:highlight w:val="black"/>
        </w:rPr>
        <w:t>/s</w:t>
      </w:r>
    </w:p>
    <w:p w14:paraId="578DDDD5">
      <w:pPr>
        <w:ind w:firstLine="583"/>
        <w:rPr>
          <w:highlight w:val="black"/>
        </w:rPr>
      </w:pPr>
      <w:r>
        <w:rPr>
          <w:highlight w:val="black"/>
        </w:rPr>
        <w:t>b、按排除炮烟计算</w:t>
      </w:r>
    </w:p>
    <w:p w14:paraId="78840D8A">
      <w:pPr>
        <w:ind w:firstLine="583"/>
        <w:rPr>
          <w:highlight w:val="black"/>
        </w:rPr>
      </w:pPr>
      <w:r>
        <w:rPr>
          <w:rFonts w:hint="eastAsia"/>
          <w:highlight w:val="black"/>
        </w:rPr>
        <w:t>硐室型</w:t>
      </w:r>
    </w:p>
    <w:p w14:paraId="7D086D2D">
      <w:pPr>
        <w:adjustRightInd w:val="0"/>
        <w:snapToGrid w:val="0"/>
        <w:spacing w:after="191" w:afterLines="50" w:line="520" w:lineRule="exact"/>
        <w:ind w:firstLine="543"/>
        <w:jc w:val="center"/>
        <w:rPr>
          <w:color w:val="FF0000"/>
          <w:kern w:val="0"/>
          <w:sz w:val="26"/>
          <w:szCs w:val="26"/>
          <w:highlight w:val="black"/>
        </w:rPr>
      </w:pPr>
      <w:r>
        <w:rPr>
          <w:kern w:val="0"/>
          <w:position w:val="-30"/>
          <w:sz w:val="26"/>
          <w:szCs w:val="26"/>
          <w:highlight w:val="black"/>
        </w:rPr>
        <w:drawing>
          <wp:inline distT="0" distB="0" distL="114300" distR="114300">
            <wp:extent cx="1682115" cy="483235"/>
            <wp:effectExtent l="0" t="0" r="0" b="3810"/>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1"/>
                    </pic:cNvPicPr>
                  </pic:nvPicPr>
                  <pic:blipFill>
                    <a:blip r:embed="rId32"/>
                    <a:stretch>
                      <a:fillRect/>
                    </a:stretch>
                  </pic:blipFill>
                  <pic:spPr>
                    <a:xfrm>
                      <a:off x="0" y="0"/>
                      <a:ext cx="1682115" cy="483235"/>
                    </a:xfrm>
                    <a:prstGeom prst="rect">
                      <a:avLst/>
                    </a:prstGeom>
                    <a:noFill/>
                    <a:ln>
                      <a:noFill/>
                    </a:ln>
                  </pic:spPr>
                </pic:pic>
              </a:graphicData>
            </a:graphic>
          </wp:inline>
        </w:drawing>
      </w:r>
      <w:r>
        <w:rPr>
          <w:rFonts w:hint="eastAsia"/>
          <w:kern w:val="0"/>
          <w:sz w:val="26"/>
          <w:szCs w:val="26"/>
          <w:highlight w:val="black"/>
        </w:rPr>
        <w:t>=3.8</w:t>
      </w:r>
      <w:r>
        <w:rPr>
          <w:kern w:val="0"/>
          <w:sz w:val="26"/>
          <w:highlight w:val="black"/>
        </w:rPr>
        <w:t>m</w:t>
      </w:r>
      <w:r>
        <w:rPr>
          <w:kern w:val="0"/>
          <w:sz w:val="26"/>
          <w:highlight w:val="black"/>
          <w:vertAlign w:val="superscript"/>
        </w:rPr>
        <w:t>3</w:t>
      </w:r>
      <w:r>
        <w:rPr>
          <w:kern w:val="0"/>
          <w:sz w:val="26"/>
          <w:highlight w:val="black"/>
        </w:rPr>
        <w:t>/s</w:t>
      </w:r>
    </w:p>
    <w:p w14:paraId="475155E7">
      <w:pPr>
        <w:ind w:firstLine="583"/>
        <w:rPr>
          <w:highlight w:val="black"/>
        </w:rPr>
      </w:pPr>
      <w:r>
        <w:rPr>
          <w:highlight w:val="black"/>
        </w:rPr>
        <w:t>式中：q</w:t>
      </w:r>
      <w:r>
        <w:rPr>
          <w:highlight w:val="black"/>
          <w:vertAlign w:val="subscript"/>
        </w:rPr>
        <w:t>hr</w:t>
      </w:r>
      <w:r>
        <w:rPr>
          <w:highlight w:val="black"/>
        </w:rPr>
        <w:t>－采场排烟需风量，m³/s</w:t>
      </w:r>
      <w:r>
        <w:rPr>
          <w:rFonts w:hint="eastAsia"/>
          <w:highlight w:val="black"/>
        </w:rPr>
        <w:t>；</w:t>
      </w:r>
    </w:p>
    <w:p w14:paraId="165950D1">
      <w:pPr>
        <w:ind w:firstLine="583"/>
        <w:rPr>
          <w:highlight w:val="black"/>
        </w:rPr>
      </w:pPr>
      <w:r>
        <w:rPr>
          <w:rFonts w:hint="eastAsia"/>
          <w:highlight w:val="black"/>
        </w:rPr>
        <w:t>V</w:t>
      </w:r>
      <w:r>
        <w:rPr>
          <w:highlight w:val="black"/>
        </w:rPr>
        <w:t>－</w:t>
      </w:r>
      <w:r>
        <w:rPr>
          <w:rFonts w:hint="eastAsia"/>
          <w:highlight w:val="black"/>
        </w:rPr>
        <w:t>采场硐室体积</w:t>
      </w:r>
      <w:r>
        <w:rPr>
          <w:highlight w:val="black"/>
        </w:rPr>
        <w:t>，</w:t>
      </w:r>
      <w:r>
        <w:rPr>
          <w:rFonts w:hint="eastAsia"/>
          <w:highlight w:val="black"/>
        </w:rPr>
        <w:t>750</w:t>
      </w:r>
      <w:r>
        <w:rPr>
          <w:highlight w:val="black"/>
        </w:rPr>
        <w:t>m</w:t>
      </w:r>
      <w:r>
        <w:rPr>
          <w:highlight w:val="black"/>
          <w:vertAlign w:val="superscript"/>
        </w:rPr>
        <w:t>3</w:t>
      </w:r>
      <w:r>
        <w:rPr>
          <w:rFonts w:hint="eastAsia"/>
          <w:highlight w:val="black"/>
        </w:rPr>
        <w:t>；</w:t>
      </w:r>
    </w:p>
    <w:p w14:paraId="7B7E29DB">
      <w:pPr>
        <w:ind w:firstLine="583"/>
        <w:rPr>
          <w:highlight w:val="black"/>
        </w:rPr>
      </w:pPr>
      <w:r>
        <w:rPr>
          <w:highlight w:val="black"/>
        </w:rPr>
        <w:t>t－爆破后通风时间，1200s</w:t>
      </w:r>
      <w:r>
        <w:rPr>
          <w:rFonts w:hint="eastAsia"/>
          <w:highlight w:val="black"/>
        </w:rPr>
        <w:t>；</w:t>
      </w:r>
    </w:p>
    <w:p w14:paraId="32189EC9">
      <w:pPr>
        <w:ind w:firstLine="583"/>
        <w:rPr>
          <w:highlight w:val="black"/>
        </w:rPr>
      </w:pPr>
      <w:r>
        <w:rPr>
          <w:rFonts w:hint="eastAsia"/>
          <w:highlight w:val="black"/>
        </w:rPr>
        <w:t>K</w:t>
      </w:r>
      <w:r>
        <w:rPr>
          <w:rFonts w:hint="eastAsia"/>
          <w:highlight w:val="black"/>
          <w:vertAlign w:val="subscript"/>
        </w:rPr>
        <w:t>ω</w:t>
      </w:r>
      <w:r>
        <w:rPr>
          <w:highlight w:val="black"/>
        </w:rPr>
        <w:t>－</w:t>
      </w:r>
      <w:r>
        <w:rPr>
          <w:rFonts w:hint="eastAsia"/>
          <w:highlight w:val="black"/>
        </w:rPr>
        <w:t>紊流扩散系数；</w:t>
      </w:r>
    </w:p>
    <w:p w14:paraId="759051F8">
      <w:pPr>
        <w:ind w:firstLine="583"/>
        <w:rPr>
          <w:highlight w:val="black"/>
        </w:rPr>
      </w:pPr>
      <w:r>
        <w:rPr>
          <w:rFonts w:hint="eastAsia"/>
          <w:highlight w:val="black"/>
        </w:rPr>
        <w:t>A</w:t>
      </w:r>
      <w:r>
        <w:rPr>
          <w:highlight w:val="black"/>
        </w:rPr>
        <w:t>－</w:t>
      </w:r>
      <w:r>
        <w:rPr>
          <w:rFonts w:hint="eastAsia"/>
          <w:highlight w:val="black"/>
        </w:rPr>
        <w:t>采场一次爆破的炸药量，kg。</w:t>
      </w:r>
    </w:p>
    <w:p w14:paraId="3CA585D7">
      <w:pPr>
        <w:ind w:firstLine="583"/>
        <w:rPr>
          <w:highlight w:val="black"/>
        </w:rPr>
      </w:pPr>
      <w:r>
        <w:rPr>
          <w:rFonts w:hint="eastAsia"/>
          <w:highlight w:val="black"/>
        </w:rPr>
        <w:t>紊流扩散系数K</w:t>
      </w:r>
      <w:r>
        <w:rPr>
          <w:rFonts w:hint="eastAsia"/>
          <w:highlight w:val="black"/>
          <w:vertAlign w:val="subscript"/>
        </w:rPr>
        <w:t>ω</w:t>
      </w:r>
      <w:r>
        <w:rPr>
          <w:rFonts w:hint="eastAsia"/>
          <w:highlight w:val="black"/>
        </w:rPr>
        <w:t>的选取：</w:t>
      </w:r>
    </w:p>
    <w:p w14:paraId="350C4E91">
      <w:pPr>
        <w:ind w:firstLine="583"/>
        <w:rPr>
          <w:highlight w:val="black"/>
        </w:rPr>
      </w:pPr>
      <w:r>
        <w:rPr>
          <w:rFonts w:hint="eastAsia"/>
          <w:highlight w:val="black"/>
        </w:rPr>
        <w:t>先按下式计算DT值，再取K</w:t>
      </w:r>
      <w:r>
        <w:rPr>
          <w:rFonts w:hint="eastAsia"/>
          <w:highlight w:val="black"/>
          <w:vertAlign w:val="subscript"/>
        </w:rPr>
        <w:t>ω</w:t>
      </w:r>
      <w:r>
        <w:rPr>
          <w:rFonts w:hint="eastAsia"/>
          <w:highlight w:val="black"/>
        </w:rPr>
        <w:t>值为0.46：</w:t>
      </w:r>
    </w:p>
    <w:p w14:paraId="342ED2C3">
      <w:pPr>
        <w:ind w:firstLine="583"/>
        <w:rPr>
          <w:highlight w:val="black"/>
        </w:rPr>
      </w:pPr>
      <w:r>
        <w:rPr>
          <w:rFonts w:hint="eastAsia"/>
          <w:highlight w:val="black"/>
        </w:rPr>
        <w:t>非扁平型硐室：</w:t>
      </w:r>
    </w:p>
    <w:p w14:paraId="035864A0">
      <w:pPr>
        <w:adjustRightInd w:val="0"/>
        <w:snapToGrid w:val="0"/>
        <w:spacing w:after="383" w:afterLines="100" w:line="520" w:lineRule="exact"/>
        <w:ind w:firstLine="1436" w:firstLineChars="530"/>
        <w:jc w:val="center"/>
        <w:rPr>
          <w:sz w:val="26"/>
          <w:szCs w:val="26"/>
          <w:highlight w:val="black"/>
        </w:rPr>
      </w:pPr>
      <w:r>
        <w:rPr>
          <w:kern w:val="0"/>
          <w:position w:val="-34"/>
          <w:sz w:val="26"/>
          <w:szCs w:val="26"/>
          <w:highlight w:val="black"/>
        </w:rPr>
        <w:drawing>
          <wp:inline distT="0" distB="0" distL="114300" distR="114300">
            <wp:extent cx="819785" cy="509270"/>
            <wp:effectExtent l="0" t="0" r="0" b="9525"/>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pic:cNvPicPr>
                  </pic:nvPicPr>
                  <pic:blipFill>
                    <a:blip r:embed="rId33"/>
                    <a:stretch>
                      <a:fillRect/>
                    </a:stretch>
                  </pic:blipFill>
                  <pic:spPr>
                    <a:xfrm>
                      <a:off x="0" y="0"/>
                      <a:ext cx="819785" cy="509270"/>
                    </a:xfrm>
                    <a:prstGeom prst="rect">
                      <a:avLst/>
                    </a:prstGeom>
                    <a:noFill/>
                    <a:ln>
                      <a:noFill/>
                    </a:ln>
                  </pic:spPr>
                </pic:pic>
              </a:graphicData>
            </a:graphic>
          </wp:inline>
        </w:drawing>
      </w:r>
      <w:r>
        <w:rPr>
          <w:rFonts w:hint="eastAsia"/>
          <w:kern w:val="0"/>
          <w:sz w:val="26"/>
          <w:szCs w:val="26"/>
          <w:highlight w:val="black"/>
        </w:rPr>
        <w:t>=0.6</w:t>
      </w:r>
    </w:p>
    <w:p w14:paraId="7119032C">
      <w:pPr>
        <w:ind w:firstLine="583"/>
        <w:rPr>
          <w:highlight w:val="black"/>
        </w:rPr>
      </w:pPr>
      <w:r>
        <w:rPr>
          <w:rFonts w:hint="eastAsia"/>
          <w:highlight w:val="black"/>
        </w:rPr>
        <w:t>式中：S</w:t>
      </w:r>
      <w:r>
        <w:rPr>
          <w:rFonts w:hint="eastAsia"/>
          <w:highlight w:val="black"/>
          <w:vertAlign w:val="subscript"/>
        </w:rPr>
        <w:t>0</w:t>
      </w:r>
      <w:r>
        <w:rPr>
          <w:highlight w:val="black"/>
        </w:rPr>
        <w:t>－</w:t>
      </w:r>
      <w:r>
        <w:rPr>
          <w:rFonts w:hint="eastAsia"/>
          <w:highlight w:val="black"/>
        </w:rPr>
        <w:t>非扁平型硐室进风巷道断面，m</w:t>
      </w:r>
      <w:r>
        <w:rPr>
          <w:rFonts w:hint="eastAsia"/>
          <w:highlight w:val="black"/>
          <w:vertAlign w:val="superscript"/>
        </w:rPr>
        <w:t>2</w:t>
      </w:r>
      <w:r>
        <w:rPr>
          <w:rFonts w:hint="eastAsia"/>
          <w:highlight w:val="black"/>
        </w:rPr>
        <w:t>；</w:t>
      </w:r>
    </w:p>
    <w:p w14:paraId="679B9FE6">
      <w:pPr>
        <w:ind w:firstLine="583"/>
        <w:rPr>
          <w:highlight w:val="black"/>
        </w:rPr>
      </w:pPr>
      <w:r>
        <w:rPr>
          <w:rFonts w:hint="eastAsia"/>
          <w:highlight w:val="black"/>
        </w:rPr>
        <w:t>a</w:t>
      </w:r>
      <w:r>
        <w:rPr>
          <w:highlight w:val="black"/>
        </w:rPr>
        <w:t>－</w:t>
      </w:r>
      <w:r>
        <w:rPr>
          <w:rFonts w:hint="eastAsia"/>
          <w:highlight w:val="black"/>
        </w:rPr>
        <w:t>风流结构系数，非扁平型硐室取0.06-0.10；</w:t>
      </w:r>
    </w:p>
    <w:p w14:paraId="58523091">
      <w:pPr>
        <w:ind w:firstLine="583"/>
        <w:rPr>
          <w:highlight w:val="black"/>
        </w:rPr>
      </w:pPr>
      <w:r>
        <w:rPr>
          <w:highlight w:val="black"/>
        </w:rPr>
        <w:t>L－采场长度，</w:t>
      </w:r>
      <w:r>
        <w:rPr>
          <w:rFonts w:hint="eastAsia"/>
          <w:highlight w:val="black"/>
        </w:rPr>
        <w:t>30</w:t>
      </w:r>
      <w:r>
        <w:rPr>
          <w:highlight w:val="black"/>
        </w:rPr>
        <w:t>m</w:t>
      </w:r>
      <w:r>
        <w:rPr>
          <w:rFonts w:hint="eastAsia"/>
          <w:highlight w:val="black"/>
        </w:rPr>
        <w:t>。</w:t>
      </w:r>
    </w:p>
    <w:p w14:paraId="641E07BC">
      <w:pPr>
        <w:ind w:firstLine="583"/>
        <w:rPr>
          <w:highlight w:val="black"/>
        </w:rPr>
      </w:pPr>
      <w:r>
        <w:rPr>
          <w:highlight w:val="black"/>
        </w:rPr>
        <w:t>综上：按排尘风速、排除炮烟分别计算回采工作面所需风量，取最大值确定回采工作面所需风量为</w:t>
      </w:r>
      <w:r>
        <w:rPr>
          <w:rFonts w:hint="eastAsia"/>
          <w:highlight w:val="black"/>
        </w:rPr>
        <w:t>3.8</w:t>
      </w:r>
      <w:r>
        <w:rPr>
          <w:highlight w:val="black"/>
        </w:rPr>
        <w:t>m³/s。</w:t>
      </w:r>
    </w:p>
    <w:p w14:paraId="6F1BA810">
      <w:pPr>
        <w:ind w:firstLine="583"/>
        <w:rPr>
          <w:highlight w:val="black"/>
        </w:rPr>
      </w:pPr>
      <w:r>
        <w:rPr>
          <w:rFonts w:hint="eastAsia"/>
          <w:highlight w:val="black"/>
        </w:rPr>
        <w:t>2）</w:t>
      </w:r>
      <w:r>
        <w:rPr>
          <w:highlight w:val="black"/>
        </w:rPr>
        <w:t>备用工作面所需风量</w:t>
      </w:r>
    </w:p>
    <w:p w14:paraId="130B55D1">
      <w:pPr>
        <w:ind w:firstLine="583"/>
        <w:rPr>
          <w:highlight w:val="black"/>
        </w:rPr>
      </w:pPr>
      <w:r>
        <w:rPr>
          <w:highlight w:val="black"/>
        </w:rPr>
        <w:t>备用工作面风量不低于回采工作面所需风量的一半，即为</w:t>
      </w:r>
      <w:r>
        <w:rPr>
          <w:rFonts w:hint="eastAsia"/>
          <w:highlight w:val="black"/>
        </w:rPr>
        <w:t>1.9</w:t>
      </w:r>
      <w:r>
        <w:rPr>
          <w:highlight w:val="black"/>
        </w:rPr>
        <w:t>m³/s。</w:t>
      </w:r>
    </w:p>
    <w:p w14:paraId="34E7EAE6">
      <w:pPr>
        <w:ind w:firstLine="583"/>
        <w:rPr>
          <w:highlight w:val="black"/>
        </w:rPr>
      </w:pPr>
      <w:r>
        <w:rPr>
          <w:rFonts w:hint="eastAsia"/>
          <w:highlight w:val="black"/>
        </w:rPr>
        <w:t>3）</w:t>
      </w:r>
      <w:r>
        <w:rPr>
          <w:highlight w:val="black"/>
        </w:rPr>
        <w:t>掘进工作面所需风量</w:t>
      </w:r>
    </w:p>
    <w:p w14:paraId="402B4755">
      <w:pPr>
        <w:ind w:firstLine="583"/>
        <w:rPr>
          <w:highlight w:val="black"/>
        </w:rPr>
      </w:pPr>
      <w:r>
        <w:rPr>
          <w:highlight w:val="black"/>
        </w:rPr>
        <w:t>根据采矿设计手册选取掘进工作面所需风量为1.5m³/s。</w:t>
      </w:r>
    </w:p>
    <w:p w14:paraId="575C502F">
      <w:pPr>
        <w:ind w:firstLine="583"/>
        <w:rPr>
          <w:highlight w:val="black"/>
        </w:rPr>
      </w:pPr>
      <w:r>
        <w:rPr>
          <w:rFonts w:hint="eastAsia"/>
          <w:highlight w:val="black"/>
        </w:rPr>
        <w:t>4）</w:t>
      </w:r>
      <w:r>
        <w:rPr>
          <w:highlight w:val="black"/>
        </w:rPr>
        <w:t>硐室所需风量</w:t>
      </w:r>
    </w:p>
    <w:p w14:paraId="0B7CFFC8">
      <w:pPr>
        <w:ind w:firstLine="583"/>
        <w:rPr>
          <w:highlight w:val="black"/>
        </w:rPr>
      </w:pPr>
      <w:r>
        <w:rPr>
          <w:highlight w:val="black"/>
        </w:rPr>
        <w:t>由于本系统年产量较小，通风系统较为简单，需风硐室有井下水泵硐室、</w:t>
      </w:r>
      <w:r>
        <w:rPr>
          <w:rFonts w:hint="eastAsia"/>
          <w:highlight w:val="black"/>
        </w:rPr>
        <w:t>充电硐室</w:t>
      </w:r>
      <w:r>
        <w:rPr>
          <w:highlight w:val="black"/>
        </w:rPr>
        <w:t>等，参考采矿手册选取硐室所需风量为1.5m³/s。</w:t>
      </w:r>
    </w:p>
    <w:p w14:paraId="556D53ED">
      <w:pPr>
        <w:ind w:firstLine="583"/>
        <w:rPr>
          <w:highlight w:val="black"/>
        </w:rPr>
      </w:pPr>
      <w:r>
        <w:rPr>
          <w:rFonts w:hint="eastAsia"/>
          <w:highlight w:val="black"/>
        </w:rPr>
        <w:t>（3）</w:t>
      </w:r>
      <w:r>
        <w:rPr>
          <w:highlight w:val="black"/>
        </w:rPr>
        <w:t>全矿需风量计算</w:t>
      </w:r>
    </w:p>
    <w:p w14:paraId="5E3994BF">
      <w:pPr>
        <w:ind w:firstLine="583"/>
        <w:rPr>
          <w:highlight w:val="black"/>
        </w:rPr>
      </w:pPr>
      <w:r>
        <w:rPr>
          <w:highlight w:val="black"/>
        </w:rPr>
        <w:t>依据《金属非金属地下矿山通风技术规范通风系统》(AQ2013.1-2008)：</w:t>
      </w:r>
    </w:p>
    <w:p w14:paraId="620C4192">
      <w:pPr>
        <w:ind w:firstLine="583"/>
        <w:rPr>
          <w:highlight w:val="black"/>
        </w:rPr>
      </w:pPr>
      <w:r>
        <w:rPr>
          <w:highlight w:val="black"/>
        </w:rPr>
        <w:t>风量备用系数是考虑到矿井有难以避免的漏风，同时也包含风量调整不及时和生产不均衡等因素而设立的大于l的系数：如果地表没有崩落区，K=1.25～1.40；一般矿井，K=1.3～1.45；地表有崩落区，K=1.35～1.5。本矿地表没有崩落区，且中段巷道较短，风路简单，故</w:t>
      </w:r>
      <w:r>
        <w:rPr>
          <w:rFonts w:hint="eastAsia"/>
          <w:highlight w:val="black"/>
        </w:rPr>
        <w:t>设计</w:t>
      </w:r>
      <w:r>
        <w:rPr>
          <w:highlight w:val="black"/>
        </w:rPr>
        <w:t>K=1.1×1.15=1.25，符合实际需求。</w:t>
      </w:r>
    </w:p>
    <w:p w14:paraId="0B3C643F">
      <w:pPr>
        <w:spacing w:line="240" w:lineRule="auto"/>
        <w:ind w:firstLine="0" w:firstLineChars="0"/>
        <w:jc w:val="center"/>
        <w:rPr>
          <w:b/>
          <w:sz w:val="21"/>
          <w:szCs w:val="21"/>
        </w:rPr>
      </w:pPr>
      <w:r>
        <w:rPr>
          <w:b/>
          <w:sz w:val="21"/>
          <w:szCs w:val="21"/>
        </w:rPr>
        <w:t>表</w:t>
      </w:r>
      <w:r>
        <w:rPr>
          <w:rFonts w:hint="eastAsia"/>
          <w:b/>
          <w:sz w:val="21"/>
          <w:szCs w:val="21"/>
        </w:rPr>
        <w:t>2-14</w:t>
      </w:r>
      <w:r>
        <w:rPr>
          <w:b/>
          <w:sz w:val="21"/>
          <w:szCs w:val="21"/>
        </w:rPr>
        <w:t>全矿需风量统计表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068"/>
        <w:gridCol w:w="1777"/>
        <w:gridCol w:w="1258"/>
        <w:gridCol w:w="1400"/>
      </w:tblGrid>
      <w:tr w14:paraId="5E3E6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92" w:type="pct"/>
            <w:vMerge w:val="restart"/>
            <w:tcBorders>
              <w:tl2br w:val="nil"/>
              <w:tr2bl w:val="nil"/>
            </w:tcBorders>
            <w:vAlign w:val="center"/>
          </w:tcPr>
          <w:p w14:paraId="26DE6F13">
            <w:pPr>
              <w:snapToGrid w:val="0"/>
              <w:spacing w:line="240" w:lineRule="atLeast"/>
              <w:ind w:firstLine="0" w:firstLineChars="0"/>
              <w:jc w:val="center"/>
              <w:rPr>
                <w:sz w:val="21"/>
                <w:highlight w:val="black"/>
              </w:rPr>
            </w:pPr>
            <w:bookmarkStart w:id="176" w:name="_Hlk192970581"/>
            <w:r>
              <w:rPr>
                <w:sz w:val="21"/>
                <w:highlight w:val="black"/>
              </w:rPr>
              <w:t>用风地点</w:t>
            </w:r>
          </w:p>
        </w:tc>
        <w:tc>
          <w:tcPr>
            <w:tcW w:w="1045" w:type="pct"/>
            <w:vMerge w:val="restart"/>
            <w:tcBorders>
              <w:tl2br w:val="nil"/>
              <w:tr2bl w:val="nil"/>
            </w:tcBorders>
            <w:vAlign w:val="center"/>
          </w:tcPr>
          <w:p w14:paraId="3E57E97E">
            <w:pPr>
              <w:snapToGrid w:val="0"/>
              <w:spacing w:line="240" w:lineRule="atLeast"/>
              <w:ind w:firstLine="0" w:firstLineChars="0"/>
              <w:jc w:val="center"/>
              <w:rPr>
                <w:sz w:val="21"/>
                <w:highlight w:val="black"/>
              </w:rPr>
            </w:pPr>
            <w:r>
              <w:rPr>
                <w:sz w:val="21"/>
                <w:highlight w:val="black"/>
              </w:rPr>
              <w:t>工作面个数</w:t>
            </w:r>
          </w:p>
        </w:tc>
        <w:tc>
          <w:tcPr>
            <w:tcW w:w="1563" w:type="pct"/>
            <w:gridSpan w:val="2"/>
            <w:tcBorders>
              <w:tl2br w:val="nil"/>
              <w:tr2bl w:val="nil"/>
            </w:tcBorders>
            <w:vAlign w:val="center"/>
          </w:tcPr>
          <w:p w14:paraId="4DA56C73">
            <w:pPr>
              <w:snapToGrid w:val="0"/>
              <w:spacing w:line="240" w:lineRule="atLeast"/>
              <w:ind w:firstLine="0" w:firstLineChars="0"/>
              <w:jc w:val="center"/>
              <w:rPr>
                <w:sz w:val="21"/>
                <w:highlight w:val="black"/>
              </w:rPr>
            </w:pPr>
            <w:r>
              <w:rPr>
                <w:sz w:val="21"/>
                <w:highlight w:val="black"/>
              </w:rPr>
              <w:t>需风量</w:t>
            </w:r>
            <w:r>
              <w:rPr>
                <w:rFonts w:hint="eastAsia"/>
                <w:sz w:val="21"/>
                <w:highlight w:val="black"/>
              </w:rPr>
              <w:t>（</w:t>
            </w:r>
            <w:r>
              <w:rPr>
                <w:sz w:val="21"/>
                <w:highlight w:val="black"/>
              </w:rPr>
              <w:t>m</w:t>
            </w:r>
            <w:r>
              <w:rPr>
                <w:sz w:val="21"/>
                <w:highlight w:val="black"/>
                <w:vertAlign w:val="superscript"/>
              </w:rPr>
              <w:t>3</w:t>
            </w:r>
            <w:r>
              <w:rPr>
                <w:sz w:val="21"/>
                <w:highlight w:val="black"/>
              </w:rPr>
              <w:t>/s</w:t>
            </w:r>
            <w:r>
              <w:rPr>
                <w:rFonts w:hint="eastAsia"/>
                <w:sz w:val="21"/>
                <w:highlight w:val="black"/>
              </w:rPr>
              <w:t>）</w:t>
            </w:r>
          </w:p>
        </w:tc>
      </w:tr>
      <w:tr w14:paraId="63D89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92" w:type="pct"/>
            <w:vMerge w:val="continue"/>
            <w:tcBorders>
              <w:tl2br w:val="nil"/>
              <w:tr2bl w:val="nil"/>
            </w:tcBorders>
            <w:vAlign w:val="center"/>
          </w:tcPr>
          <w:p w14:paraId="1A99ABDF">
            <w:pPr>
              <w:snapToGrid w:val="0"/>
              <w:spacing w:line="240" w:lineRule="atLeast"/>
              <w:ind w:firstLine="0" w:firstLineChars="0"/>
              <w:jc w:val="center"/>
              <w:rPr>
                <w:sz w:val="21"/>
                <w:highlight w:val="black"/>
              </w:rPr>
            </w:pPr>
          </w:p>
        </w:tc>
        <w:tc>
          <w:tcPr>
            <w:tcW w:w="1045" w:type="pct"/>
            <w:vMerge w:val="continue"/>
            <w:tcBorders>
              <w:tl2br w:val="nil"/>
              <w:tr2bl w:val="nil"/>
            </w:tcBorders>
            <w:vAlign w:val="center"/>
          </w:tcPr>
          <w:p w14:paraId="146346B5">
            <w:pPr>
              <w:snapToGrid w:val="0"/>
              <w:spacing w:line="240" w:lineRule="atLeast"/>
              <w:ind w:firstLine="0" w:firstLineChars="0"/>
              <w:jc w:val="center"/>
              <w:rPr>
                <w:sz w:val="21"/>
                <w:highlight w:val="black"/>
              </w:rPr>
            </w:pPr>
          </w:p>
        </w:tc>
        <w:tc>
          <w:tcPr>
            <w:tcW w:w="740" w:type="pct"/>
            <w:tcBorders>
              <w:tl2br w:val="nil"/>
              <w:tr2bl w:val="nil"/>
            </w:tcBorders>
            <w:vAlign w:val="center"/>
          </w:tcPr>
          <w:p w14:paraId="3F9C462D">
            <w:pPr>
              <w:snapToGrid w:val="0"/>
              <w:spacing w:line="240" w:lineRule="atLeast"/>
              <w:ind w:firstLine="0" w:firstLineChars="0"/>
              <w:jc w:val="center"/>
              <w:rPr>
                <w:sz w:val="21"/>
                <w:highlight w:val="black"/>
              </w:rPr>
            </w:pPr>
            <w:r>
              <w:rPr>
                <w:sz w:val="21"/>
                <w:highlight w:val="black"/>
              </w:rPr>
              <w:t>单位</w:t>
            </w:r>
          </w:p>
        </w:tc>
        <w:tc>
          <w:tcPr>
            <w:tcW w:w="823" w:type="pct"/>
            <w:tcBorders>
              <w:tl2br w:val="nil"/>
              <w:tr2bl w:val="nil"/>
            </w:tcBorders>
            <w:vAlign w:val="center"/>
          </w:tcPr>
          <w:p w14:paraId="693CFD91">
            <w:pPr>
              <w:snapToGrid w:val="0"/>
              <w:spacing w:line="240" w:lineRule="atLeast"/>
              <w:ind w:firstLine="0" w:firstLineChars="0"/>
              <w:jc w:val="center"/>
              <w:rPr>
                <w:sz w:val="21"/>
                <w:highlight w:val="black"/>
              </w:rPr>
            </w:pPr>
            <w:r>
              <w:rPr>
                <w:sz w:val="21"/>
                <w:highlight w:val="black"/>
              </w:rPr>
              <w:t>小计</w:t>
            </w:r>
          </w:p>
        </w:tc>
      </w:tr>
      <w:tr w14:paraId="346D5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087E4724">
            <w:pPr>
              <w:snapToGrid w:val="0"/>
              <w:spacing w:line="240" w:lineRule="atLeast"/>
              <w:ind w:firstLine="0" w:firstLineChars="0"/>
              <w:jc w:val="center"/>
              <w:rPr>
                <w:sz w:val="21"/>
                <w:highlight w:val="black"/>
              </w:rPr>
            </w:pPr>
            <w:r>
              <w:rPr>
                <w:sz w:val="21"/>
                <w:highlight w:val="black"/>
              </w:rPr>
              <w:t>采场</w:t>
            </w:r>
          </w:p>
        </w:tc>
        <w:tc>
          <w:tcPr>
            <w:tcW w:w="1045" w:type="pct"/>
            <w:tcBorders>
              <w:tl2br w:val="nil"/>
              <w:tr2bl w:val="nil"/>
            </w:tcBorders>
            <w:vAlign w:val="center"/>
          </w:tcPr>
          <w:p w14:paraId="6F7BD338">
            <w:pPr>
              <w:snapToGrid w:val="0"/>
              <w:spacing w:line="240" w:lineRule="atLeast"/>
              <w:ind w:firstLine="0" w:firstLineChars="0"/>
              <w:jc w:val="center"/>
              <w:rPr>
                <w:sz w:val="21"/>
                <w:highlight w:val="black"/>
              </w:rPr>
            </w:pPr>
            <w:r>
              <w:rPr>
                <w:rFonts w:hint="eastAsia"/>
                <w:sz w:val="21"/>
                <w:highlight w:val="black"/>
              </w:rPr>
              <w:t>4</w:t>
            </w:r>
          </w:p>
        </w:tc>
        <w:tc>
          <w:tcPr>
            <w:tcW w:w="740" w:type="pct"/>
            <w:tcBorders>
              <w:tl2br w:val="nil"/>
              <w:tr2bl w:val="nil"/>
            </w:tcBorders>
            <w:vAlign w:val="center"/>
          </w:tcPr>
          <w:p w14:paraId="7C62EC73">
            <w:pPr>
              <w:snapToGrid w:val="0"/>
              <w:spacing w:line="240" w:lineRule="atLeast"/>
              <w:ind w:firstLine="0" w:firstLineChars="0"/>
              <w:jc w:val="center"/>
              <w:rPr>
                <w:sz w:val="21"/>
                <w:highlight w:val="black"/>
              </w:rPr>
            </w:pPr>
            <w:r>
              <w:rPr>
                <w:rFonts w:hint="eastAsia"/>
                <w:sz w:val="21"/>
                <w:highlight w:val="black"/>
              </w:rPr>
              <w:t>3.8</w:t>
            </w:r>
          </w:p>
        </w:tc>
        <w:tc>
          <w:tcPr>
            <w:tcW w:w="823" w:type="pct"/>
            <w:tcBorders>
              <w:tl2br w:val="nil"/>
              <w:tr2bl w:val="nil"/>
            </w:tcBorders>
            <w:vAlign w:val="center"/>
          </w:tcPr>
          <w:p w14:paraId="7A15E133">
            <w:pPr>
              <w:snapToGrid w:val="0"/>
              <w:spacing w:line="240" w:lineRule="atLeast"/>
              <w:ind w:firstLine="0" w:firstLineChars="0"/>
              <w:jc w:val="center"/>
              <w:rPr>
                <w:sz w:val="21"/>
                <w:highlight w:val="black"/>
              </w:rPr>
            </w:pPr>
            <w:r>
              <w:rPr>
                <w:sz w:val="21"/>
                <w:szCs w:val="21"/>
                <w:highlight w:val="black"/>
              </w:rPr>
              <w:t>15.2</w:t>
            </w:r>
          </w:p>
        </w:tc>
      </w:tr>
      <w:tr w14:paraId="713E1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60D2B121">
            <w:pPr>
              <w:snapToGrid w:val="0"/>
              <w:spacing w:line="240" w:lineRule="atLeast"/>
              <w:ind w:firstLine="0" w:firstLineChars="0"/>
              <w:jc w:val="center"/>
              <w:rPr>
                <w:sz w:val="21"/>
                <w:highlight w:val="black"/>
              </w:rPr>
            </w:pPr>
            <w:r>
              <w:rPr>
                <w:sz w:val="21"/>
                <w:highlight w:val="black"/>
              </w:rPr>
              <w:t>采场备用</w:t>
            </w:r>
          </w:p>
        </w:tc>
        <w:tc>
          <w:tcPr>
            <w:tcW w:w="1045" w:type="pct"/>
            <w:tcBorders>
              <w:tl2br w:val="nil"/>
              <w:tr2bl w:val="nil"/>
            </w:tcBorders>
            <w:vAlign w:val="center"/>
          </w:tcPr>
          <w:p w14:paraId="0DE237A0">
            <w:pPr>
              <w:snapToGrid w:val="0"/>
              <w:spacing w:line="240" w:lineRule="atLeast"/>
              <w:ind w:firstLine="0" w:firstLineChars="0"/>
              <w:jc w:val="center"/>
              <w:rPr>
                <w:sz w:val="21"/>
                <w:highlight w:val="black"/>
              </w:rPr>
            </w:pPr>
            <w:r>
              <w:rPr>
                <w:rFonts w:hint="eastAsia"/>
                <w:sz w:val="21"/>
                <w:highlight w:val="black"/>
              </w:rPr>
              <w:t>4</w:t>
            </w:r>
          </w:p>
        </w:tc>
        <w:tc>
          <w:tcPr>
            <w:tcW w:w="740" w:type="pct"/>
            <w:tcBorders>
              <w:tl2br w:val="nil"/>
              <w:tr2bl w:val="nil"/>
            </w:tcBorders>
            <w:vAlign w:val="center"/>
          </w:tcPr>
          <w:p w14:paraId="3A7CB989">
            <w:pPr>
              <w:snapToGrid w:val="0"/>
              <w:spacing w:line="240" w:lineRule="atLeast"/>
              <w:ind w:firstLine="0" w:firstLineChars="0"/>
              <w:jc w:val="center"/>
              <w:rPr>
                <w:sz w:val="21"/>
                <w:highlight w:val="black"/>
              </w:rPr>
            </w:pPr>
            <w:r>
              <w:rPr>
                <w:rFonts w:hint="eastAsia"/>
                <w:sz w:val="21"/>
                <w:highlight w:val="black"/>
              </w:rPr>
              <w:t>1.9</w:t>
            </w:r>
          </w:p>
        </w:tc>
        <w:tc>
          <w:tcPr>
            <w:tcW w:w="823" w:type="pct"/>
            <w:tcBorders>
              <w:tl2br w:val="nil"/>
              <w:tr2bl w:val="nil"/>
            </w:tcBorders>
            <w:vAlign w:val="center"/>
          </w:tcPr>
          <w:p w14:paraId="5DE69063">
            <w:pPr>
              <w:snapToGrid w:val="0"/>
              <w:spacing w:line="240" w:lineRule="atLeast"/>
              <w:ind w:firstLine="0" w:firstLineChars="0"/>
              <w:jc w:val="center"/>
              <w:rPr>
                <w:sz w:val="21"/>
                <w:highlight w:val="black"/>
              </w:rPr>
            </w:pPr>
            <w:r>
              <w:rPr>
                <w:sz w:val="21"/>
                <w:szCs w:val="21"/>
                <w:highlight w:val="black"/>
              </w:rPr>
              <w:t>7.6</w:t>
            </w:r>
          </w:p>
        </w:tc>
      </w:tr>
      <w:tr w14:paraId="4DE73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76A1A46E">
            <w:pPr>
              <w:snapToGrid w:val="0"/>
              <w:spacing w:line="240" w:lineRule="atLeast"/>
              <w:ind w:firstLine="0" w:firstLineChars="0"/>
              <w:jc w:val="center"/>
              <w:rPr>
                <w:sz w:val="21"/>
                <w:highlight w:val="black"/>
              </w:rPr>
            </w:pPr>
            <w:r>
              <w:rPr>
                <w:sz w:val="21"/>
                <w:highlight w:val="black"/>
              </w:rPr>
              <w:t>掘进工作面</w:t>
            </w:r>
          </w:p>
        </w:tc>
        <w:tc>
          <w:tcPr>
            <w:tcW w:w="1045" w:type="pct"/>
            <w:tcBorders>
              <w:tl2br w:val="nil"/>
              <w:tr2bl w:val="nil"/>
            </w:tcBorders>
            <w:vAlign w:val="center"/>
          </w:tcPr>
          <w:p w14:paraId="322E0BF8">
            <w:pPr>
              <w:snapToGrid w:val="0"/>
              <w:spacing w:line="240" w:lineRule="atLeast"/>
              <w:ind w:firstLine="0" w:firstLineChars="0"/>
              <w:jc w:val="center"/>
              <w:rPr>
                <w:sz w:val="21"/>
                <w:highlight w:val="black"/>
              </w:rPr>
            </w:pPr>
            <w:r>
              <w:rPr>
                <w:rFonts w:hint="eastAsia"/>
                <w:sz w:val="21"/>
                <w:highlight w:val="black"/>
              </w:rPr>
              <w:t>4</w:t>
            </w:r>
          </w:p>
        </w:tc>
        <w:tc>
          <w:tcPr>
            <w:tcW w:w="740" w:type="pct"/>
            <w:tcBorders>
              <w:tl2br w:val="nil"/>
              <w:tr2bl w:val="nil"/>
            </w:tcBorders>
            <w:vAlign w:val="center"/>
          </w:tcPr>
          <w:p w14:paraId="2B8DF440">
            <w:pPr>
              <w:snapToGrid w:val="0"/>
              <w:spacing w:line="240" w:lineRule="atLeast"/>
              <w:ind w:firstLine="0" w:firstLineChars="0"/>
              <w:jc w:val="center"/>
              <w:rPr>
                <w:sz w:val="21"/>
                <w:highlight w:val="black"/>
              </w:rPr>
            </w:pPr>
            <w:r>
              <w:rPr>
                <w:sz w:val="21"/>
                <w:highlight w:val="black"/>
              </w:rPr>
              <w:t>1.5</w:t>
            </w:r>
          </w:p>
        </w:tc>
        <w:tc>
          <w:tcPr>
            <w:tcW w:w="823" w:type="pct"/>
            <w:tcBorders>
              <w:tl2br w:val="nil"/>
              <w:tr2bl w:val="nil"/>
            </w:tcBorders>
            <w:vAlign w:val="center"/>
          </w:tcPr>
          <w:p w14:paraId="7FDFF5D7">
            <w:pPr>
              <w:snapToGrid w:val="0"/>
              <w:spacing w:line="240" w:lineRule="atLeast"/>
              <w:ind w:firstLine="0" w:firstLineChars="0"/>
              <w:jc w:val="center"/>
              <w:rPr>
                <w:sz w:val="21"/>
                <w:highlight w:val="black"/>
              </w:rPr>
            </w:pPr>
            <w:r>
              <w:rPr>
                <w:sz w:val="21"/>
                <w:szCs w:val="21"/>
                <w:highlight w:val="black"/>
              </w:rPr>
              <w:t>6</w:t>
            </w:r>
          </w:p>
        </w:tc>
      </w:tr>
      <w:tr w14:paraId="0CA17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392" w:type="pct"/>
            <w:tcBorders>
              <w:tl2br w:val="nil"/>
              <w:tr2bl w:val="nil"/>
            </w:tcBorders>
            <w:vAlign w:val="center"/>
          </w:tcPr>
          <w:p w14:paraId="3ACD9A9A">
            <w:pPr>
              <w:snapToGrid w:val="0"/>
              <w:spacing w:line="240" w:lineRule="atLeast"/>
              <w:ind w:firstLine="0" w:firstLineChars="0"/>
              <w:jc w:val="center"/>
              <w:rPr>
                <w:sz w:val="21"/>
                <w:highlight w:val="black"/>
              </w:rPr>
            </w:pPr>
            <w:r>
              <w:rPr>
                <w:sz w:val="21"/>
                <w:highlight w:val="black"/>
              </w:rPr>
              <w:t>采切工作面</w:t>
            </w:r>
          </w:p>
        </w:tc>
        <w:tc>
          <w:tcPr>
            <w:tcW w:w="1045" w:type="pct"/>
            <w:tcBorders>
              <w:tl2br w:val="nil"/>
              <w:tr2bl w:val="nil"/>
            </w:tcBorders>
            <w:vAlign w:val="center"/>
          </w:tcPr>
          <w:p w14:paraId="7CB0D85D">
            <w:pPr>
              <w:snapToGrid w:val="0"/>
              <w:spacing w:line="240" w:lineRule="atLeast"/>
              <w:ind w:firstLine="0" w:firstLineChars="0"/>
              <w:jc w:val="center"/>
              <w:rPr>
                <w:sz w:val="21"/>
                <w:highlight w:val="black"/>
              </w:rPr>
            </w:pPr>
            <w:r>
              <w:rPr>
                <w:rFonts w:hint="eastAsia"/>
                <w:sz w:val="21"/>
                <w:highlight w:val="black"/>
              </w:rPr>
              <w:t>4</w:t>
            </w:r>
          </w:p>
        </w:tc>
        <w:tc>
          <w:tcPr>
            <w:tcW w:w="740" w:type="pct"/>
            <w:tcBorders>
              <w:tl2br w:val="nil"/>
              <w:tr2bl w:val="nil"/>
            </w:tcBorders>
            <w:vAlign w:val="center"/>
          </w:tcPr>
          <w:p w14:paraId="2769607F">
            <w:pPr>
              <w:snapToGrid w:val="0"/>
              <w:spacing w:line="240" w:lineRule="atLeast"/>
              <w:ind w:firstLine="0" w:firstLineChars="0"/>
              <w:jc w:val="center"/>
              <w:rPr>
                <w:sz w:val="21"/>
                <w:highlight w:val="black"/>
              </w:rPr>
            </w:pPr>
            <w:r>
              <w:rPr>
                <w:sz w:val="21"/>
                <w:highlight w:val="black"/>
              </w:rPr>
              <w:t>1.5</w:t>
            </w:r>
          </w:p>
        </w:tc>
        <w:tc>
          <w:tcPr>
            <w:tcW w:w="823" w:type="pct"/>
            <w:tcBorders>
              <w:tl2br w:val="nil"/>
              <w:tr2bl w:val="nil"/>
            </w:tcBorders>
            <w:vAlign w:val="center"/>
          </w:tcPr>
          <w:p w14:paraId="10A7B398">
            <w:pPr>
              <w:snapToGrid w:val="0"/>
              <w:spacing w:line="240" w:lineRule="atLeast"/>
              <w:ind w:firstLine="0" w:firstLineChars="0"/>
              <w:jc w:val="center"/>
              <w:rPr>
                <w:sz w:val="21"/>
                <w:highlight w:val="black"/>
              </w:rPr>
            </w:pPr>
            <w:r>
              <w:rPr>
                <w:sz w:val="21"/>
                <w:szCs w:val="21"/>
                <w:highlight w:val="black"/>
              </w:rPr>
              <w:t>6</w:t>
            </w:r>
          </w:p>
        </w:tc>
      </w:tr>
      <w:tr w14:paraId="4921F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2A780128">
            <w:pPr>
              <w:snapToGrid w:val="0"/>
              <w:spacing w:line="240" w:lineRule="atLeast"/>
              <w:ind w:firstLine="0" w:firstLineChars="0"/>
              <w:jc w:val="center"/>
              <w:rPr>
                <w:sz w:val="21"/>
                <w:highlight w:val="black"/>
              </w:rPr>
            </w:pPr>
            <w:r>
              <w:rPr>
                <w:sz w:val="21"/>
                <w:highlight w:val="black"/>
              </w:rPr>
              <w:t>硐室</w:t>
            </w:r>
          </w:p>
        </w:tc>
        <w:tc>
          <w:tcPr>
            <w:tcW w:w="1045" w:type="pct"/>
            <w:tcBorders>
              <w:tl2br w:val="nil"/>
              <w:tr2bl w:val="nil"/>
            </w:tcBorders>
            <w:vAlign w:val="center"/>
          </w:tcPr>
          <w:p w14:paraId="58D12E8D">
            <w:pPr>
              <w:snapToGrid w:val="0"/>
              <w:spacing w:line="240" w:lineRule="atLeast"/>
              <w:ind w:firstLine="0" w:firstLineChars="0"/>
              <w:jc w:val="center"/>
              <w:rPr>
                <w:sz w:val="21"/>
                <w:highlight w:val="black"/>
              </w:rPr>
            </w:pPr>
            <w:r>
              <w:rPr>
                <w:rFonts w:hint="eastAsia"/>
                <w:sz w:val="21"/>
                <w:highlight w:val="black"/>
              </w:rPr>
              <w:t>2</w:t>
            </w:r>
          </w:p>
        </w:tc>
        <w:tc>
          <w:tcPr>
            <w:tcW w:w="740" w:type="pct"/>
            <w:tcBorders>
              <w:tl2br w:val="nil"/>
              <w:tr2bl w:val="nil"/>
            </w:tcBorders>
            <w:vAlign w:val="center"/>
          </w:tcPr>
          <w:p w14:paraId="6BF3BAF3">
            <w:pPr>
              <w:snapToGrid w:val="0"/>
              <w:spacing w:line="240" w:lineRule="atLeast"/>
              <w:ind w:firstLine="0" w:firstLineChars="0"/>
              <w:jc w:val="center"/>
              <w:rPr>
                <w:sz w:val="21"/>
                <w:highlight w:val="black"/>
              </w:rPr>
            </w:pPr>
            <w:r>
              <w:rPr>
                <w:sz w:val="21"/>
                <w:highlight w:val="black"/>
              </w:rPr>
              <w:t>1.5</w:t>
            </w:r>
          </w:p>
        </w:tc>
        <w:tc>
          <w:tcPr>
            <w:tcW w:w="823" w:type="pct"/>
            <w:tcBorders>
              <w:tl2br w:val="nil"/>
              <w:tr2bl w:val="nil"/>
            </w:tcBorders>
            <w:vAlign w:val="center"/>
          </w:tcPr>
          <w:p w14:paraId="0057F36B">
            <w:pPr>
              <w:snapToGrid w:val="0"/>
              <w:spacing w:line="240" w:lineRule="atLeast"/>
              <w:ind w:firstLine="0" w:firstLineChars="0"/>
              <w:jc w:val="center"/>
              <w:rPr>
                <w:sz w:val="21"/>
                <w:highlight w:val="black"/>
              </w:rPr>
            </w:pPr>
            <w:r>
              <w:rPr>
                <w:sz w:val="21"/>
                <w:szCs w:val="21"/>
                <w:highlight w:val="black"/>
              </w:rPr>
              <w:t>3</w:t>
            </w:r>
          </w:p>
        </w:tc>
      </w:tr>
      <w:tr w14:paraId="3EAF7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37D34B6C">
            <w:pPr>
              <w:snapToGrid w:val="0"/>
              <w:spacing w:line="240" w:lineRule="atLeast"/>
              <w:ind w:firstLine="0" w:firstLineChars="0"/>
              <w:jc w:val="center"/>
              <w:rPr>
                <w:sz w:val="21"/>
                <w:highlight w:val="black"/>
              </w:rPr>
            </w:pPr>
            <w:r>
              <w:rPr>
                <w:sz w:val="21"/>
                <w:highlight w:val="black"/>
              </w:rPr>
              <w:t>漏风风量</w:t>
            </w:r>
            <w:r>
              <w:rPr>
                <w:rFonts w:hint="eastAsia"/>
                <w:sz w:val="21"/>
                <w:highlight w:val="black"/>
              </w:rPr>
              <w:t>（</w:t>
            </w:r>
            <w:r>
              <w:rPr>
                <w:sz w:val="21"/>
                <w:highlight w:val="black"/>
              </w:rPr>
              <w:t>k=1.25</w:t>
            </w:r>
            <w:r>
              <w:rPr>
                <w:rFonts w:hint="eastAsia"/>
                <w:sz w:val="21"/>
                <w:highlight w:val="black"/>
              </w:rPr>
              <w:t>）</w:t>
            </w:r>
          </w:p>
        </w:tc>
        <w:tc>
          <w:tcPr>
            <w:tcW w:w="1045" w:type="pct"/>
            <w:tcBorders>
              <w:tl2br w:val="nil"/>
              <w:tr2bl w:val="nil"/>
            </w:tcBorders>
            <w:vAlign w:val="center"/>
          </w:tcPr>
          <w:p w14:paraId="40013BA3">
            <w:pPr>
              <w:snapToGrid w:val="0"/>
              <w:spacing w:line="240" w:lineRule="atLeast"/>
              <w:ind w:firstLine="0" w:firstLineChars="0"/>
              <w:jc w:val="center"/>
              <w:rPr>
                <w:sz w:val="21"/>
                <w:highlight w:val="black"/>
              </w:rPr>
            </w:pPr>
          </w:p>
        </w:tc>
        <w:tc>
          <w:tcPr>
            <w:tcW w:w="740" w:type="pct"/>
            <w:tcBorders>
              <w:tl2br w:val="nil"/>
              <w:tr2bl w:val="nil"/>
            </w:tcBorders>
            <w:vAlign w:val="center"/>
          </w:tcPr>
          <w:p w14:paraId="0A59A80C">
            <w:pPr>
              <w:snapToGrid w:val="0"/>
              <w:spacing w:line="240" w:lineRule="atLeast"/>
              <w:ind w:firstLine="0" w:firstLineChars="0"/>
              <w:jc w:val="center"/>
              <w:rPr>
                <w:sz w:val="21"/>
                <w:highlight w:val="black"/>
              </w:rPr>
            </w:pPr>
          </w:p>
        </w:tc>
        <w:tc>
          <w:tcPr>
            <w:tcW w:w="823" w:type="pct"/>
            <w:tcBorders>
              <w:tl2br w:val="nil"/>
              <w:tr2bl w:val="nil"/>
            </w:tcBorders>
            <w:vAlign w:val="center"/>
          </w:tcPr>
          <w:p w14:paraId="2C9080F1">
            <w:pPr>
              <w:snapToGrid w:val="0"/>
              <w:spacing w:line="240" w:lineRule="atLeast"/>
              <w:ind w:firstLine="0" w:firstLineChars="0"/>
              <w:jc w:val="center"/>
              <w:rPr>
                <w:sz w:val="21"/>
                <w:highlight w:val="black"/>
              </w:rPr>
            </w:pPr>
            <w:r>
              <w:rPr>
                <w:sz w:val="21"/>
                <w:szCs w:val="21"/>
                <w:highlight w:val="black"/>
              </w:rPr>
              <w:t>9.5</w:t>
            </w:r>
          </w:p>
        </w:tc>
      </w:tr>
      <w:tr w14:paraId="5309F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6CF423F4">
            <w:pPr>
              <w:snapToGrid w:val="0"/>
              <w:spacing w:line="240" w:lineRule="atLeast"/>
              <w:ind w:firstLine="0" w:firstLineChars="0"/>
              <w:jc w:val="center"/>
              <w:rPr>
                <w:sz w:val="21"/>
                <w:highlight w:val="black"/>
              </w:rPr>
            </w:pPr>
            <w:r>
              <w:rPr>
                <w:sz w:val="21"/>
                <w:highlight w:val="black"/>
              </w:rPr>
              <w:t>全矿总风量</w:t>
            </w:r>
          </w:p>
        </w:tc>
        <w:tc>
          <w:tcPr>
            <w:tcW w:w="1045" w:type="pct"/>
            <w:tcBorders>
              <w:tl2br w:val="nil"/>
              <w:tr2bl w:val="nil"/>
            </w:tcBorders>
            <w:vAlign w:val="center"/>
          </w:tcPr>
          <w:p w14:paraId="6D14401F">
            <w:pPr>
              <w:snapToGrid w:val="0"/>
              <w:spacing w:line="240" w:lineRule="atLeast"/>
              <w:ind w:firstLine="0" w:firstLineChars="0"/>
              <w:jc w:val="center"/>
              <w:rPr>
                <w:sz w:val="21"/>
                <w:highlight w:val="black"/>
              </w:rPr>
            </w:pPr>
          </w:p>
        </w:tc>
        <w:tc>
          <w:tcPr>
            <w:tcW w:w="740" w:type="pct"/>
            <w:tcBorders>
              <w:tl2br w:val="nil"/>
              <w:tr2bl w:val="nil"/>
            </w:tcBorders>
            <w:vAlign w:val="center"/>
          </w:tcPr>
          <w:p w14:paraId="3CECE876">
            <w:pPr>
              <w:snapToGrid w:val="0"/>
              <w:spacing w:line="240" w:lineRule="atLeast"/>
              <w:ind w:firstLine="0" w:firstLineChars="0"/>
              <w:jc w:val="center"/>
              <w:rPr>
                <w:sz w:val="21"/>
                <w:highlight w:val="black"/>
              </w:rPr>
            </w:pPr>
          </w:p>
        </w:tc>
        <w:tc>
          <w:tcPr>
            <w:tcW w:w="823" w:type="pct"/>
            <w:tcBorders>
              <w:tl2br w:val="nil"/>
              <w:tr2bl w:val="nil"/>
            </w:tcBorders>
            <w:vAlign w:val="center"/>
          </w:tcPr>
          <w:p w14:paraId="679ED2CD">
            <w:pPr>
              <w:snapToGrid w:val="0"/>
              <w:spacing w:line="240" w:lineRule="atLeast"/>
              <w:ind w:firstLine="0" w:firstLineChars="0"/>
              <w:jc w:val="center"/>
              <w:rPr>
                <w:sz w:val="21"/>
                <w:highlight w:val="black"/>
              </w:rPr>
            </w:pPr>
            <w:r>
              <w:rPr>
                <w:sz w:val="21"/>
                <w:szCs w:val="21"/>
                <w:highlight w:val="black"/>
              </w:rPr>
              <w:t>47.3</w:t>
            </w:r>
          </w:p>
        </w:tc>
      </w:tr>
      <w:bookmarkEnd w:id="176"/>
    </w:tbl>
    <w:p w14:paraId="415AA0ED">
      <w:pPr>
        <w:ind w:firstLine="583"/>
        <w:rPr>
          <w:highlight w:val="black"/>
        </w:rPr>
      </w:pPr>
      <w:r>
        <w:rPr>
          <w:rFonts w:hint="eastAsia"/>
          <w:highlight w:val="black"/>
        </w:rPr>
        <w:t>（4）</w:t>
      </w:r>
      <w:r>
        <w:rPr>
          <w:highlight w:val="black"/>
        </w:rPr>
        <w:t>按柴油机设备需风量计算风量</w:t>
      </w:r>
    </w:p>
    <w:p w14:paraId="4CDC7CD0">
      <w:pPr>
        <w:ind w:firstLine="583"/>
        <w:rPr>
          <w:highlight w:val="black"/>
        </w:rPr>
      </w:pPr>
      <w:bookmarkStart w:id="177" w:name="_Hlk144143633"/>
      <w:r>
        <w:rPr>
          <w:highlight w:val="black"/>
        </w:rPr>
        <w:t>按单位功率计算风量：</w:t>
      </w:r>
    </w:p>
    <w:p w14:paraId="41AD13CD">
      <w:pPr>
        <w:widowControl/>
        <w:adjustRightInd w:val="0"/>
        <w:snapToGrid w:val="0"/>
        <w:spacing w:line="520" w:lineRule="atLeast"/>
        <w:ind w:firstLine="543"/>
        <w:jc w:val="center"/>
        <w:rPr>
          <w:kern w:val="0"/>
          <w:sz w:val="26"/>
          <w:szCs w:val="26"/>
          <w:highlight w:val="black"/>
        </w:rPr>
      </w:pPr>
      <w:r>
        <w:rPr>
          <w:kern w:val="0"/>
          <w:sz w:val="26"/>
          <w:szCs w:val="26"/>
          <w:highlight w:val="black"/>
        </w:rPr>
        <w:t>Qs=q</w:t>
      </w:r>
      <w:r>
        <w:rPr>
          <w:kern w:val="0"/>
          <w:sz w:val="26"/>
          <w:szCs w:val="26"/>
          <w:highlight w:val="black"/>
          <w:vertAlign w:val="subscript"/>
        </w:rPr>
        <w:t>0</w:t>
      </w:r>
      <w:r>
        <w:rPr>
          <w:kern w:val="0"/>
          <w:sz w:val="26"/>
          <w:szCs w:val="26"/>
          <w:highlight w:val="black"/>
        </w:rPr>
        <w:t>N/60</w:t>
      </w:r>
      <w:r>
        <w:rPr>
          <w:rFonts w:hint="eastAsia"/>
          <w:kern w:val="0"/>
          <w:sz w:val="26"/>
          <w:szCs w:val="26"/>
          <w:highlight w:val="black"/>
        </w:rPr>
        <w:t>=4×1024.51/60=68.3</w:t>
      </w:r>
      <w:r>
        <w:rPr>
          <w:kern w:val="0"/>
          <w:sz w:val="26"/>
          <w:szCs w:val="26"/>
          <w:highlight w:val="black"/>
        </w:rPr>
        <w:t>m</w:t>
      </w:r>
      <w:r>
        <w:rPr>
          <w:kern w:val="0"/>
          <w:sz w:val="26"/>
          <w:szCs w:val="26"/>
          <w:highlight w:val="black"/>
          <w:vertAlign w:val="superscript"/>
        </w:rPr>
        <w:t>3</w:t>
      </w:r>
      <w:r>
        <w:rPr>
          <w:kern w:val="0"/>
          <w:sz w:val="26"/>
          <w:szCs w:val="26"/>
          <w:highlight w:val="black"/>
        </w:rPr>
        <w:t>/s</w:t>
      </w:r>
    </w:p>
    <w:p w14:paraId="27DD69F4">
      <w:pPr>
        <w:widowControl/>
        <w:adjustRightInd w:val="0"/>
        <w:snapToGrid w:val="0"/>
        <w:spacing w:line="520" w:lineRule="atLeast"/>
        <w:ind w:firstLine="543"/>
        <w:jc w:val="center"/>
        <w:rPr>
          <w:kern w:val="0"/>
          <w:sz w:val="26"/>
          <w:szCs w:val="26"/>
          <w:highlight w:val="black"/>
        </w:rPr>
      </w:pPr>
      <w:r>
        <w:rPr>
          <w:kern w:val="0"/>
          <w:sz w:val="26"/>
          <w:szCs w:val="26"/>
          <w:highlight w:val="black"/>
        </w:rPr>
        <w:t>N=N</w:t>
      </w:r>
      <w:r>
        <w:rPr>
          <w:rFonts w:hint="eastAsia"/>
          <w:kern w:val="0"/>
          <w:sz w:val="26"/>
          <w:szCs w:val="26"/>
          <w:highlight w:val="black"/>
          <w:vertAlign w:val="subscript"/>
        </w:rPr>
        <w:t>E</w:t>
      </w:r>
      <w:r>
        <w:rPr>
          <w:kern w:val="0"/>
          <w:sz w:val="26"/>
          <w:szCs w:val="26"/>
          <w:highlight w:val="black"/>
        </w:rPr>
        <w:t>f</w:t>
      </w:r>
      <w:r>
        <w:rPr>
          <w:rFonts w:hint="eastAsia"/>
          <w:kern w:val="0"/>
          <w:sz w:val="26"/>
          <w:szCs w:val="26"/>
          <w:highlight w:val="black"/>
          <w:vertAlign w:val="subscript"/>
        </w:rPr>
        <w:t>E</w:t>
      </w:r>
      <w:r>
        <w:rPr>
          <w:rFonts w:hint="eastAsia"/>
          <w:kern w:val="0"/>
          <w:sz w:val="26"/>
          <w:szCs w:val="26"/>
          <w:highlight w:val="black"/>
        </w:rPr>
        <w:t>=1024.51kW</w:t>
      </w:r>
    </w:p>
    <w:p w14:paraId="74367E3E">
      <w:pPr>
        <w:ind w:firstLine="583"/>
        <w:rPr>
          <w:highlight w:val="black"/>
        </w:rPr>
      </w:pPr>
      <w:r>
        <w:rPr>
          <w:highlight w:val="black"/>
        </w:rPr>
        <w:t>式中：Q</w:t>
      </w:r>
      <w:r>
        <w:rPr>
          <w:highlight w:val="black"/>
          <w:vertAlign w:val="subscript"/>
        </w:rPr>
        <w:t>s</w:t>
      </w:r>
      <w:r>
        <w:rPr>
          <w:highlight w:val="black"/>
        </w:rPr>
        <w:t>—矿井排除柴油设备废气需风量；m</w:t>
      </w:r>
      <w:r>
        <w:rPr>
          <w:highlight w:val="black"/>
          <w:vertAlign w:val="superscript"/>
        </w:rPr>
        <w:t>3</w:t>
      </w:r>
      <w:r>
        <w:rPr>
          <w:highlight w:val="black"/>
        </w:rPr>
        <w:t>/s；</w:t>
      </w:r>
    </w:p>
    <w:p w14:paraId="69961119">
      <w:pPr>
        <w:ind w:firstLine="1455" w:firstLineChars="500"/>
        <w:rPr>
          <w:highlight w:val="black"/>
        </w:rPr>
      </w:pPr>
      <w:r>
        <w:rPr>
          <w:highlight w:val="black"/>
        </w:rPr>
        <w:t>q</w:t>
      </w:r>
      <w:r>
        <w:rPr>
          <w:highlight w:val="black"/>
          <w:vertAlign w:val="subscript"/>
        </w:rPr>
        <w:t>0</w:t>
      </w:r>
      <w:r>
        <w:rPr>
          <w:highlight w:val="black"/>
        </w:rPr>
        <w:t>—单位功率的风量指标，q0=4m³/minkW</w:t>
      </w:r>
    </w:p>
    <w:p w14:paraId="3D1AE099">
      <w:pPr>
        <w:ind w:firstLine="1455" w:firstLineChars="500"/>
        <w:rPr>
          <w:highlight w:val="black"/>
        </w:rPr>
      </w:pPr>
      <w:r>
        <w:rPr>
          <w:highlight w:val="black"/>
        </w:rPr>
        <w:t>N—所用设备柴油机</w:t>
      </w:r>
      <w:r>
        <w:rPr>
          <w:rFonts w:hint="eastAsia"/>
          <w:highlight w:val="black"/>
        </w:rPr>
        <w:t>总</w:t>
      </w:r>
      <w:r>
        <w:rPr>
          <w:highlight w:val="black"/>
        </w:rPr>
        <w:t>功率，kW。</w:t>
      </w:r>
    </w:p>
    <w:p w14:paraId="4B27125E">
      <w:pPr>
        <w:ind w:firstLine="1455" w:firstLineChars="500"/>
        <w:rPr>
          <w:highlight w:val="black"/>
        </w:rPr>
      </w:pPr>
      <w:r>
        <w:rPr>
          <w:highlight w:val="black"/>
        </w:rPr>
        <w:t>N</w:t>
      </w:r>
      <w:r>
        <w:rPr>
          <w:rFonts w:hint="eastAsia"/>
          <w:highlight w:val="black"/>
          <w:vertAlign w:val="subscript"/>
        </w:rPr>
        <w:t>E</w:t>
      </w:r>
      <w:r>
        <w:rPr>
          <w:highlight w:val="black"/>
        </w:rPr>
        <w:t>—</w:t>
      </w:r>
      <w:r>
        <w:rPr>
          <w:rFonts w:hint="eastAsia"/>
          <w:highlight w:val="black"/>
        </w:rPr>
        <w:t>各</w:t>
      </w:r>
      <w:r>
        <w:rPr>
          <w:highlight w:val="black"/>
        </w:rPr>
        <w:t>设备额定功率，kW；</w:t>
      </w:r>
    </w:p>
    <w:p w14:paraId="34F8703F">
      <w:pPr>
        <w:ind w:firstLine="1455" w:firstLineChars="500"/>
        <w:rPr>
          <w:highlight w:val="black"/>
        </w:rPr>
      </w:pPr>
      <w:r>
        <w:rPr>
          <w:highlight w:val="black"/>
        </w:rPr>
        <w:t>f</w:t>
      </w:r>
      <w:r>
        <w:rPr>
          <w:rFonts w:hint="eastAsia"/>
          <w:highlight w:val="black"/>
          <w:vertAlign w:val="subscript"/>
        </w:rPr>
        <w:t>E</w:t>
      </w:r>
      <w:r>
        <w:rPr>
          <w:highlight w:val="black"/>
        </w:rPr>
        <w:t>—</w:t>
      </w:r>
      <w:r>
        <w:rPr>
          <w:rFonts w:hint="eastAsia"/>
          <w:highlight w:val="black"/>
        </w:rPr>
        <w:t>各</w:t>
      </w:r>
      <w:r>
        <w:rPr>
          <w:highlight w:val="black"/>
        </w:rPr>
        <w:t>设备工作时间系数</w:t>
      </w:r>
      <w:r>
        <w:rPr>
          <w:rFonts w:hint="eastAsia"/>
          <w:highlight w:val="black"/>
        </w:rPr>
        <w:t>。</w:t>
      </w:r>
    </w:p>
    <w:bookmarkEnd w:id="177"/>
    <w:p w14:paraId="39F70165">
      <w:pPr>
        <w:snapToGrid w:val="0"/>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2-15</w:t>
      </w:r>
      <w:r>
        <w:rPr>
          <w:b/>
          <w:sz w:val="21"/>
          <w:szCs w:val="21"/>
          <w:highlight w:val="black"/>
        </w:rPr>
        <w:t xml:space="preserve"> 按柴油机设备需风量计算通风量表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866"/>
        <w:gridCol w:w="1416"/>
        <w:gridCol w:w="833"/>
        <w:gridCol w:w="1934"/>
        <w:gridCol w:w="1781"/>
      </w:tblGrid>
      <w:tr w14:paraId="12054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53FD57BB">
            <w:pPr>
              <w:widowControl/>
              <w:snapToGrid w:val="0"/>
              <w:spacing w:line="240" w:lineRule="atLeast"/>
              <w:ind w:firstLine="0" w:firstLineChars="0"/>
              <w:jc w:val="center"/>
              <w:rPr>
                <w:kern w:val="0"/>
                <w:sz w:val="21"/>
                <w:szCs w:val="21"/>
                <w:highlight w:val="black"/>
              </w:rPr>
            </w:pPr>
            <w:bookmarkStart w:id="178" w:name="RANGE!M37"/>
            <w:bookmarkStart w:id="179" w:name="_Hlk192970562"/>
            <w:r>
              <w:rPr>
                <w:kern w:val="0"/>
                <w:sz w:val="21"/>
                <w:szCs w:val="21"/>
                <w:highlight w:val="black"/>
              </w:rPr>
              <w:t>序号</w:t>
            </w:r>
            <w:bookmarkEnd w:id="178"/>
          </w:p>
        </w:tc>
        <w:tc>
          <w:tcPr>
            <w:tcW w:w="1077" w:type="pct"/>
            <w:tcBorders>
              <w:tl2br w:val="nil"/>
              <w:tr2bl w:val="nil"/>
            </w:tcBorders>
            <w:shd w:val="clear" w:color="auto" w:fill="auto"/>
            <w:vAlign w:val="center"/>
          </w:tcPr>
          <w:p w14:paraId="391B8B2F">
            <w:pPr>
              <w:widowControl/>
              <w:snapToGrid w:val="0"/>
              <w:spacing w:line="240" w:lineRule="atLeast"/>
              <w:ind w:firstLine="0" w:firstLineChars="0"/>
              <w:jc w:val="center"/>
              <w:rPr>
                <w:kern w:val="0"/>
                <w:sz w:val="21"/>
                <w:szCs w:val="21"/>
                <w:highlight w:val="black"/>
              </w:rPr>
            </w:pPr>
            <w:r>
              <w:rPr>
                <w:kern w:val="0"/>
                <w:sz w:val="21"/>
                <w:szCs w:val="21"/>
                <w:highlight w:val="black"/>
              </w:rPr>
              <w:t>设备名称</w:t>
            </w:r>
          </w:p>
        </w:tc>
        <w:tc>
          <w:tcPr>
            <w:tcW w:w="817" w:type="pct"/>
            <w:tcBorders>
              <w:tl2br w:val="nil"/>
              <w:tr2bl w:val="nil"/>
            </w:tcBorders>
            <w:shd w:val="clear" w:color="auto" w:fill="auto"/>
            <w:vAlign w:val="center"/>
          </w:tcPr>
          <w:p w14:paraId="70B75347">
            <w:pPr>
              <w:widowControl/>
              <w:snapToGrid w:val="0"/>
              <w:spacing w:line="240" w:lineRule="atLeast"/>
              <w:ind w:firstLine="0" w:firstLineChars="0"/>
              <w:jc w:val="center"/>
              <w:rPr>
                <w:kern w:val="0"/>
                <w:sz w:val="21"/>
                <w:szCs w:val="21"/>
                <w:highlight w:val="black"/>
              </w:rPr>
            </w:pPr>
            <w:r>
              <w:rPr>
                <w:kern w:val="0"/>
                <w:sz w:val="21"/>
                <w:szCs w:val="21"/>
                <w:highlight w:val="black"/>
              </w:rPr>
              <w:t>功率</w:t>
            </w:r>
            <w:r>
              <w:rPr>
                <w:rFonts w:hint="eastAsia"/>
                <w:kern w:val="0"/>
                <w:sz w:val="21"/>
                <w:szCs w:val="21"/>
                <w:highlight w:val="black"/>
              </w:rPr>
              <w:t>（</w:t>
            </w:r>
            <w:r>
              <w:rPr>
                <w:kern w:val="0"/>
                <w:sz w:val="21"/>
                <w:szCs w:val="21"/>
                <w:highlight w:val="black"/>
              </w:rPr>
              <w:t>kW</w:t>
            </w:r>
            <w:r>
              <w:rPr>
                <w:rFonts w:hint="eastAsia"/>
                <w:kern w:val="0"/>
                <w:sz w:val="21"/>
                <w:szCs w:val="21"/>
                <w:highlight w:val="black"/>
              </w:rPr>
              <w:t>）</w:t>
            </w:r>
          </w:p>
        </w:tc>
        <w:tc>
          <w:tcPr>
            <w:tcW w:w="481" w:type="pct"/>
            <w:tcBorders>
              <w:tl2br w:val="nil"/>
              <w:tr2bl w:val="nil"/>
            </w:tcBorders>
            <w:shd w:val="clear" w:color="auto" w:fill="auto"/>
            <w:vAlign w:val="center"/>
          </w:tcPr>
          <w:p w14:paraId="4402B664">
            <w:pPr>
              <w:widowControl/>
              <w:snapToGrid w:val="0"/>
              <w:spacing w:line="240" w:lineRule="atLeast"/>
              <w:ind w:firstLine="0" w:firstLineChars="0"/>
              <w:jc w:val="center"/>
              <w:rPr>
                <w:kern w:val="0"/>
                <w:sz w:val="21"/>
                <w:szCs w:val="21"/>
                <w:highlight w:val="black"/>
              </w:rPr>
            </w:pPr>
            <w:r>
              <w:rPr>
                <w:kern w:val="0"/>
                <w:sz w:val="21"/>
                <w:szCs w:val="21"/>
                <w:highlight w:val="black"/>
              </w:rPr>
              <w:t>台数</w:t>
            </w:r>
          </w:p>
        </w:tc>
        <w:tc>
          <w:tcPr>
            <w:tcW w:w="1116" w:type="pct"/>
            <w:tcBorders>
              <w:tl2br w:val="nil"/>
              <w:tr2bl w:val="nil"/>
            </w:tcBorders>
            <w:shd w:val="clear" w:color="auto" w:fill="auto"/>
            <w:vAlign w:val="center"/>
          </w:tcPr>
          <w:p w14:paraId="371BEDE0">
            <w:pPr>
              <w:widowControl/>
              <w:snapToGrid w:val="0"/>
              <w:spacing w:line="240" w:lineRule="atLeast"/>
              <w:ind w:firstLine="0" w:firstLineChars="0"/>
              <w:jc w:val="center"/>
              <w:rPr>
                <w:kern w:val="0"/>
                <w:sz w:val="21"/>
                <w:szCs w:val="21"/>
                <w:highlight w:val="black"/>
              </w:rPr>
            </w:pPr>
            <w:r>
              <w:rPr>
                <w:kern w:val="0"/>
                <w:sz w:val="21"/>
                <w:szCs w:val="21"/>
                <w:highlight w:val="black"/>
              </w:rPr>
              <w:t>同时工作系数</w:t>
            </w:r>
          </w:p>
        </w:tc>
        <w:tc>
          <w:tcPr>
            <w:tcW w:w="1028" w:type="pct"/>
            <w:tcBorders>
              <w:tl2br w:val="nil"/>
              <w:tr2bl w:val="nil"/>
            </w:tcBorders>
            <w:shd w:val="clear" w:color="auto" w:fill="auto"/>
            <w:vAlign w:val="center"/>
          </w:tcPr>
          <w:p w14:paraId="45817228">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总功率（</w:t>
            </w:r>
            <w:r>
              <w:rPr>
                <w:kern w:val="0"/>
                <w:sz w:val="21"/>
                <w:szCs w:val="21"/>
                <w:highlight w:val="black"/>
              </w:rPr>
              <w:t>kW</w:t>
            </w:r>
            <w:r>
              <w:rPr>
                <w:rFonts w:hint="eastAsia"/>
                <w:kern w:val="0"/>
                <w:sz w:val="21"/>
                <w:szCs w:val="21"/>
                <w:highlight w:val="black"/>
              </w:rPr>
              <w:t>）</w:t>
            </w:r>
          </w:p>
        </w:tc>
      </w:tr>
      <w:tr w14:paraId="235BB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6EE14768">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077" w:type="pct"/>
            <w:tcBorders>
              <w:tl2br w:val="nil"/>
              <w:tr2bl w:val="nil"/>
            </w:tcBorders>
            <w:shd w:val="clear" w:color="auto" w:fill="auto"/>
            <w:vAlign w:val="center"/>
          </w:tcPr>
          <w:p w14:paraId="537D47CF">
            <w:pPr>
              <w:widowControl/>
              <w:snapToGrid w:val="0"/>
              <w:spacing w:line="240" w:lineRule="atLeast"/>
              <w:ind w:firstLine="0" w:firstLineChars="0"/>
              <w:jc w:val="center"/>
              <w:rPr>
                <w:kern w:val="0"/>
                <w:sz w:val="21"/>
                <w:szCs w:val="21"/>
                <w:highlight w:val="black"/>
              </w:rPr>
            </w:pPr>
            <w:r>
              <w:rPr>
                <w:sz w:val="21"/>
                <w:szCs w:val="21"/>
                <w:highlight w:val="black"/>
              </w:rPr>
              <w:t>UQ-40</w:t>
            </w:r>
          </w:p>
        </w:tc>
        <w:tc>
          <w:tcPr>
            <w:tcW w:w="817" w:type="pct"/>
            <w:tcBorders>
              <w:tl2br w:val="nil"/>
              <w:tr2bl w:val="nil"/>
            </w:tcBorders>
            <w:shd w:val="clear" w:color="auto" w:fill="auto"/>
            <w:vAlign w:val="center"/>
          </w:tcPr>
          <w:p w14:paraId="0838A0C0">
            <w:pPr>
              <w:widowControl/>
              <w:snapToGrid w:val="0"/>
              <w:spacing w:line="240" w:lineRule="atLeast"/>
              <w:ind w:firstLine="0" w:firstLineChars="0"/>
              <w:jc w:val="center"/>
              <w:rPr>
                <w:kern w:val="0"/>
                <w:sz w:val="21"/>
                <w:szCs w:val="21"/>
                <w:highlight w:val="black"/>
              </w:rPr>
            </w:pPr>
            <w:r>
              <w:rPr>
                <w:sz w:val="21"/>
                <w:szCs w:val="21"/>
                <w:highlight w:val="black"/>
              </w:rPr>
              <w:t>309</w:t>
            </w:r>
          </w:p>
        </w:tc>
        <w:tc>
          <w:tcPr>
            <w:tcW w:w="481" w:type="pct"/>
            <w:tcBorders>
              <w:tl2br w:val="nil"/>
              <w:tr2bl w:val="nil"/>
            </w:tcBorders>
            <w:shd w:val="clear" w:color="auto" w:fill="auto"/>
            <w:vAlign w:val="center"/>
          </w:tcPr>
          <w:p w14:paraId="7F7BA356">
            <w:pPr>
              <w:widowControl/>
              <w:snapToGrid w:val="0"/>
              <w:spacing w:line="240" w:lineRule="atLeast"/>
              <w:ind w:firstLine="0" w:firstLineChars="0"/>
              <w:jc w:val="center"/>
              <w:rPr>
                <w:kern w:val="0"/>
                <w:sz w:val="21"/>
                <w:szCs w:val="21"/>
                <w:highlight w:val="black"/>
              </w:rPr>
            </w:pPr>
            <w:r>
              <w:rPr>
                <w:sz w:val="21"/>
                <w:szCs w:val="21"/>
                <w:highlight w:val="black"/>
              </w:rPr>
              <w:t>3</w:t>
            </w:r>
          </w:p>
        </w:tc>
        <w:tc>
          <w:tcPr>
            <w:tcW w:w="1116" w:type="pct"/>
            <w:tcBorders>
              <w:tl2br w:val="nil"/>
              <w:tr2bl w:val="nil"/>
            </w:tcBorders>
            <w:shd w:val="clear" w:color="auto" w:fill="auto"/>
            <w:vAlign w:val="center"/>
          </w:tcPr>
          <w:p w14:paraId="45362648">
            <w:pPr>
              <w:widowControl/>
              <w:snapToGrid w:val="0"/>
              <w:spacing w:line="240" w:lineRule="atLeast"/>
              <w:ind w:firstLine="0" w:firstLineChars="0"/>
              <w:jc w:val="center"/>
              <w:rPr>
                <w:kern w:val="0"/>
                <w:sz w:val="21"/>
                <w:szCs w:val="21"/>
                <w:highlight w:val="black"/>
              </w:rPr>
            </w:pPr>
            <w:r>
              <w:rPr>
                <w:sz w:val="21"/>
                <w:szCs w:val="21"/>
                <w:highlight w:val="black"/>
              </w:rPr>
              <w:t>0.</w:t>
            </w:r>
            <w:r>
              <w:rPr>
                <w:rFonts w:hint="eastAsia"/>
                <w:sz w:val="21"/>
                <w:szCs w:val="21"/>
                <w:highlight w:val="black"/>
              </w:rPr>
              <w:t>75</w:t>
            </w:r>
          </w:p>
        </w:tc>
        <w:tc>
          <w:tcPr>
            <w:tcW w:w="1028" w:type="pct"/>
            <w:tcBorders>
              <w:tl2br w:val="nil"/>
              <w:tr2bl w:val="nil"/>
            </w:tcBorders>
            <w:shd w:val="clear" w:color="auto" w:fill="auto"/>
            <w:vAlign w:val="center"/>
          </w:tcPr>
          <w:p w14:paraId="496784BA">
            <w:pPr>
              <w:widowControl/>
              <w:snapToGrid w:val="0"/>
              <w:spacing w:line="240" w:lineRule="atLeast"/>
              <w:ind w:firstLine="0" w:firstLineChars="0"/>
              <w:jc w:val="center"/>
              <w:rPr>
                <w:kern w:val="0"/>
                <w:sz w:val="21"/>
                <w:szCs w:val="21"/>
                <w:highlight w:val="black"/>
              </w:rPr>
            </w:pPr>
            <w:r>
              <w:rPr>
                <w:sz w:val="21"/>
                <w:szCs w:val="21"/>
                <w:highlight w:val="black"/>
              </w:rPr>
              <w:t>695.25</w:t>
            </w:r>
          </w:p>
        </w:tc>
      </w:tr>
      <w:tr w14:paraId="2DA80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103AB9C2">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1077" w:type="pct"/>
            <w:tcBorders>
              <w:tl2br w:val="nil"/>
              <w:tr2bl w:val="nil"/>
            </w:tcBorders>
            <w:shd w:val="clear" w:color="auto" w:fill="auto"/>
            <w:vAlign w:val="center"/>
          </w:tcPr>
          <w:p w14:paraId="37F50046">
            <w:pPr>
              <w:widowControl/>
              <w:snapToGrid w:val="0"/>
              <w:spacing w:line="240" w:lineRule="atLeast"/>
              <w:ind w:firstLine="0" w:firstLineChars="0"/>
              <w:jc w:val="center"/>
              <w:rPr>
                <w:kern w:val="0"/>
                <w:sz w:val="21"/>
                <w:szCs w:val="21"/>
                <w:highlight w:val="black"/>
              </w:rPr>
            </w:pPr>
            <w:r>
              <w:rPr>
                <w:sz w:val="21"/>
                <w:szCs w:val="21"/>
                <w:highlight w:val="black"/>
              </w:rPr>
              <w:t>CYTJ45</w:t>
            </w:r>
          </w:p>
        </w:tc>
        <w:tc>
          <w:tcPr>
            <w:tcW w:w="817" w:type="pct"/>
            <w:tcBorders>
              <w:tl2br w:val="nil"/>
              <w:tr2bl w:val="nil"/>
            </w:tcBorders>
            <w:shd w:val="clear" w:color="auto" w:fill="auto"/>
            <w:vAlign w:val="center"/>
          </w:tcPr>
          <w:p w14:paraId="4D184B21">
            <w:pPr>
              <w:widowControl/>
              <w:snapToGrid w:val="0"/>
              <w:spacing w:line="240" w:lineRule="atLeast"/>
              <w:ind w:firstLine="0" w:firstLineChars="0"/>
              <w:jc w:val="center"/>
              <w:rPr>
                <w:kern w:val="0"/>
                <w:sz w:val="21"/>
                <w:szCs w:val="21"/>
                <w:highlight w:val="black"/>
              </w:rPr>
            </w:pPr>
            <w:r>
              <w:rPr>
                <w:sz w:val="21"/>
                <w:szCs w:val="21"/>
                <w:highlight w:val="black"/>
              </w:rPr>
              <w:t>55.8</w:t>
            </w:r>
          </w:p>
        </w:tc>
        <w:tc>
          <w:tcPr>
            <w:tcW w:w="481" w:type="pct"/>
            <w:tcBorders>
              <w:tl2br w:val="nil"/>
              <w:tr2bl w:val="nil"/>
            </w:tcBorders>
            <w:shd w:val="clear" w:color="auto" w:fill="auto"/>
            <w:vAlign w:val="center"/>
          </w:tcPr>
          <w:p w14:paraId="380718B1">
            <w:pPr>
              <w:widowControl/>
              <w:snapToGrid w:val="0"/>
              <w:spacing w:line="240" w:lineRule="atLeast"/>
              <w:ind w:firstLine="0" w:firstLineChars="0"/>
              <w:jc w:val="center"/>
              <w:rPr>
                <w:kern w:val="0"/>
                <w:sz w:val="21"/>
                <w:szCs w:val="21"/>
                <w:highlight w:val="black"/>
              </w:rPr>
            </w:pPr>
            <w:r>
              <w:rPr>
                <w:sz w:val="21"/>
                <w:szCs w:val="21"/>
                <w:highlight w:val="black"/>
              </w:rPr>
              <w:t>4</w:t>
            </w:r>
          </w:p>
        </w:tc>
        <w:tc>
          <w:tcPr>
            <w:tcW w:w="1116" w:type="pct"/>
            <w:tcBorders>
              <w:tl2br w:val="nil"/>
              <w:tr2bl w:val="nil"/>
            </w:tcBorders>
            <w:shd w:val="clear" w:color="auto" w:fill="auto"/>
            <w:vAlign w:val="center"/>
          </w:tcPr>
          <w:p w14:paraId="034B00C4">
            <w:pPr>
              <w:widowControl/>
              <w:snapToGrid w:val="0"/>
              <w:spacing w:line="240" w:lineRule="atLeast"/>
              <w:ind w:firstLine="0" w:firstLineChars="0"/>
              <w:jc w:val="center"/>
              <w:rPr>
                <w:kern w:val="0"/>
                <w:sz w:val="21"/>
                <w:szCs w:val="21"/>
                <w:highlight w:val="black"/>
              </w:rPr>
            </w:pPr>
            <w:r>
              <w:rPr>
                <w:sz w:val="21"/>
                <w:szCs w:val="21"/>
                <w:highlight w:val="black"/>
              </w:rPr>
              <w:t>0.6</w:t>
            </w:r>
          </w:p>
        </w:tc>
        <w:tc>
          <w:tcPr>
            <w:tcW w:w="1028" w:type="pct"/>
            <w:tcBorders>
              <w:tl2br w:val="nil"/>
              <w:tr2bl w:val="nil"/>
            </w:tcBorders>
            <w:shd w:val="clear" w:color="auto" w:fill="auto"/>
            <w:vAlign w:val="center"/>
          </w:tcPr>
          <w:p w14:paraId="6F691719">
            <w:pPr>
              <w:widowControl/>
              <w:snapToGrid w:val="0"/>
              <w:spacing w:line="240" w:lineRule="atLeast"/>
              <w:ind w:firstLine="0" w:firstLineChars="0"/>
              <w:jc w:val="center"/>
              <w:rPr>
                <w:kern w:val="0"/>
                <w:sz w:val="21"/>
                <w:szCs w:val="21"/>
                <w:highlight w:val="black"/>
              </w:rPr>
            </w:pPr>
            <w:r>
              <w:rPr>
                <w:sz w:val="21"/>
                <w:szCs w:val="21"/>
                <w:highlight w:val="black"/>
              </w:rPr>
              <w:t>133.92</w:t>
            </w:r>
          </w:p>
        </w:tc>
      </w:tr>
      <w:tr w14:paraId="71F80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222B2C0C">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1077" w:type="pct"/>
            <w:tcBorders>
              <w:tl2br w:val="nil"/>
              <w:tr2bl w:val="nil"/>
            </w:tcBorders>
            <w:shd w:val="clear" w:color="auto" w:fill="auto"/>
            <w:vAlign w:val="center"/>
          </w:tcPr>
          <w:p w14:paraId="6D457D42">
            <w:pPr>
              <w:widowControl/>
              <w:snapToGrid w:val="0"/>
              <w:spacing w:line="240" w:lineRule="atLeast"/>
              <w:ind w:firstLine="0" w:firstLineChars="0"/>
              <w:jc w:val="center"/>
              <w:rPr>
                <w:kern w:val="0"/>
                <w:sz w:val="21"/>
                <w:szCs w:val="21"/>
                <w:highlight w:val="black"/>
              </w:rPr>
            </w:pPr>
            <w:r>
              <w:rPr>
                <w:sz w:val="21"/>
                <w:szCs w:val="21"/>
                <w:highlight w:val="black"/>
              </w:rPr>
              <w:t>CYTC70</w:t>
            </w:r>
          </w:p>
        </w:tc>
        <w:tc>
          <w:tcPr>
            <w:tcW w:w="817" w:type="pct"/>
            <w:tcBorders>
              <w:tl2br w:val="nil"/>
              <w:tr2bl w:val="nil"/>
            </w:tcBorders>
            <w:shd w:val="clear" w:color="auto" w:fill="auto"/>
            <w:vAlign w:val="center"/>
          </w:tcPr>
          <w:p w14:paraId="1DE32FF6">
            <w:pPr>
              <w:widowControl/>
              <w:snapToGrid w:val="0"/>
              <w:spacing w:line="240" w:lineRule="atLeast"/>
              <w:ind w:firstLine="0" w:firstLineChars="0"/>
              <w:jc w:val="center"/>
              <w:rPr>
                <w:kern w:val="0"/>
                <w:sz w:val="21"/>
                <w:szCs w:val="21"/>
                <w:highlight w:val="black"/>
              </w:rPr>
            </w:pPr>
            <w:r>
              <w:rPr>
                <w:sz w:val="21"/>
                <w:szCs w:val="21"/>
                <w:highlight w:val="black"/>
              </w:rPr>
              <w:t>53.7</w:t>
            </w:r>
          </w:p>
        </w:tc>
        <w:tc>
          <w:tcPr>
            <w:tcW w:w="481" w:type="pct"/>
            <w:tcBorders>
              <w:tl2br w:val="nil"/>
              <w:tr2bl w:val="nil"/>
            </w:tcBorders>
            <w:shd w:val="clear" w:color="auto" w:fill="auto"/>
            <w:vAlign w:val="center"/>
          </w:tcPr>
          <w:p w14:paraId="2FB3A1E5">
            <w:pPr>
              <w:widowControl/>
              <w:snapToGrid w:val="0"/>
              <w:spacing w:line="240" w:lineRule="atLeast"/>
              <w:ind w:firstLine="0" w:firstLineChars="0"/>
              <w:jc w:val="center"/>
              <w:rPr>
                <w:kern w:val="0"/>
                <w:sz w:val="21"/>
                <w:szCs w:val="21"/>
                <w:highlight w:val="black"/>
              </w:rPr>
            </w:pPr>
            <w:r>
              <w:rPr>
                <w:sz w:val="21"/>
                <w:szCs w:val="21"/>
                <w:highlight w:val="black"/>
              </w:rPr>
              <w:t>2</w:t>
            </w:r>
          </w:p>
        </w:tc>
        <w:tc>
          <w:tcPr>
            <w:tcW w:w="1116" w:type="pct"/>
            <w:tcBorders>
              <w:tl2br w:val="nil"/>
              <w:tr2bl w:val="nil"/>
            </w:tcBorders>
            <w:shd w:val="clear" w:color="auto" w:fill="auto"/>
            <w:vAlign w:val="center"/>
          </w:tcPr>
          <w:p w14:paraId="1956AA81">
            <w:pPr>
              <w:widowControl/>
              <w:snapToGrid w:val="0"/>
              <w:spacing w:line="240" w:lineRule="atLeast"/>
              <w:ind w:firstLine="0" w:firstLineChars="0"/>
              <w:jc w:val="center"/>
              <w:rPr>
                <w:kern w:val="0"/>
                <w:sz w:val="21"/>
                <w:szCs w:val="21"/>
                <w:highlight w:val="black"/>
              </w:rPr>
            </w:pPr>
            <w:r>
              <w:rPr>
                <w:sz w:val="21"/>
                <w:szCs w:val="21"/>
                <w:highlight w:val="black"/>
              </w:rPr>
              <w:t>0.6</w:t>
            </w:r>
          </w:p>
        </w:tc>
        <w:tc>
          <w:tcPr>
            <w:tcW w:w="1028" w:type="pct"/>
            <w:tcBorders>
              <w:tl2br w:val="nil"/>
              <w:tr2bl w:val="nil"/>
            </w:tcBorders>
            <w:shd w:val="clear" w:color="auto" w:fill="auto"/>
            <w:vAlign w:val="center"/>
          </w:tcPr>
          <w:p w14:paraId="2CD7E850">
            <w:pPr>
              <w:widowControl/>
              <w:snapToGrid w:val="0"/>
              <w:spacing w:line="240" w:lineRule="atLeast"/>
              <w:ind w:firstLine="0" w:firstLineChars="0"/>
              <w:jc w:val="center"/>
              <w:rPr>
                <w:kern w:val="0"/>
                <w:sz w:val="21"/>
                <w:szCs w:val="21"/>
                <w:highlight w:val="black"/>
              </w:rPr>
            </w:pPr>
            <w:r>
              <w:rPr>
                <w:sz w:val="21"/>
                <w:szCs w:val="21"/>
                <w:highlight w:val="black"/>
              </w:rPr>
              <w:t>64.44</w:t>
            </w:r>
          </w:p>
        </w:tc>
      </w:tr>
      <w:tr w14:paraId="6F46B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53931A72">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c>
          <w:tcPr>
            <w:tcW w:w="1077" w:type="pct"/>
            <w:tcBorders>
              <w:tl2br w:val="nil"/>
              <w:tr2bl w:val="nil"/>
            </w:tcBorders>
            <w:shd w:val="clear" w:color="auto" w:fill="auto"/>
            <w:vAlign w:val="center"/>
          </w:tcPr>
          <w:p w14:paraId="4D6A787B">
            <w:pPr>
              <w:widowControl/>
              <w:snapToGrid w:val="0"/>
              <w:spacing w:line="240" w:lineRule="atLeast"/>
              <w:ind w:firstLine="0" w:firstLineChars="0"/>
              <w:jc w:val="center"/>
              <w:rPr>
                <w:kern w:val="0"/>
                <w:sz w:val="21"/>
                <w:szCs w:val="21"/>
                <w:highlight w:val="black"/>
              </w:rPr>
            </w:pPr>
            <w:r>
              <w:rPr>
                <w:sz w:val="21"/>
                <w:szCs w:val="21"/>
                <w:highlight w:val="black"/>
              </w:rPr>
              <w:t>XMPYT-45</w:t>
            </w:r>
          </w:p>
        </w:tc>
        <w:tc>
          <w:tcPr>
            <w:tcW w:w="817" w:type="pct"/>
            <w:tcBorders>
              <w:tl2br w:val="nil"/>
              <w:tr2bl w:val="nil"/>
            </w:tcBorders>
            <w:shd w:val="clear" w:color="auto" w:fill="auto"/>
            <w:vAlign w:val="center"/>
          </w:tcPr>
          <w:p w14:paraId="089CE433">
            <w:pPr>
              <w:widowControl/>
              <w:snapToGrid w:val="0"/>
              <w:spacing w:line="240" w:lineRule="atLeast"/>
              <w:ind w:firstLine="0" w:firstLineChars="0"/>
              <w:jc w:val="center"/>
              <w:rPr>
                <w:kern w:val="0"/>
                <w:sz w:val="21"/>
                <w:szCs w:val="21"/>
                <w:highlight w:val="black"/>
              </w:rPr>
            </w:pPr>
            <w:r>
              <w:rPr>
                <w:sz w:val="21"/>
                <w:szCs w:val="21"/>
                <w:highlight w:val="black"/>
              </w:rPr>
              <w:t>76</w:t>
            </w:r>
          </w:p>
        </w:tc>
        <w:tc>
          <w:tcPr>
            <w:tcW w:w="481" w:type="pct"/>
            <w:tcBorders>
              <w:tl2br w:val="nil"/>
              <w:tr2bl w:val="nil"/>
            </w:tcBorders>
            <w:shd w:val="clear" w:color="auto" w:fill="auto"/>
            <w:vAlign w:val="center"/>
          </w:tcPr>
          <w:p w14:paraId="05EB2005">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283808BB">
            <w:pPr>
              <w:widowControl/>
              <w:snapToGrid w:val="0"/>
              <w:spacing w:line="240" w:lineRule="atLeast"/>
              <w:ind w:firstLine="0" w:firstLineChars="0"/>
              <w:jc w:val="center"/>
              <w:rPr>
                <w:kern w:val="0"/>
                <w:sz w:val="21"/>
                <w:szCs w:val="21"/>
                <w:highlight w:val="black"/>
              </w:rPr>
            </w:pPr>
            <w:r>
              <w:rPr>
                <w:sz w:val="21"/>
                <w:szCs w:val="21"/>
                <w:highlight w:val="black"/>
              </w:rPr>
              <w:t>0.7</w:t>
            </w:r>
          </w:p>
        </w:tc>
        <w:tc>
          <w:tcPr>
            <w:tcW w:w="1028" w:type="pct"/>
            <w:tcBorders>
              <w:tl2br w:val="nil"/>
              <w:tr2bl w:val="nil"/>
            </w:tcBorders>
            <w:shd w:val="clear" w:color="auto" w:fill="auto"/>
            <w:vAlign w:val="center"/>
          </w:tcPr>
          <w:p w14:paraId="08B3A828">
            <w:pPr>
              <w:widowControl/>
              <w:snapToGrid w:val="0"/>
              <w:spacing w:line="240" w:lineRule="atLeast"/>
              <w:ind w:firstLine="0" w:firstLineChars="0"/>
              <w:jc w:val="center"/>
              <w:rPr>
                <w:kern w:val="0"/>
                <w:sz w:val="21"/>
                <w:szCs w:val="21"/>
                <w:highlight w:val="black"/>
              </w:rPr>
            </w:pPr>
            <w:r>
              <w:rPr>
                <w:sz w:val="21"/>
                <w:szCs w:val="21"/>
                <w:highlight w:val="black"/>
              </w:rPr>
              <w:t>53.2</w:t>
            </w:r>
          </w:p>
        </w:tc>
      </w:tr>
      <w:tr w14:paraId="2B5C8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0821077B">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1077" w:type="pct"/>
            <w:tcBorders>
              <w:tl2br w:val="nil"/>
              <w:tr2bl w:val="nil"/>
            </w:tcBorders>
            <w:shd w:val="clear" w:color="auto" w:fill="auto"/>
            <w:vAlign w:val="center"/>
          </w:tcPr>
          <w:p w14:paraId="76289CF9">
            <w:pPr>
              <w:widowControl/>
              <w:snapToGrid w:val="0"/>
              <w:spacing w:line="240" w:lineRule="atLeast"/>
              <w:ind w:firstLine="0" w:firstLineChars="0"/>
              <w:jc w:val="center"/>
              <w:rPr>
                <w:kern w:val="0"/>
                <w:sz w:val="21"/>
                <w:szCs w:val="21"/>
                <w:highlight w:val="black"/>
              </w:rPr>
            </w:pPr>
            <w:r>
              <w:rPr>
                <w:sz w:val="21"/>
                <w:szCs w:val="21"/>
                <w:highlight w:val="black"/>
              </w:rPr>
              <w:t>XYJY-5</w:t>
            </w:r>
          </w:p>
        </w:tc>
        <w:tc>
          <w:tcPr>
            <w:tcW w:w="817" w:type="pct"/>
            <w:tcBorders>
              <w:tl2br w:val="nil"/>
              <w:tr2bl w:val="nil"/>
            </w:tcBorders>
            <w:shd w:val="clear" w:color="auto" w:fill="auto"/>
            <w:vAlign w:val="center"/>
          </w:tcPr>
          <w:p w14:paraId="0F1AEB81">
            <w:pPr>
              <w:widowControl/>
              <w:snapToGrid w:val="0"/>
              <w:spacing w:line="240" w:lineRule="atLeast"/>
              <w:ind w:firstLine="0" w:firstLineChars="0"/>
              <w:jc w:val="center"/>
              <w:rPr>
                <w:kern w:val="0"/>
                <w:sz w:val="21"/>
                <w:szCs w:val="21"/>
                <w:highlight w:val="black"/>
              </w:rPr>
            </w:pPr>
            <w:r>
              <w:rPr>
                <w:sz w:val="21"/>
                <w:szCs w:val="21"/>
                <w:highlight w:val="black"/>
              </w:rPr>
              <w:t>45</w:t>
            </w:r>
          </w:p>
        </w:tc>
        <w:tc>
          <w:tcPr>
            <w:tcW w:w="481" w:type="pct"/>
            <w:tcBorders>
              <w:tl2br w:val="nil"/>
              <w:tr2bl w:val="nil"/>
            </w:tcBorders>
            <w:shd w:val="clear" w:color="auto" w:fill="auto"/>
            <w:vAlign w:val="center"/>
          </w:tcPr>
          <w:p w14:paraId="16C96ED6">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48ADB958">
            <w:pPr>
              <w:widowControl/>
              <w:snapToGrid w:val="0"/>
              <w:spacing w:line="240" w:lineRule="atLeast"/>
              <w:ind w:firstLine="0" w:firstLineChars="0"/>
              <w:jc w:val="center"/>
              <w:rPr>
                <w:kern w:val="0"/>
                <w:sz w:val="21"/>
                <w:szCs w:val="21"/>
                <w:highlight w:val="black"/>
              </w:rPr>
            </w:pPr>
            <w:r>
              <w:rPr>
                <w:sz w:val="21"/>
                <w:szCs w:val="21"/>
                <w:highlight w:val="black"/>
              </w:rPr>
              <w:t>0.25</w:t>
            </w:r>
          </w:p>
        </w:tc>
        <w:tc>
          <w:tcPr>
            <w:tcW w:w="1028" w:type="pct"/>
            <w:tcBorders>
              <w:tl2br w:val="nil"/>
              <w:tr2bl w:val="nil"/>
            </w:tcBorders>
            <w:shd w:val="clear" w:color="auto" w:fill="auto"/>
            <w:vAlign w:val="center"/>
          </w:tcPr>
          <w:p w14:paraId="4BAC4840">
            <w:pPr>
              <w:widowControl/>
              <w:snapToGrid w:val="0"/>
              <w:spacing w:line="240" w:lineRule="atLeast"/>
              <w:ind w:firstLine="0" w:firstLineChars="0"/>
              <w:jc w:val="center"/>
              <w:rPr>
                <w:kern w:val="0"/>
                <w:sz w:val="21"/>
                <w:szCs w:val="21"/>
                <w:highlight w:val="black"/>
              </w:rPr>
            </w:pPr>
            <w:r>
              <w:rPr>
                <w:sz w:val="21"/>
                <w:szCs w:val="21"/>
                <w:highlight w:val="black"/>
              </w:rPr>
              <w:t>11.25</w:t>
            </w:r>
          </w:p>
        </w:tc>
      </w:tr>
      <w:tr w14:paraId="42595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1889CEA1">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c>
          <w:tcPr>
            <w:tcW w:w="1077" w:type="pct"/>
            <w:tcBorders>
              <w:tl2br w:val="nil"/>
              <w:tr2bl w:val="nil"/>
            </w:tcBorders>
            <w:shd w:val="clear" w:color="auto" w:fill="auto"/>
            <w:vAlign w:val="center"/>
          </w:tcPr>
          <w:p w14:paraId="79C8A730">
            <w:pPr>
              <w:widowControl/>
              <w:snapToGrid w:val="0"/>
              <w:spacing w:line="240" w:lineRule="atLeast"/>
              <w:ind w:firstLine="0" w:firstLineChars="0"/>
              <w:jc w:val="center"/>
              <w:rPr>
                <w:kern w:val="0"/>
                <w:sz w:val="21"/>
                <w:szCs w:val="21"/>
                <w:highlight w:val="black"/>
              </w:rPr>
            </w:pPr>
            <w:r>
              <w:rPr>
                <w:sz w:val="21"/>
                <w:szCs w:val="21"/>
                <w:highlight w:val="black"/>
              </w:rPr>
              <w:t>UPS-8J</w:t>
            </w:r>
          </w:p>
        </w:tc>
        <w:tc>
          <w:tcPr>
            <w:tcW w:w="817" w:type="pct"/>
            <w:tcBorders>
              <w:tl2br w:val="nil"/>
              <w:tr2bl w:val="nil"/>
            </w:tcBorders>
            <w:shd w:val="clear" w:color="auto" w:fill="auto"/>
            <w:vAlign w:val="center"/>
          </w:tcPr>
          <w:p w14:paraId="21C2DF31">
            <w:pPr>
              <w:widowControl/>
              <w:snapToGrid w:val="0"/>
              <w:spacing w:line="240" w:lineRule="atLeast"/>
              <w:ind w:firstLine="0" w:firstLineChars="0"/>
              <w:jc w:val="center"/>
              <w:rPr>
                <w:kern w:val="0"/>
                <w:sz w:val="21"/>
                <w:szCs w:val="21"/>
                <w:highlight w:val="black"/>
              </w:rPr>
            </w:pPr>
            <w:r>
              <w:rPr>
                <w:sz w:val="21"/>
                <w:szCs w:val="21"/>
                <w:highlight w:val="black"/>
              </w:rPr>
              <w:t>90</w:t>
            </w:r>
          </w:p>
        </w:tc>
        <w:tc>
          <w:tcPr>
            <w:tcW w:w="481" w:type="pct"/>
            <w:tcBorders>
              <w:tl2br w:val="nil"/>
              <w:tr2bl w:val="nil"/>
            </w:tcBorders>
            <w:shd w:val="clear" w:color="auto" w:fill="auto"/>
            <w:vAlign w:val="center"/>
          </w:tcPr>
          <w:p w14:paraId="4BF90CED">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2C71CDCB">
            <w:pPr>
              <w:widowControl/>
              <w:snapToGrid w:val="0"/>
              <w:spacing w:line="240" w:lineRule="atLeast"/>
              <w:ind w:firstLine="0" w:firstLineChars="0"/>
              <w:jc w:val="center"/>
              <w:rPr>
                <w:kern w:val="0"/>
                <w:sz w:val="21"/>
                <w:szCs w:val="21"/>
                <w:highlight w:val="black"/>
              </w:rPr>
            </w:pPr>
            <w:r>
              <w:rPr>
                <w:sz w:val="21"/>
                <w:szCs w:val="21"/>
                <w:highlight w:val="black"/>
              </w:rPr>
              <w:t>0.2</w:t>
            </w:r>
          </w:p>
        </w:tc>
        <w:tc>
          <w:tcPr>
            <w:tcW w:w="1028" w:type="pct"/>
            <w:tcBorders>
              <w:tl2br w:val="nil"/>
              <w:tr2bl w:val="nil"/>
            </w:tcBorders>
            <w:shd w:val="clear" w:color="auto" w:fill="auto"/>
            <w:vAlign w:val="center"/>
          </w:tcPr>
          <w:p w14:paraId="24F0BB97">
            <w:pPr>
              <w:widowControl/>
              <w:snapToGrid w:val="0"/>
              <w:spacing w:line="240" w:lineRule="atLeast"/>
              <w:ind w:firstLine="0" w:firstLineChars="0"/>
              <w:jc w:val="center"/>
              <w:rPr>
                <w:kern w:val="0"/>
                <w:sz w:val="21"/>
                <w:szCs w:val="21"/>
                <w:highlight w:val="black"/>
              </w:rPr>
            </w:pPr>
            <w:r>
              <w:rPr>
                <w:sz w:val="21"/>
                <w:szCs w:val="21"/>
                <w:highlight w:val="black"/>
              </w:rPr>
              <w:t>18</w:t>
            </w:r>
          </w:p>
        </w:tc>
      </w:tr>
      <w:tr w14:paraId="67E34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78786305">
            <w:pPr>
              <w:widowControl/>
              <w:snapToGrid w:val="0"/>
              <w:spacing w:line="240" w:lineRule="atLeast"/>
              <w:ind w:firstLine="0" w:firstLineChars="0"/>
              <w:jc w:val="center"/>
              <w:rPr>
                <w:kern w:val="0"/>
                <w:sz w:val="21"/>
                <w:szCs w:val="21"/>
                <w:highlight w:val="black"/>
              </w:rPr>
            </w:pPr>
            <w:r>
              <w:rPr>
                <w:kern w:val="0"/>
                <w:sz w:val="21"/>
                <w:szCs w:val="21"/>
                <w:highlight w:val="black"/>
              </w:rPr>
              <w:t>7</w:t>
            </w:r>
          </w:p>
        </w:tc>
        <w:tc>
          <w:tcPr>
            <w:tcW w:w="1077" w:type="pct"/>
            <w:tcBorders>
              <w:tl2br w:val="nil"/>
              <w:tr2bl w:val="nil"/>
            </w:tcBorders>
            <w:shd w:val="clear" w:color="auto" w:fill="auto"/>
            <w:noWrap/>
            <w:vAlign w:val="center"/>
          </w:tcPr>
          <w:p w14:paraId="3D7B9C6B">
            <w:pPr>
              <w:widowControl/>
              <w:snapToGrid w:val="0"/>
              <w:spacing w:line="240" w:lineRule="atLeast"/>
              <w:ind w:firstLine="0" w:firstLineChars="0"/>
              <w:jc w:val="center"/>
              <w:rPr>
                <w:kern w:val="0"/>
                <w:sz w:val="21"/>
                <w:szCs w:val="21"/>
                <w:highlight w:val="black"/>
              </w:rPr>
            </w:pPr>
            <w:r>
              <w:rPr>
                <w:sz w:val="21"/>
                <w:szCs w:val="21"/>
                <w:highlight w:val="black"/>
              </w:rPr>
              <w:t>UPL-20.4/700</w:t>
            </w:r>
          </w:p>
        </w:tc>
        <w:tc>
          <w:tcPr>
            <w:tcW w:w="817" w:type="pct"/>
            <w:tcBorders>
              <w:tl2br w:val="nil"/>
              <w:tr2bl w:val="nil"/>
            </w:tcBorders>
            <w:shd w:val="clear" w:color="auto" w:fill="auto"/>
            <w:vAlign w:val="center"/>
          </w:tcPr>
          <w:p w14:paraId="4A2C9A66">
            <w:pPr>
              <w:widowControl/>
              <w:snapToGrid w:val="0"/>
              <w:spacing w:line="240" w:lineRule="atLeast"/>
              <w:ind w:firstLine="0" w:firstLineChars="0"/>
              <w:jc w:val="center"/>
              <w:rPr>
                <w:kern w:val="0"/>
                <w:sz w:val="21"/>
                <w:szCs w:val="21"/>
                <w:highlight w:val="black"/>
              </w:rPr>
            </w:pPr>
            <w:r>
              <w:rPr>
                <w:sz w:val="21"/>
                <w:szCs w:val="21"/>
                <w:highlight w:val="black"/>
              </w:rPr>
              <w:t>73.5</w:t>
            </w:r>
          </w:p>
        </w:tc>
        <w:tc>
          <w:tcPr>
            <w:tcW w:w="481" w:type="pct"/>
            <w:tcBorders>
              <w:tl2br w:val="nil"/>
              <w:tr2bl w:val="nil"/>
            </w:tcBorders>
            <w:shd w:val="clear" w:color="auto" w:fill="auto"/>
            <w:vAlign w:val="center"/>
          </w:tcPr>
          <w:p w14:paraId="2C2C199E">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32DF7EB8">
            <w:pPr>
              <w:widowControl/>
              <w:snapToGrid w:val="0"/>
              <w:spacing w:line="240" w:lineRule="atLeast"/>
              <w:ind w:firstLine="0" w:firstLineChars="0"/>
              <w:jc w:val="center"/>
              <w:rPr>
                <w:kern w:val="0"/>
                <w:sz w:val="21"/>
                <w:szCs w:val="21"/>
                <w:highlight w:val="black"/>
              </w:rPr>
            </w:pPr>
            <w:r>
              <w:rPr>
                <w:sz w:val="21"/>
                <w:szCs w:val="21"/>
                <w:highlight w:val="black"/>
              </w:rPr>
              <w:t>0.3</w:t>
            </w:r>
          </w:p>
        </w:tc>
        <w:tc>
          <w:tcPr>
            <w:tcW w:w="1028" w:type="pct"/>
            <w:tcBorders>
              <w:tl2br w:val="nil"/>
              <w:tr2bl w:val="nil"/>
            </w:tcBorders>
            <w:shd w:val="clear" w:color="auto" w:fill="auto"/>
            <w:vAlign w:val="center"/>
          </w:tcPr>
          <w:p w14:paraId="430D14C9">
            <w:pPr>
              <w:widowControl/>
              <w:snapToGrid w:val="0"/>
              <w:spacing w:line="240" w:lineRule="atLeast"/>
              <w:ind w:firstLine="0" w:firstLineChars="0"/>
              <w:jc w:val="center"/>
              <w:rPr>
                <w:kern w:val="0"/>
                <w:sz w:val="21"/>
                <w:szCs w:val="21"/>
                <w:highlight w:val="black"/>
              </w:rPr>
            </w:pPr>
            <w:r>
              <w:rPr>
                <w:sz w:val="21"/>
                <w:szCs w:val="21"/>
                <w:highlight w:val="black"/>
              </w:rPr>
              <w:t>22.05</w:t>
            </w:r>
          </w:p>
        </w:tc>
      </w:tr>
      <w:tr w14:paraId="016E8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156E80E8">
            <w:pPr>
              <w:widowControl/>
              <w:snapToGrid w:val="0"/>
              <w:spacing w:line="240" w:lineRule="atLeast"/>
              <w:ind w:firstLine="0" w:firstLineChars="0"/>
              <w:jc w:val="center"/>
              <w:rPr>
                <w:kern w:val="0"/>
                <w:sz w:val="21"/>
                <w:szCs w:val="21"/>
                <w:highlight w:val="black"/>
              </w:rPr>
            </w:pPr>
            <w:r>
              <w:rPr>
                <w:kern w:val="0"/>
                <w:sz w:val="21"/>
                <w:szCs w:val="21"/>
                <w:highlight w:val="black"/>
              </w:rPr>
              <w:t>8</w:t>
            </w:r>
          </w:p>
        </w:tc>
        <w:tc>
          <w:tcPr>
            <w:tcW w:w="1077" w:type="pct"/>
            <w:tcBorders>
              <w:tl2br w:val="nil"/>
              <w:tr2bl w:val="nil"/>
            </w:tcBorders>
            <w:shd w:val="clear" w:color="auto" w:fill="auto"/>
            <w:vAlign w:val="center"/>
          </w:tcPr>
          <w:p w14:paraId="4B53F01D">
            <w:pPr>
              <w:widowControl/>
              <w:snapToGrid w:val="0"/>
              <w:spacing w:line="240" w:lineRule="atLeast"/>
              <w:ind w:firstLine="0" w:firstLineChars="0"/>
              <w:jc w:val="center"/>
              <w:rPr>
                <w:kern w:val="0"/>
                <w:sz w:val="21"/>
                <w:szCs w:val="21"/>
                <w:highlight w:val="black"/>
              </w:rPr>
            </w:pPr>
            <w:r>
              <w:rPr>
                <w:sz w:val="21"/>
                <w:szCs w:val="21"/>
                <w:highlight w:val="black"/>
              </w:rPr>
              <w:t>RU-9</w:t>
            </w:r>
          </w:p>
        </w:tc>
        <w:tc>
          <w:tcPr>
            <w:tcW w:w="817" w:type="pct"/>
            <w:tcBorders>
              <w:tl2br w:val="nil"/>
              <w:tr2bl w:val="nil"/>
            </w:tcBorders>
            <w:shd w:val="clear" w:color="auto" w:fill="auto"/>
            <w:vAlign w:val="center"/>
          </w:tcPr>
          <w:p w14:paraId="6E2F6C56">
            <w:pPr>
              <w:widowControl/>
              <w:snapToGrid w:val="0"/>
              <w:spacing w:line="240" w:lineRule="atLeast"/>
              <w:ind w:firstLine="0" w:firstLineChars="0"/>
              <w:jc w:val="center"/>
              <w:rPr>
                <w:kern w:val="0"/>
                <w:sz w:val="21"/>
                <w:szCs w:val="21"/>
                <w:highlight w:val="black"/>
              </w:rPr>
            </w:pPr>
            <w:r>
              <w:rPr>
                <w:sz w:val="21"/>
                <w:szCs w:val="21"/>
                <w:highlight w:val="black"/>
              </w:rPr>
              <w:t>88</w:t>
            </w:r>
          </w:p>
        </w:tc>
        <w:tc>
          <w:tcPr>
            <w:tcW w:w="481" w:type="pct"/>
            <w:tcBorders>
              <w:tl2br w:val="nil"/>
              <w:tr2bl w:val="nil"/>
            </w:tcBorders>
            <w:shd w:val="clear" w:color="auto" w:fill="auto"/>
            <w:vAlign w:val="center"/>
          </w:tcPr>
          <w:p w14:paraId="2C5C1D59">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64DEADC8">
            <w:pPr>
              <w:widowControl/>
              <w:snapToGrid w:val="0"/>
              <w:spacing w:line="240" w:lineRule="atLeast"/>
              <w:ind w:firstLine="0" w:firstLineChars="0"/>
              <w:jc w:val="center"/>
              <w:rPr>
                <w:kern w:val="0"/>
                <w:sz w:val="21"/>
                <w:szCs w:val="21"/>
                <w:highlight w:val="black"/>
              </w:rPr>
            </w:pPr>
            <w:r>
              <w:rPr>
                <w:sz w:val="21"/>
                <w:szCs w:val="21"/>
                <w:highlight w:val="black"/>
              </w:rPr>
              <w:t>0.3</w:t>
            </w:r>
          </w:p>
        </w:tc>
        <w:tc>
          <w:tcPr>
            <w:tcW w:w="1028" w:type="pct"/>
            <w:tcBorders>
              <w:tl2br w:val="nil"/>
              <w:tr2bl w:val="nil"/>
            </w:tcBorders>
            <w:shd w:val="clear" w:color="auto" w:fill="auto"/>
            <w:vAlign w:val="center"/>
          </w:tcPr>
          <w:p w14:paraId="4DBDB250">
            <w:pPr>
              <w:widowControl/>
              <w:snapToGrid w:val="0"/>
              <w:spacing w:line="240" w:lineRule="atLeast"/>
              <w:ind w:firstLine="0" w:firstLineChars="0"/>
              <w:jc w:val="center"/>
              <w:rPr>
                <w:kern w:val="0"/>
                <w:sz w:val="21"/>
                <w:szCs w:val="21"/>
                <w:highlight w:val="black"/>
              </w:rPr>
            </w:pPr>
            <w:r>
              <w:rPr>
                <w:sz w:val="21"/>
                <w:szCs w:val="21"/>
                <w:highlight w:val="black"/>
              </w:rPr>
              <w:t>26.4</w:t>
            </w:r>
          </w:p>
        </w:tc>
      </w:tr>
      <w:tr w14:paraId="45310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09259AA5">
            <w:pPr>
              <w:widowControl/>
              <w:snapToGrid w:val="0"/>
              <w:spacing w:line="240" w:lineRule="atLeast"/>
              <w:ind w:firstLine="0" w:firstLineChars="0"/>
              <w:jc w:val="center"/>
              <w:rPr>
                <w:kern w:val="0"/>
                <w:sz w:val="21"/>
                <w:szCs w:val="21"/>
                <w:highlight w:val="black"/>
              </w:rPr>
            </w:pPr>
            <w:r>
              <w:rPr>
                <w:kern w:val="0"/>
                <w:sz w:val="21"/>
                <w:szCs w:val="21"/>
                <w:highlight w:val="black"/>
              </w:rPr>
              <w:t>9</w:t>
            </w:r>
          </w:p>
        </w:tc>
        <w:tc>
          <w:tcPr>
            <w:tcW w:w="1894" w:type="pct"/>
            <w:gridSpan w:val="2"/>
            <w:tcBorders>
              <w:tl2br w:val="nil"/>
              <w:tr2bl w:val="nil"/>
            </w:tcBorders>
            <w:shd w:val="clear" w:color="auto" w:fill="auto"/>
            <w:vAlign w:val="center"/>
          </w:tcPr>
          <w:p w14:paraId="02AA4F8A">
            <w:pPr>
              <w:widowControl/>
              <w:snapToGrid w:val="0"/>
              <w:spacing w:line="240" w:lineRule="atLeast"/>
              <w:ind w:firstLine="0" w:firstLineChars="0"/>
              <w:jc w:val="center"/>
              <w:rPr>
                <w:kern w:val="0"/>
                <w:sz w:val="21"/>
                <w:szCs w:val="21"/>
                <w:highlight w:val="black"/>
              </w:rPr>
            </w:pPr>
            <w:r>
              <w:rPr>
                <w:kern w:val="0"/>
                <w:sz w:val="21"/>
                <w:szCs w:val="21"/>
                <w:highlight w:val="black"/>
              </w:rPr>
              <w:t>合计</w:t>
            </w:r>
          </w:p>
        </w:tc>
        <w:tc>
          <w:tcPr>
            <w:tcW w:w="481" w:type="pct"/>
            <w:tcBorders>
              <w:tl2br w:val="nil"/>
              <w:tr2bl w:val="nil"/>
            </w:tcBorders>
            <w:shd w:val="clear" w:color="auto" w:fill="auto"/>
            <w:vAlign w:val="center"/>
          </w:tcPr>
          <w:p w14:paraId="5ABA0476">
            <w:pPr>
              <w:widowControl/>
              <w:snapToGrid w:val="0"/>
              <w:spacing w:line="240" w:lineRule="atLeast"/>
              <w:ind w:firstLine="0" w:firstLineChars="0"/>
              <w:jc w:val="center"/>
              <w:rPr>
                <w:kern w:val="0"/>
                <w:sz w:val="21"/>
                <w:szCs w:val="21"/>
                <w:highlight w:val="black"/>
              </w:rPr>
            </w:pPr>
          </w:p>
        </w:tc>
        <w:tc>
          <w:tcPr>
            <w:tcW w:w="1116" w:type="pct"/>
            <w:tcBorders>
              <w:tl2br w:val="nil"/>
              <w:tr2bl w:val="nil"/>
            </w:tcBorders>
            <w:shd w:val="clear" w:color="auto" w:fill="auto"/>
            <w:vAlign w:val="center"/>
          </w:tcPr>
          <w:p w14:paraId="2D4A0238">
            <w:pPr>
              <w:widowControl/>
              <w:snapToGrid w:val="0"/>
              <w:spacing w:line="240" w:lineRule="atLeast"/>
              <w:ind w:firstLine="0" w:firstLineChars="0"/>
              <w:jc w:val="center"/>
              <w:rPr>
                <w:kern w:val="0"/>
                <w:sz w:val="21"/>
                <w:szCs w:val="21"/>
                <w:highlight w:val="black"/>
              </w:rPr>
            </w:pPr>
          </w:p>
        </w:tc>
        <w:tc>
          <w:tcPr>
            <w:tcW w:w="1028" w:type="pct"/>
            <w:tcBorders>
              <w:tl2br w:val="nil"/>
              <w:tr2bl w:val="nil"/>
            </w:tcBorders>
            <w:shd w:val="clear" w:color="auto" w:fill="auto"/>
            <w:vAlign w:val="center"/>
          </w:tcPr>
          <w:p w14:paraId="0B43DAE4">
            <w:pPr>
              <w:widowControl/>
              <w:snapToGrid w:val="0"/>
              <w:spacing w:line="240" w:lineRule="atLeast"/>
              <w:ind w:firstLine="0" w:firstLineChars="0"/>
              <w:jc w:val="center"/>
              <w:rPr>
                <w:kern w:val="0"/>
                <w:sz w:val="21"/>
                <w:szCs w:val="21"/>
                <w:highlight w:val="black"/>
              </w:rPr>
            </w:pPr>
            <w:r>
              <w:rPr>
                <w:kern w:val="0"/>
                <w:sz w:val="21"/>
                <w:szCs w:val="21"/>
                <w:highlight w:val="black"/>
              </w:rPr>
              <w:fldChar w:fldCharType="begin"/>
            </w:r>
            <w:r>
              <w:rPr>
                <w:kern w:val="0"/>
                <w:sz w:val="21"/>
                <w:szCs w:val="21"/>
                <w:highlight w:val="black"/>
              </w:rPr>
              <w:instrText xml:space="preserve"> =SUM(ABOVE) </w:instrText>
            </w:r>
            <w:r>
              <w:rPr>
                <w:kern w:val="0"/>
                <w:sz w:val="21"/>
                <w:szCs w:val="21"/>
                <w:highlight w:val="black"/>
              </w:rPr>
              <w:fldChar w:fldCharType="separate"/>
            </w:r>
            <w:r>
              <w:rPr>
                <w:kern w:val="0"/>
                <w:sz w:val="21"/>
                <w:szCs w:val="21"/>
                <w:highlight w:val="black"/>
              </w:rPr>
              <w:t>1024.51</w:t>
            </w:r>
            <w:r>
              <w:rPr>
                <w:kern w:val="0"/>
                <w:sz w:val="21"/>
                <w:szCs w:val="21"/>
                <w:highlight w:val="black"/>
              </w:rPr>
              <w:fldChar w:fldCharType="end"/>
            </w:r>
          </w:p>
        </w:tc>
      </w:tr>
      <w:bookmarkEnd w:id="179"/>
    </w:tbl>
    <w:p w14:paraId="04F26188">
      <w:pPr>
        <w:ind w:firstLine="583"/>
        <w:rPr>
          <w:highlight w:val="black"/>
        </w:rPr>
      </w:pPr>
      <w:r>
        <w:rPr>
          <w:highlight w:val="black"/>
        </w:rPr>
        <w:t>根据以上计算可知，</w:t>
      </w:r>
      <w:r>
        <w:rPr>
          <w:rFonts w:hint="eastAsia"/>
          <w:highlight w:val="black"/>
        </w:rPr>
        <w:t>因本矿山井下柴油设备较多，</w:t>
      </w:r>
      <w:r>
        <w:rPr>
          <w:highlight w:val="black"/>
        </w:rPr>
        <w:t>按照井下</w:t>
      </w:r>
      <w:r>
        <w:rPr>
          <w:rFonts w:hint="eastAsia"/>
          <w:highlight w:val="black"/>
        </w:rPr>
        <w:t>柴油设备需风量</w:t>
      </w:r>
      <w:r>
        <w:rPr>
          <w:highlight w:val="black"/>
        </w:rPr>
        <w:t>所需风量计算的风量最大，故本次设计井下需风量按照</w:t>
      </w:r>
      <w:r>
        <w:rPr>
          <w:rFonts w:hint="eastAsia"/>
          <w:sz w:val="26"/>
          <w:szCs w:val="26"/>
          <w:highlight w:val="black"/>
        </w:rPr>
        <w:t>68.3</w:t>
      </w:r>
      <w:r>
        <w:rPr>
          <w:highlight w:val="black"/>
        </w:rPr>
        <w:t>m</w:t>
      </w:r>
      <w:r>
        <w:rPr>
          <w:highlight w:val="black"/>
          <w:vertAlign w:val="superscript"/>
        </w:rPr>
        <w:t>3</w:t>
      </w:r>
      <w:r>
        <w:rPr>
          <w:highlight w:val="black"/>
        </w:rPr>
        <w:t>/s选取通风设备。</w:t>
      </w:r>
    </w:p>
    <w:p w14:paraId="61944D3C">
      <w:pPr>
        <w:ind w:firstLine="0" w:firstLineChars="0"/>
        <w:rPr>
          <w:rFonts w:ascii="宋体" w:hAnsi="宋体" w:cs="宋体"/>
          <w:b/>
          <w:bCs/>
        </w:rPr>
      </w:pPr>
      <w:r>
        <w:rPr>
          <w:rFonts w:hint="eastAsia" w:ascii="宋体" w:hAnsi="宋体" w:cs="宋体"/>
          <w:b/>
          <w:bCs/>
        </w:rPr>
        <w:t>2.4.7.3 矿井通风阻力计算</w:t>
      </w:r>
    </w:p>
    <w:p w14:paraId="1163E4CB">
      <w:pPr>
        <w:ind w:firstLine="583"/>
        <w:rPr>
          <w:highlight w:val="black"/>
        </w:rPr>
      </w:pPr>
      <w:bookmarkStart w:id="180" w:name="_Hlk138435153"/>
      <w:r>
        <w:rPr>
          <w:highlight w:val="black"/>
        </w:rPr>
        <w:t>矿井通风阻力按下式计算</w:t>
      </w:r>
    </w:p>
    <w:p w14:paraId="404D0C19">
      <w:pPr>
        <w:spacing w:after="191" w:afterLines="50" w:line="520" w:lineRule="atLeast"/>
        <w:ind w:firstLine="543"/>
        <w:jc w:val="center"/>
        <w:rPr>
          <w:sz w:val="26"/>
          <w:highlight w:val="black"/>
        </w:rPr>
      </w:pPr>
      <w:r>
        <w:rPr>
          <w:position w:val="-24"/>
          <w:sz w:val="26"/>
          <w:highlight w:val="black"/>
        </w:rPr>
        <w:object>
          <v:shape id="_x0000_i1029" o:spt="75" type="#_x0000_t75" style="height:36.55pt;width:101.45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28" r:id="rId34">
            <o:LockedField>false</o:LockedField>
          </o:OLEObject>
        </w:object>
      </w:r>
    </w:p>
    <w:p w14:paraId="66D5F871">
      <w:pPr>
        <w:ind w:firstLine="583"/>
        <w:rPr>
          <w:highlight w:val="black"/>
        </w:rPr>
      </w:pPr>
      <w:r>
        <w:rPr>
          <w:highlight w:val="black"/>
        </w:rPr>
        <w:t>式中：h</w:t>
      </w:r>
      <w:r>
        <w:rPr>
          <w:highlight w:val="black"/>
          <w:vertAlign w:val="subscript"/>
        </w:rPr>
        <w:t>λ</w:t>
      </w:r>
      <w:r>
        <w:rPr>
          <w:highlight w:val="black"/>
        </w:rPr>
        <w:t>－巷道通风摩擦阻力，Pa；</w:t>
      </w:r>
    </w:p>
    <w:p w14:paraId="39A8ED54">
      <w:pPr>
        <w:ind w:firstLine="583"/>
        <w:rPr>
          <w:highlight w:val="black"/>
        </w:rPr>
      </w:pPr>
      <w:r>
        <w:rPr>
          <w:highlight w:val="black"/>
        </w:rPr>
        <w:t>α－巷道通风摩擦阻力系数，Ns</w:t>
      </w:r>
      <w:r>
        <w:rPr>
          <w:highlight w:val="black"/>
          <w:vertAlign w:val="superscript"/>
        </w:rPr>
        <w:t>2</w:t>
      </w:r>
      <w:r>
        <w:rPr>
          <w:highlight w:val="black"/>
        </w:rPr>
        <w:t>/m；</w:t>
      </w:r>
    </w:p>
    <w:p w14:paraId="20A58709">
      <w:pPr>
        <w:ind w:firstLine="583"/>
        <w:rPr>
          <w:highlight w:val="black"/>
        </w:rPr>
      </w:pPr>
      <w:r>
        <w:rPr>
          <w:highlight w:val="black"/>
        </w:rPr>
        <w:t>P－巷道通风断面的周边长度，m；</w:t>
      </w:r>
    </w:p>
    <w:p w14:paraId="093A1DBE">
      <w:pPr>
        <w:ind w:firstLine="583"/>
        <w:rPr>
          <w:highlight w:val="black"/>
        </w:rPr>
      </w:pPr>
      <w:r>
        <w:rPr>
          <w:highlight w:val="black"/>
        </w:rPr>
        <w:t>L－巷道长度，m；</w:t>
      </w:r>
    </w:p>
    <w:p w14:paraId="1593C1B7">
      <w:pPr>
        <w:ind w:firstLine="583"/>
        <w:rPr>
          <w:highlight w:val="black"/>
        </w:rPr>
      </w:pPr>
      <w:r>
        <w:rPr>
          <w:highlight w:val="black"/>
        </w:rPr>
        <w:t>S－巷道的通风断面积，m</w:t>
      </w:r>
      <w:r>
        <w:rPr>
          <w:highlight w:val="black"/>
          <w:vertAlign w:val="superscript"/>
        </w:rPr>
        <w:t>2</w:t>
      </w:r>
      <w:r>
        <w:rPr>
          <w:highlight w:val="black"/>
        </w:rPr>
        <w:t>；</w:t>
      </w:r>
    </w:p>
    <w:p w14:paraId="607B4C17">
      <w:pPr>
        <w:ind w:firstLine="583"/>
        <w:rPr>
          <w:highlight w:val="black"/>
        </w:rPr>
      </w:pPr>
      <w:r>
        <w:rPr>
          <w:highlight w:val="black"/>
        </w:rPr>
        <w:t>q</w:t>
      </w:r>
      <w:r>
        <w:rPr>
          <w:highlight w:val="black"/>
          <w:vertAlign w:val="subscript"/>
        </w:rPr>
        <w:t>i</w:t>
      </w:r>
      <w:r>
        <w:rPr>
          <w:highlight w:val="black"/>
        </w:rPr>
        <w:t>－巷道通过的风量，m</w:t>
      </w:r>
      <w:r>
        <w:rPr>
          <w:highlight w:val="black"/>
          <w:vertAlign w:val="superscript"/>
        </w:rPr>
        <w:t>3</w:t>
      </w:r>
      <w:r>
        <w:rPr>
          <w:highlight w:val="black"/>
        </w:rPr>
        <w:t>/s。</w:t>
      </w:r>
      <w:bookmarkEnd w:id="180"/>
    </w:p>
    <w:p w14:paraId="12E54738">
      <w:pPr>
        <w:ind w:firstLine="0" w:firstLineChars="0"/>
        <w:rPr>
          <w:rFonts w:hint="eastAsia" w:ascii="宋体" w:hAnsi="宋体" w:cs="宋体"/>
          <w:b/>
          <w:bCs/>
          <w:highlight w:val="black"/>
        </w:rPr>
      </w:pPr>
    </w:p>
    <w:p w14:paraId="7522FA8D">
      <w:pPr>
        <w:ind w:firstLine="0" w:firstLineChars="0"/>
        <w:rPr>
          <w:rFonts w:ascii="宋体" w:hAnsi="宋体" w:cs="宋体"/>
          <w:b/>
          <w:bCs/>
        </w:rPr>
      </w:pPr>
      <w:r>
        <w:rPr>
          <w:rFonts w:hint="eastAsia" w:ascii="宋体" w:hAnsi="宋体" w:cs="宋体"/>
          <w:b/>
          <w:bCs/>
        </w:rPr>
        <w:t>2.4.7.4 矿井等积孔</w:t>
      </w:r>
    </w:p>
    <w:p w14:paraId="59F2D826">
      <w:pPr>
        <w:snapToGrid w:val="0"/>
        <w:spacing w:line="520" w:lineRule="atLeast"/>
        <w:ind w:firstLine="543"/>
        <w:jc w:val="center"/>
        <w:rPr>
          <w:sz w:val="26"/>
          <w:highlight w:val="black"/>
        </w:rPr>
      </w:pPr>
      <w:bookmarkStart w:id="181" w:name="_Hlk185725415"/>
      <w:r>
        <w:rPr>
          <w:position w:val="-12"/>
          <w:sz w:val="26"/>
          <w:highlight w:val="black"/>
        </w:rPr>
        <w:drawing>
          <wp:inline distT="0" distB="0" distL="114300" distR="114300">
            <wp:extent cx="914400" cy="243205"/>
            <wp:effectExtent l="0" t="0" r="0" b="63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36"/>
                    <a:stretch>
                      <a:fillRect/>
                    </a:stretch>
                  </pic:blipFill>
                  <pic:spPr>
                    <a:xfrm>
                      <a:off x="0" y="0"/>
                      <a:ext cx="914400" cy="243205"/>
                    </a:xfrm>
                    <a:prstGeom prst="rect">
                      <a:avLst/>
                    </a:prstGeom>
                    <a:noFill/>
                    <a:ln>
                      <a:noFill/>
                    </a:ln>
                  </pic:spPr>
                </pic:pic>
              </a:graphicData>
            </a:graphic>
          </wp:inline>
        </w:drawing>
      </w:r>
    </w:p>
    <w:p w14:paraId="545B1D6B">
      <w:pPr>
        <w:ind w:firstLine="583"/>
        <w:rPr>
          <w:highlight w:val="black"/>
        </w:rPr>
      </w:pPr>
      <w:r>
        <w:rPr>
          <w:highlight w:val="black"/>
        </w:rPr>
        <w:t>式中：R</w:t>
      </w:r>
      <w:r>
        <w:rPr>
          <w:highlight w:val="black"/>
          <w:vertAlign w:val="subscript"/>
        </w:rPr>
        <w:t>m</w:t>
      </w:r>
      <w:r>
        <w:rPr>
          <w:highlight w:val="black"/>
        </w:rPr>
        <w:t>－井巷总风阻，Ns</w:t>
      </w:r>
      <w:r>
        <w:rPr>
          <w:highlight w:val="black"/>
          <w:vertAlign w:val="superscript"/>
        </w:rPr>
        <w:t>2</w:t>
      </w:r>
      <w:r>
        <w:rPr>
          <w:highlight w:val="black"/>
        </w:rPr>
        <w:t>/m</w:t>
      </w:r>
      <w:r>
        <w:rPr>
          <w:highlight w:val="black"/>
          <w:vertAlign w:val="superscript"/>
        </w:rPr>
        <w:t>4</w:t>
      </w:r>
      <w:r>
        <w:rPr>
          <w:highlight w:val="black"/>
        </w:rPr>
        <w:t>；</w:t>
      </w:r>
    </w:p>
    <w:p w14:paraId="46847620">
      <w:pPr>
        <w:ind w:firstLine="583"/>
        <w:rPr>
          <w:highlight w:val="black"/>
        </w:rPr>
      </w:pPr>
      <w:r>
        <w:rPr>
          <w:highlight w:val="black"/>
        </w:rPr>
        <w:t>h</w:t>
      </w:r>
      <w:r>
        <w:rPr>
          <w:highlight w:val="black"/>
          <w:vertAlign w:val="subscript"/>
        </w:rPr>
        <w:t>m</w:t>
      </w:r>
      <w:r>
        <w:rPr>
          <w:highlight w:val="black"/>
        </w:rPr>
        <w:t>－井巷通风总阻力，Pa；</w:t>
      </w:r>
    </w:p>
    <w:p w14:paraId="62B484D0">
      <w:pPr>
        <w:ind w:firstLine="583"/>
        <w:rPr>
          <w:highlight w:val="black"/>
        </w:rPr>
      </w:pPr>
      <w:r>
        <w:rPr>
          <w:highlight w:val="black"/>
        </w:rPr>
        <w:t>Q－通过井巷的风量，m。</w:t>
      </w:r>
    </w:p>
    <w:p w14:paraId="4257FB93">
      <w:pPr>
        <w:ind w:firstLine="583"/>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szCs w:val="28"/>
          <w:highlight w:val="black"/>
        </w:rPr>
        <w:t>容易时期：</w:t>
      </w:r>
    </w:p>
    <w:p w14:paraId="445B1257">
      <w:pPr>
        <w:ind w:firstLine="583"/>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position w:val="-12"/>
          <w:szCs w:val="28"/>
          <w:highlight w:val="black"/>
        </w:rPr>
        <w:object>
          <v:shape id="_x0000_i1030" o:spt="75" type="#_x0000_t75" style="height:19.1pt;width:207.8pt;" o:ole="t" filled="f" o:preferrelative="t" stroked="f" coordsize="21600,21600">
            <v:path/>
            <v:fill on="f" focussize="0,0"/>
            <v:stroke on="f" joinstyle="miter"/>
            <v:imagedata r:id="rId38" o:title=""/>
            <o:lock v:ext="edit" aspectratio="t"/>
            <w10:wrap type="none"/>
            <w10:anchorlock/>
          </v:shape>
          <o:OLEObject Type="Embed" ProgID="Equation.DSMT4" ShapeID="_x0000_i1030" DrawAspect="Content" ObjectID="_1468075729" r:id="rId37">
            <o:LockedField>false</o:LockedField>
          </o:OLEObject>
        </w:object>
      </w:r>
    </w:p>
    <w:bookmarkEnd w:id="181"/>
    <w:p w14:paraId="74DB6892">
      <w:pPr>
        <w:snapToGrid w:val="0"/>
        <w:spacing w:line="520" w:lineRule="atLeast"/>
        <w:ind w:firstLine="583"/>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szCs w:val="28"/>
          <w:highlight w:val="black"/>
        </w:rPr>
        <w:t>井巷等积孔面积：</w:t>
      </w:r>
      <w:r>
        <w:rPr>
          <w:rFonts w:hint="eastAsia" w:asciiTheme="minorEastAsia" w:hAnsiTheme="minorEastAsia" w:eastAsiaTheme="minorEastAsia" w:cstheme="minorEastAsia"/>
          <w:position w:val="-14"/>
          <w:szCs w:val="28"/>
          <w:highlight w:val="black"/>
        </w:rPr>
        <w:object>
          <v:shape id="_x0000_i1031" o:spt="75" type="#_x0000_t75" style="height:21.25pt;width:191.45pt;" o:ole="t" filled="f" o:preferrelative="t" stroked="f" coordsize="21600,21600">
            <v:path/>
            <v:fill on="f" focussize="0,0"/>
            <v:stroke on="f" joinstyle="miter"/>
            <v:imagedata r:id="rId40" o:title=""/>
            <o:lock v:ext="edit" aspectratio="t"/>
            <w10:wrap type="none"/>
            <w10:anchorlock/>
          </v:shape>
          <o:OLEObject Type="Embed" ProgID="Equation.DSMT4" ShapeID="_x0000_i1031" DrawAspect="Content" ObjectID="_1468075730" r:id="rId39">
            <o:LockedField>false</o:LockedField>
          </o:OLEObject>
        </w:object>
      </w:r>
      <w:r>
        <w:rPr>
          <w:rFonts w:hint="eastAsia" w:asciiTheme="minorEastAsia" w:hAnsiTheme="minorEastAsia" w:eastAsiaTheme="minorEastAsia" w:cstheme="minorEastAsia"/>
          <w:szCs w:val="28"/>
          <w:highlight w:val="black"/>
        </w:rPr>
        <w:t>，矿井等积孔2&lt;A=2.48，矿井开采时的通风条件为简单。</w:t>
      </w:r>
    </w:p>
    <w:p w14:paraId="2047A87F">
      <w:pPr>
        <w:spacing w:line="520" w:lineRule="atLeast"/>
        <w:ind w:firstLine="560" w:firstLineChars="0"/>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szCs w:val="28"/>
          <w:highlight w:val="black"/>
        </w:rPr>
        <w:t>困难时期：</w:t>
      </w:r>
    </w:p>
    <w:p w14:paraId="7817C28F">
      <w:pPr>
        <w:snapToGrid w:val="0"/>
        <w:spacing w:line="520" w:lineRule="atLeast"/>
        <w:ind w:firstLine="583"/>
        <w:jc w:val="center"/>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position w:val="-12"/>
          <w:szCs w:val="28"/>
          <w:highlight w:val="black"/>
        </w:rPr>
        <w:object>
          <v:shape id="_x0000_i1032" o:spt="75" type="#_x0000_t75" style="height:19.1pt;width:201.8pt;" o:ole="t" filled="f" o:preferrelative="t" stroked="f" coordsize="21600,21600">
            <v:path/>
            <v:fill on="f" focussize="0,0"/>
            <v:stroke on="f" joinstyle="miter"/>
            <v:imagedata r:id="rId42" o:title=""/>
            <o:lock v:ext="edit" aspectratio="t"/>
            <w10:wrap type="none"/>
            <w10:anchorlock/>
          </v:shape>
          <o:OLEObject Type="Embed" ProgID="Equation.DSMT4" ShapeID="_x0000_i1032" DrawAspect="Content" ObjectID="_1468075731" r:id="rId41">
            <o:LockedField>false</o:LockedField>
          </o:OLEObject>
        </w:object>
      </w:r>
    </w:p>
    <w:p w14:paraId="428FF185">
      <w:pPr>
        <w:snapToGrid w:val="0"/>
        <w:spacing w:line="520" w:lineRule="atLeast"/>
        <w:ind w:firstLine="583"/>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szCs w:val="28"/>
          <w:highlight w:val="black"/>
        </w:rPr>
        <w:t>井巷等积孔面积：</w:t>
      </w:r>
      <w:r>
        <w:rPr>
          <w:rFonts w:hint="eastAsia" w:asciiTheme="minorEastAsia" w:hAnsiTheme="minorEastAsia" w:eastAsiaTheme="minorEastAsia" w:cstheme="minorEastAsia"/>
          <w:position w:val="-14"/>
          <w:szCs w:val="28"/>
          <w:highlight w:val="black"/>
        </w:rPr>
        <w:object>
          <v:shape id="_x0000_i1033" o:spt="75" type="#_x0000_t75" style="height:21.25pt;width:184.35pt;" o:ole="t" filled="f" o:preferrelative="t" stroked="f" coordsize="21600,21600">
            <v:path/>
            <v:fill on="f" focussize="0,0"/>
            <v:stroke on="f" joinstyle="miter"/>
            <v:imagedata r:id="rId44" o:title=""/>
            <o:lock v:ext="edit" aspectratio="t"/>
            <w10:wrap type="none"/>
            <w10:anchorlock/>
          </v:shape>
          <o:OLEObject Type="Embed" ProgID="Equation.DSMT4" ShapeID="_x0000_i1033" DrawAspect="Content" ObjectID="_1468075732" r:id="rId43">
            <o:LockedField>false</o:LockedField>
          </o:OLEObject>
        </w:object>
      </w:r>
      <w:r>
        <w:rPr>
          <w:rFonts w:hint="eastAsia" w:asciiTheme="minorEastAsia" w:hAnsiTheme="minorEastAsia" w:eastAsiaTheme="minorEastAsia" w:cstheme="minorEastAsia"/>
          <w:szCs w:val="28"/>
          <w:highlight w:val="black"/>
        </w:rPr>
        <w:t>，矿井等积孔1&lt;A=1.87&lt;2，矿井开采时的通风条件为中等。</w:t>
      </w:r>
    </w:p>
    <w:p w14:paraId="273141AD">
      <w:pPr>
        <w:ind w:firstLine="0" w:firstLineChars="0"/>
        <w:rPr>
          <w:rFonts w:asciiTheme="minorEastAsia" w:hAnsiTheme="minorEastAsia" w:eastAsiaTheme="minorEastAsia" w:cstheme="minorEastAsia"/>
          <w:b/>
          <w:bCs/>
          <w:szCs w:val="28"/>
        </w:rPr>
        <w:sectPr>
          <w:headerReference r:id="rId11" w:type="default"/>
          <w:footerReference r:id="rId12" w:type="default"/>
          <w:pgSz w:w="11906" w:h="16838"/>
          <w:pgMar w:top="1440" w:right="1531" w:bottom="1440" w:left="1928" w:header="1134" w:footer="1361" w:gutter="0"/>
          <w:cols w:space="720" w:num="1"/>
          <w:docGrid w:type="linesAndChars" w:linePitch="383" w:charSpace="2309"/>
        </w:sectPr>
      </w:pPr>
    </w:p>
    <w:p w14:paraId="27B152D4">
      <w:pPr>
        <w:spacing w:line="240" w:lineRule="auto"/>
        <w:ind w:firstLine="0" w:firstLineChars="0"/>
        <w:jc w:val="center"/>
        <w:rPr>
          <w:b/>
          <w:sz w:val="21"/>
          <w:szCs w:val="21"/>
        </w:rPr>
      </w:pPr>
      <w:r>
        <w:rPr>
          <w:b/>
          <w:sz w:val="21"/>
          <w:szCs w:val="21"/>
        </w:rPr>
        <w:t>表</w:t>
      </w:r>
      <w:r>
        <w:rPr>
          <w:rFonts w:hint="eastAsia"/>
          <w:b/>
          <w:sz w:val="21"/>
          <w:szCs w:val="21"/>
        </w:rPr>
        <w:t>2-16</w:t>
      </w:r>
      <w:r>
        <w:rPr>
          <w:b/>
          <w:sz w:val="21"/>
          <w:szCs w:val="21"/>
        </w:rPr>
        <w:t xml:space="preserve"> </w:t>
      </w:r>
      <w:r>
        <w:rPr>
          <w:rFonts w:hint="eastAsia"/>
          <w:b/>
          <w:sz w:val="21"/>
          <w:szCs w:val="21"/>
        </w:rPr>
        <w:t>通风容易</w:t>
      </w:r>
      <w:r>
        <w:rPr>
          <w:b/>
          <w:sz w:val="21"/>
          <w:szCs w:val="21"/>
        </w:rPr>
        <w:t>时期总阻力计算表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293"/>
        <w:gridCol w:w="1273"/>
        <w:gridCol w:w="2095"/>
        <w:gridCol w:w="1134"/>
        <w:gridCol w:w="1471"/>
        <w:gridCol w:w="1134"/>
        <w:gridCol w:w="1386"/>
        <w:gridCol w:w="1429"/>
        <w:gridCol w:w="1191"/>
      </w:tblGrid>
      <w:tr w14:paraId="21EC9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58C365B5">
            <w:pPr>
              <w:widowControl/>
              <w:spacing w:line="240" w:lineRule="auto"/>
              <w:ind w:firstLine="0" w:firstLineChars="0"/>
              <w:jc w:val="center"/>
              <w:rPr>
                <w:kern w:val="0"/>
                <w:sz w:val="21"/>
                <w:szCs w:val="21"/>
                <w:highlight w:val="black"/>
              </w:rPr>
            </w:pPr>
            <w:bookmarkStart w:id="182" w:name="_Hlk185724978"/>
            <w:r>
              <w:rPr>
                <w:kern w:val="0"/>
                <w:sz w:val="21"/>
                <w:szCs w:val="21"/>
                <w:highlight w:val="black"/>
              </w:rPr>
              <w:t>序号</w:t>
            </w:r>
          </w:p>
        </w:tc>
        <w:tc>
          <w:tcPr>
            <w:tcW w:w="809" w:type="pct"/>
            <w:tcBorders>
              <w:tl2br w:val="nil"/>
              <w:tr2bl w:val="nil"/>
            </w:tcBorders>
            <w:shd w:val="clear" w:color="auto" w:fill="auto"/>
            <w:vAlign w:val="center"/>
          </w:tcPr>
          <w:p w14:paraId="5B21B0A9">
            <w:pPr>
              <w:widowControl/>
              <w:spacing w:line="240" w:lineRule="auto"/>
              <w:ind w:firstLine="0" w:firstLineChars="0"/>
              <w:jc w:val="center"/>
              <w:rPr>
                <w:kern w:val="0"/>
                <w:sz w:val="21"/>
                <w:szCs w:val="21"/>
                <w:highlight w:val="black"/>
              </w:rPr>
            </w:pPr>
            <w:r>
              <w:rPr>
                <w:kern w:val="0"/>
                <w:sz w:val="21"/>
                <w:szCs w:val="21"/>
                <w:highlight w:val="black"/>
              </w:rPr>
              <w:t>井巷名称</w:t>
            </w:r>
          </w:p>
        </w:tc>
        <w:tc>
          <w:tcPr>
            <w:tcW w:w="449" w:type="pct"/>
            <w:tcBorders>
              <w:tl2br w:val="nil"/>
              <w:tr2bl w:val="nil"/>
            </w:tcBorders>
            <w:shd w:val="clear" w:color="auto" w:fill="auto"/>
            <w:vAlign w:val="center"/>
          </w:tcPr>
          <w:p w14:paraId="3683306B">
            <w:pPr>
              <w:widowControl/>
              <w:spacing w:line="240" w:lineRule="auto"/>
              <w:ind w:firstLine="0" w:firstLineChars="0"/>
              <w:jc w:val="center"/>
              <w:rPr>
                <w:kern w:val="0"/>
                <w:sz w:val="21"/>
                <w:szCs w:val="21"/>
                <w:highlight w:val="black"/>
              </w:rPr>
            </w:pPr>
            <w:r>
              <w:rPr>
                <w:kern w:val="0"/>
                <w:sz w:val="21"/>
                <w:szCs w:val="21"/>
                <w:highlight w:val="black"/>
              </w:rPr>
              <w:t>支护形式</w:t>
            </w:r>
          </w:p>
        </w:tc>
        <w:tc>
          <w:tcPr>
            <w:tcW w:w="739" w:type="pct"/>
            <w:tcBorders>
              <w:tl2br w:val="nil"/>
              <w:tr2bl w:val="nil"/>
            </w:tcBorders>
            <w:shd w:val="clear" w:color="auto" w:fill="auto"/>
            <w:vAlign w:val="center"/>
          </w:tcPr>
          <w:p w14:paraId="61E5375C">
            <w:pPr>
              <w:widowControl/>
              <w:spacing w:line="240" w:lineRule="auto"/>
              <w:ind w:firstLine="0" w:firstLineChars="0"/>
              <w:jc w:val="center"/>
              <w:rPr>
                <w:kern w:val="0"/>
                <w:sz w:val="21"/>
                <w:szCs w:val="21"/>
                <w:highlight w:val="black"/>
              </w:rPr>
            </w:pPr>
            <w:r>
              <w:rPr>
                <w:kern w:val="0"/>
                <w:sz w:val="21"/>
                <w:szCs w:val="21"/>
                <w:highlight w:val="black"/>
              </w:rPr>
              <w:t>阻力系数</w:t>
            </w:r>
            <w:r>
              <w:rPr>
                <w:rFonts w:hint="eastAsia"/>
                <w:kern w:val="0"/>
                <w:sz w:val="21"/>
                <w:szCs w:val="21"/>
                <w:highlight w:val="black"/>
              </w:rPr>
              <w:t>（</w:t>
            </w:r>
            <w:r>
              <w:rPr>
                <w:kern w:val="0"/>
                <w:sz w:val="21"/>
                <w:szCs w:val="21"/>
                <w:highlight w:val="black"/>
              </w:rPr>
              <w:t>a×10</w:t>
            </w:r>
            <w:r>
              <w:rPr>
                <w:kern w:val="0"/>
                <w:sz w:val="21"/>
                <w:szCs w:val="21"/>
                <w:highlight w:val="black"/>
                <w:vertAlign w:val="superscript"/>
              </w:rPr>
              <w:t>-3</w:t>
            </w:r>
            <w:r>
              <w:rPr>
                <w:rFonts w:hint="eastAsia"/>
                <w:kern w:val="0"/>
                <w:sz w:val="21"/>
                <w:szCs w:val="21"/>
                <w:highlight w:val="black"/>
                <w:vertAlign w:val="superscript"/>
              </w:rPr>
              <w:t>）</w:t>
            </w:r>
          </w:p>
        </w:tc>
        <w:tc>
          <w:tcPr>
            <w:tcW w:w="400" w:type="pct"/>
            <w:tcBorders>
              <w:tl2br w:val="nil"/>
              <w:tr2bl w:val="nil"/>
            </w:tcBorders>
            <w:shd w:val="clear" w:color="auto" w:fill="auto"/>
            <w:vAlign w:val="center"/>
          </w:tcPr>
          <w:p w14:paraId="3189B0FF">
            <w:pPr>
              <w:widowControl/>
              <w:spacing w:line="240" w:lineRule="auto"/>
              <w:ind w:firstLine="0" w:firstLineChars="0"/>
              <w:jc w:val="center"/>
              <w:rPr>
                <w:kern w:val="0"/>
                <w:sz w:val="21"/>
                <w:szCs w:val="21"/>
                <w:highlight w:val="black"/>
              </w:rPr>
            </w:pPr>
            <w:r>
              <w:rPr>
                <w:kern w:val="0"/>
                <w:sz w:val="21"/>
                <w:szCs w:val="21"/>
                <w:highlight w:val="black"/>
              </w:rPr>
              <w:t>长度</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519" w:type="pct"/>
            <w:tcBorders>
              <w:tl2br w:val="nil"/>
              <w:tr2bl w:val="nil"/>
            </w:tcBorders>
            <w:shd w:val="clear" w:color="auto" w:fill="auto"/>
            <w:vAlign w:val="center"/>
          </w:tcPr>
          <w:p w14:paraId="0A57E1AF">
            <w:pPr>
              <w:widowControl/>
              <w:spacing w:line="240" w:lineRule="auto"/>
              <w:ind w:firstLine="0" w:firstLineChars="0"/>
              <w:jc w:val="center"/>
              <w:rPr>
                <w:kern w:val="0"/>
                <w:sz w:val="21"/>
                <w:szCs w:val="21"/>
                <w:highlight w:val="black"/>
              </w:rPr>
            </w:pPr>
            <w:r>
              <w:rPr>
                <w:kern w:val="0"/>
                <w:sz w:val="21"/>
                <w:szCs w:val="21"/>
                <w:highlight w:val="black"/>
              </w:rPr>
              <w:t>净断面</w:t>
            </w:r>
            <w:r>
              <w:rPr>
                <w:rFonts w:hint="eastAsia"/>
                <w:kern w:val="0"/>
                <w:sz w:val="21"/>
                <w:szCs w:val="21"/>
                <w:highlight w:val="black"/>
              </w:rPr>
              <w:t>（</w:t>
            </w:r>
            <w:r>
              <w:rPr>
                <w:kern w:val="0"/>
                <w:sz w:val="21"/>
                <w:szCs w:val="21"/>
                <w:highlight w:val="black"/>
              </w:rPr>
              <w:t>m</w:t>
            </w:r>
            <w:r>
              <w:rPr>
                <w:kern w:val="0"/>
                <w:sz w:val="21"/>
                <w:szCs w:val="21"/>
                <w:highlight w:val="black"/>
                <w:vertAlign w:val="superscript"/>
              </w:rPr>
              <w:t>2</w:t>
            </w:r>
            <w:r>
              <w:rPr>
                <w:rFonts w:hint="eastAsia"/>
                <w:kern w:val="0"/>
                <w:sz w:val="21"/>
                <w:szCs w:val="21"/>
                <w:highlight w:val="black"/>
                <w:vertAlign w:val="superscript"/>
              </w:rPr>
              <w:t>）</w:t>
            </w:r>
          </w:p>
        </w:tc>
        <w:tc>
          <w:tcPr>
            <w:tcW w:w="400" w:type="pct"/>
            <w:tcBorders>
              <w:tl2br w:val="nil"/>
              <w:tr2bl w:val="nil"/>
            </w:tcBorders>
            <w:shd w:val="clear" w:color="auto" w:fill="auto"/>
            <w:vAlign w:val="center"/>
          </w:tcPr>
          <w:p w14:paraId="6879AF25">
            <w:pPr>
              <w:widowControl/>
              <w:spacing w:line="240" w:lineRule="auto"/>
              <w:ind w:firstLine="0" w:firstLineChars="0"/>
              <w:jc w:val="center"/>
              <w:rPr>
                <w:kern w:val="0"/>
                <w:sz w:val="21"/>
                <w:szCs w:val="21"/>
                <w:highlight w:val="black"/>
              </w:rPr>
            </w:pPr>
            <w:r>
              <w:rPr>
                <w:kern w:val="0"/>
                <w:sz w:val="21"/>
                <w:szCs w:val="21"/>
                <w:highlight w:val="black"/>
              </w:rPr>
              <w:t>周长</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489" w:type="pct"/>
            <w:tcBorders>
              <w:tl2br w:val="nil"/>
              <w:tr2bl w:val="nil"/>
            </w:tcBorders>
            <w:shd w:val="clear" w:color="auto" w:fill="auto"/>
            <w:vAlign w:val="center"/>
          </w:tcPr>
          <w:p w14:paraId="1F40FD9A">
            <w:pPr>
              <w:widowControl/>
              <w:spacing w:line="240" w:lineRule="auto"/>
              <w:ind w:firstLine="0" w:firstLineChars="0"/>
              <w:jc w:val="center"/>
              <w:rPr>
                <w:kern w:val="0"/>
                <w:sz w:val="21"/>
                <w:szCs w:val="21"/>
                <w:highlight w:val="black"/>
              </w:rPr>
            </w:pPr>
            <w:r>
              <w:rPr>
                <w:kern w:val="0"/>
                <w:sz w:val="21"/>
                <w:szCs w:val="21"/>
                <w:highlight w:val="black"/>
              </w:rPr>
              <w:t>风量</w:t>
            </w:r>
            <w:r>
              <w:rPr>
                <w:rFonts w:hint="eastAsia"/>
                <w:kern w:val="0"/>
                <w:sz w:val="21"/>
                <w:szCs w:val="21"/>
                <w:highlight w:val="black"/>
              </w:rPr>
              <w:t>（</w:t>
            </w:r>
            <w:r>
              <w:rPr>
                <w:kern w:val="0"/>
                <w:sz w:val="21"/>
                <w:szCs w:val="21"/>
                <w:highlight w:val="black"/>
              </w:rPr>
              <w:t>m</w:t>
            </w:r>
            <w:r>
              <w:rPr>
                <w:kern w:val="0"/>
                <w:sz w:val="21"/>
                <w:szCs w:val="21"/>
                <w:highlight w:val="black"/>
                <w:vertAlign w:val="superscript"/>
              </w:rPr>
              <w:t>3</w:t>
            </w:r>
            <w:r>
              <w:rPr>
                <w:kern w:val="0"/>
                <w:sz w:val="21"/>
                <w:szCs w:val="21"/>
                <w:highlight w:val="black"/>
              </w:rPr>
              <w:t>/s</w:t>
            </w:r>
            <w:r>
              <w:rPr>
                <w:rFonts w:hint="eastAsia"/>
                <w:kern w:val="0"/>
                <w:sz w:val="21"/>
                <w:szCs w:val="21"/>
                <w:highlight w:val="black"/>
              </w:rPr>
              <w:t>）</w:t>
            </w:r>
          </w:p>
        </w:tc>
        <w:tc>
          <w:tcPr>
            <w:tcW w:w="504" w:type="pct"/>
            <w:tcBorders>
              <w:tl2br w:val="nil"/>
              <w:tr2bl w:val="nil"/>
            </w:tcBorders>
            <w:shd w:val="clear" w:color="auto" w:fill="auto"/>
            <w:vAlign w:val="center"/>
          </w:tcPr>
          <w:p w14:paraId="1B4DCAA6">
            <w:pPr>
              <w:widowControl/>
              <w:spacing w:line="240" w:lineRule="auto"/>
              <w:ind w:firstLine="0" w:firstLineChars="0"/>
              <w:jc w:val="center"/>
              <w:rPr>
                <w:kern w:val="0"/>
                <w:sz w:val="21"/>
                <w:szCs w:val="21"/>
                <w:highlight w:val="black"/>
              </w:rPr>
            </w:pPr>
            <w:r>
              <w:rPr>
                <w:kern w:val="0"/>
                <w:sz w:val="21"/>
                <w:szCs w:val="21"/>
                <w:highlight w:val="black"/>
              </w:rPr>
              <w:t>风速 (m/s)</w:t>
            </w:r>
          </w:p>
        </w:tc>
        <w:tc>
          <w:tcPr>
            <w:tcW w:w="420" w:type="pct"/>
            <w:tcBorders>
              <w:tl2br w:val="nil"/>
              <w:tr2bl w:val="nil"/>
            </w:tcBorders>
            <w:shd w:val="clear" w:color="auto" w:fill="auto"/>
            <w:vAlign w:val="center"/>
          </w:tcPr>
          <w:p w14:paraId="126403A5">
            <w:pPr>
              <w:widowControl/>
              <w:spacing w:line="240" w:lineRule="auto"/>
              <w:ind w:firstLine="0" w:firstLineChars="0"/>
              <w:jc w:val="center"/>
              <w:rPr>
                <w:kern w:val="0"/>
                <w:sz w:val="21"/>
                <w:szCs w:val="21"/>
                <w:highlight w:val="black"/>
              </w:rPr>
            </w:pPr>
            <w:r>
              <w:rPr>
                <w:kern w:val="0"/>
                <w:sz w:val="21"/>
                <w:szCs w:val="21"/>
                <w:highlight w:val="black"/>
              </w:rPr>
              <w:t>负压</w:t>
            </w:r>
            <w:r>
              <w:rPr>
                <w:rFonts w:hint="eastAsia"/>
                <w:kern w:val="0"/>
                <w:sz w:val="21"/>
                <w:szCs w:val="21"/>
                <w:highlight w:val="black"/>
              </w:rPr>
              <w:t>（</w:t>
            </w:r>
            <w:r>
              <w:rPr>
                <w:kern w:val="0"/>
                <w:sz w:val="21"/>
                <w:szCs w:val="21"/>
                <w:highlight w:val="black"/>
              </w:rPr>
              <w:t>Pa</w:t>
            </w:r>
            <w:r>
              <w:rPr>
                <w:rFonts w:hint="eastAsia"/>
                <w:kern w:val="0"/>
                <w:sz w:val="21"/>
                <w:szCs w:val="21"/>
                <w:highlight w:val="black"/>
              </w:rPr>
              <w:t>）</w:t>
            </w:r>
          </w:p>
        </w:tc>
      </w:tr>
      <w:tr w14:paraId="08BF3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0BDFB4AE">
            <w:pPr>
              <w:widowControl/>
              <w:spacing w:line="240" w:lineRule="auto"/>
              <w:ind w:firstLine="0" w:firstLineChars="0"/>
              <w:jc w:val="center"/>
              <w:rPr>
                <w:kern w:val="0"/>
                <w:sz w:val="21"/>
                <w:szCs w:val="21"/>
                <w:highlight w:val="black"/>
              </w:rPr>
            </w:pPr>
            <w:r>
              <w:rPr>
                <w:kern w:val="0"/>
                <w:sz w:val="21"/>
                <w:szCs w:val="21"/>
                <w:highlight w:val="black"/>
              </w:rPr>
              <w:t>1</w:t>
            </w:r>
          </w:p>
        </w:tc>
        <w:tc>
          <w:tcPr>
            <w:tcW w:w="809" w:type="pct"/>
            <w:tcBorders>
              <w:tl2br w:val="nil"/>
              <w:tr2bl w:val="nil"/>
            </w:tcBorders>
            <w:shd w:val="clear" w:color="000000" w:fill="FFFFFF"/>
            <w:vAlign w:val="center"/>
          </w:tcPr>
          <w:p w14:paraId="20233E05">
            <w:pPr>
              <w:widowControl/>
              <w:spacing w:line="240" w:lineRule="auto"/>
              <w:ind w:firstLine="0" w:firstLineChars="0"/>
              <w:jc w:val="center"/>
              <w:rPr>
                <w:kern w:val="0"/>
                <w:sz w:val="21"/>
                <w:szCs w:val="21"/>
                <w:highlight w:val="black"/>
              </w:rPr>
            </w:pPr>
            <w:r>
              <w:rPr>
                <w:rFonts w:hint="eastAsia"/>
                <w:sz w:val="20"/>
                <w:highlight w:val="black"/>
              </w:rPr>
              <w:t>管缆井</w:t>
            </w:r>
          </w:p>
        </w:tc>
        <w:tc>
          <w:tcPr>
            <w:tcW w:w="449" w:type="pct"/>
            <w:tcBorders>
              <w:tl2br w:val="nil"/>
              <w:tr2bl w:val="nil"/>
            </w:tcBorders>
            <w:shd w:val="clear" w:color="000000" w:fill="FFFFFF"/>
            <w:vAlign w:val="center"/>
          </w:tcPr>
          <w:p w14:paraId="030F123F">
            <w:pPr>
              <w:widowControl/>
              <w:spacing w:line="240" w:lineRule="auto"/>
              <w:ind w:firstLine="0" w:firstLineChars="0"/>
              <w:jc w:val="center"/>
              <w:rPr>
                <w:kern w:val="0"/>
                <w:sz w:val="21"/>
                <w:szCs w:val="21"/>
                <w:highlight w:val="black"/>
              </w:rPr>
            </w:pPr>
            <w:r>
              <w:rPr>
                <w:rFonts w:hint="eastAsia"/>
                <w:sz w:val="20"/>
                <w:highlight w:val="black"/>
              </w:rPr>
              <w:t>砼</w:t>
            </w:r>
          </w:p>
        </w:tc>
        <w:tc>
          <w:tcPr>
            <w:tcW w:w="739" w:type="pct"/>
            <w:tcBorders>
              <w:tl2br w:val="nil"/>
              <w:tr2bl w:val="nil"/>
            </w:tcBorders>
            <w:shd w:val="clear" w:color="000000" w:fill="FFFFFF"/>
            <w:vAlign w:val="center"/>
          </w:tcPr>
          <w:p w14:paraId="743BB8D9">
            <w:pPr>
              <w:widowControl/>
              <w:spacing w:line="240" w:lineRule="auto"/>
              <w:ind w:firstLine="0" w:firstLineChars="0"/>
              <w:jc w:val="center"/>
              <w:rPr>
                <w:kern w:val="0"/>
                <w:sz w:val="21"/>
                <w:szCs w:val="21"/>
                <w:highlight w:val="black"/>
              </w:rPr>
            </w:pPr>
            <w:r>
              <w:rPr>
                <w:sz w:val="20"/>
                <w:highlight w:val="black"/>
              </w:rPr>
              <w:t xml:space="preserve">19.00 </w:t>
            </w:r>
          </w:p>
        </w:tc>
        <w:tc>
          <w:tcPr>
            <w:tcW w:w="400" w:type="pct"/>
            <w:tcBorders>
              <w:tl2br w:val="nil"/>
              <w:tr2bl w:val="nil"/>
            </w:tcBorders>
            <w:shd w:val="clear" w:color="000000" w:fill="FFFFFF"/>
            <w:vAlign w:val="center"/>
          </w:tcPr>
          <w:p w14:paraId="322F655B">
            <w:pPr>
              <w:widowControl/>
              <w:spacing w:line="240" w:lineRule="auto"/>
              <w:ind w:firstLine="0" w:firstLineChars="0"/>
              <w:jc w:val="center"/>
              <w:rPr>
                <w:kern w:val="0"/>
                <w:sz w:val="21"/>
                <w:szCs w:val="21"/>
                <w:highlight w:val="black"/>
              </w:rPr>
            </w:pPr>
            <w:r>
              <w:rPr>
                <w:sz w:val="20"/>
                <w:highlight w:val="black"/>
              </w:rPr>
              <w:t xml:space="preserve">130.00 </w:t>
            </w:r>
          </w:p>
        </w:tc>
        <w:tc>
          <w:tcPr>
            <w:tcW w:w="519" w:type="pct"/>
            <w:tcBorders>
              <w:tl2br w:val="nil"/>
              <w:tr2bl w:val="nil"/>
            </w:tcBorders>
            <w:shd w:val="clear" w:color="000000" w:fill="FFFFFF"/>
            <w:vAlign w:val="center"/>
          </w:tcPr>
          <w:p w14:paraId="5F501CAA">
            <w:pPr>
              <w:widowControl/>
              <w:spacing w:line="240" w:lineRule="auto"/>
              <w:ind w:firstLine="0" w:firstLineChars="0"/>
              <w:jc w:val="center"/>
              <w:rPr>
                <w:kern w:val="0"/>
                <w:sz w:val="21"/>
                <w:szCs w:val="21"/>
                <w:highlight w:val="black"/>
              </w:rPr>
            </w:pPr>
            <w:r>
              <w:rPr>
                <w:sz w:val="21"/>
                <w:szCs w:val="21"/>
                <w:highlight w:val="black"/>
              </w:rPr>
              <w:t>4.9</w:t>
            </w:r>
          </w:p>
        </w:tc>
        <w:tc>
          <w:tcPr>
            <w:tcW w:w="400" w:type="pct"/>
            <w:tcBorders>
              <w:tl2br w:val="nil"/>
              <w:tr2bl w:val="nil"/>
            </w:tcBorders>
            <w:shd w:val="clear" w:color="000000" w:fill="FFFFFF"/>
            <w:vAlign w:val="center"/>
          </w:tcPr>
          <w:p w14:paraId="1F687FF9">
            <w:pPr>
              <w:widowControl/>
              <w:spacing w:line="240" w:lineRule="auto"/>
              <w:ind w:firstLine="0" w:firstLineChars="0"/>
              <w:jc w:val="center"/>
              <w:rPr>
                <w:kern w:val="0"/>
                <w:sz w:val="21"/>
                <w:szCs w:val="21"/>
                <w:highlight w:val="black"/>
              </w:rPr>
            </w:pPr>
            <w:r>
              <w:rPr>
                <w:sz w:val="21"/>
                <w:szCs w:val="21"/>
                <w:highlight w:val="black"/>
              </w:rPr>
              <w:t>7.9</w:t>
            </w:r>
          </w:p>
        </w:tc>
        <w:tc>
          <w:tcPr>
            <w:tcW w:w="489" w:type="pct"/>
            <w:tcBorders>
              <w:tl2br w:val="nil"/>
              <w:tr2bl w:val="nil"/>
            </w:tcBorders>
            <w:shd w:val="clear" w:color="000000" w:fill="FFFFFF"/>
            <w:vAlign w:val="center"/>
          </w:tcPr>
          <w:p w14:paraId="0702419C">
            <w:pPr>
              <w:widowControl/>
              <w:spacing w:line="240" w:lineRule="auto"/>
              <w:ind w:firstLine="0" w:firstLineChars="0"/>
              <w:jc w:val="center"/>
              <w:rPr>
                <w:kern w:val="0"/>
                <w:sz w:val="21"/>
                <w:szCs w:val="21"/>
                <w:highlight w:val="black"/>
              </w:rPr>
            </w:pPr>
            <w:r>
              <w:rPr>
                <w:sz w:val="20"/>
                <w:highlight w:val="black"/>
              </w:rPr>
              <w:t xml:space="preserve">52.80 </w:t>
            </w:r>
          </w:p>
        </w:tc>
        <w:tc>
          <w:tcPr>
            <w:tcW w:w="504" w:type="pct"/>
            <w:tcBorders>
              <w:tl2br w:val="nil"/>
              <w:tr2bl w:val="nil"/>
            </w:tcBorders>
            <w:shd w:val="clear" w:color="000000" w:fill="FFFFFF"/>
            <w:vAlign w:val="center"/>
          </w:tcPr>
          <w:p w14:paraId="7C9BC274">
            <w:pPr>
              <w:widowControl/>
              <w:spacing w:line="240" w:lineRule="auto"/>
              <w:ind w:firstLine="0" w:firstLineChars="0"/>
              <w:jc w:val="center"/>
              <w:rPr>
                <w:kern w:val="0"/>
                <w:sz w:val="21"/>
                <w:szCs w:val="21"/>
                <w:highlight w:val="black"/>
              </w:rPr>
            </w:pPr>
            <w:r>
              <w:rPr>
                <w:sz w:val="20"/>
                <w:highlight w:val="black"/>
              </w:rPr>
              <w:t xml:space="preserve">10.78 </w:t>
            </w:r>
          </w:p>
        </w:tc>
        <w:tc>
          <w:tcPr>
            <w:tcW w:w="420" w:type="pct"/>
            <w:tcBorders>
              <w:tl2br w:val="nil"/>
              <w:tr2bl w:val="nil"/>
            </w:tcBorders>
            <w:shd w:val="clear" w:color="000000" w:fill="FFFFFF"/>
            <w:vAlign w:val="center"/>
          </w:tcPr>
          <w:p w14:paraId="7E7FD299">
            <w:pPr>
              <w:widowControl/>
              <w:spacing w:line="240" w:lineRule="auto"/>
              <w:ind w:firstLine="0" w:firstLineChars="0"/>
              <w:jc w:val="center"/>
              <w:rPr>
                <w:kern w:val="0"/>
                <w:sz w:val="21"/>
                <w:szCs w:val="21"/>
                <w:highlight w:val="black"/>
              </w:rPr>
            </w:pPr>
            <w:r>
              <w:rPr>
                <w:sz w:val="20"/>
                <w:highlight w:val="black"/>
              </w:rPr>
              <w:t xml:space="preserve">462.38 </w:t>
            </w:r>
          </w:p>
        </w:tc>
      </w:tr>
      <w:tr w14:paraId="2D9FA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2BCEA021">
            <w:pPr>
              <w:widowControl/>
              <w:spacing w:line="240" w:lineRule="auto"/>
              <w:ind w:firstLine="0" w:firstLineChars="0"/>
              <w:jc w:val="center"/>
              <w:rPr>
                <w:kern w:val="0"/>
                <w:sz w:val="21"/>
                <w:szCs w:val="21"/>
                <w:highlight w:val="black"/>
              </w:rPr>
            </w:pPr>
            <w:r>
              <w:rPr>
                <w:kern w:val="0"/>
                <w:sz w:val="21"/>
                <w:szCs w:val="21"/>
                <w:highlight w:val="black"/>
              </w:rPr>
              <w:t>2</w:t>
            </w:r>
          </w:p>
        </w:tc>
        <w:tc>
          <w:tcPr>
            <w:tcW w:w="809" w:type="pct"/>
            <w:tcBorders>
              <w:tl2br w:val="nil"/>
              <w:tr2bl w:val="nil"/>
            </w:tcBorders>
            <w:shd w:val="clear" w:color="000000" w:fill="FFFFFF"/>
            <w:vAlign w:val="center"/>
          </w:tcPr>
          <w:p w14:paraId="30E1D8B9">
            <w:pPr>
              <w:widowControl/>
              <w:spacing w:line="240" w:lineRule="auto"/>
              <w:ind w:firstLine="0" w:firstLineChars="0"/>
              <w:jc w:val="center"/>
              <w:rPr>
                <w:kern w:val="0"/>
                <w:sz w:val="21"/>
                <w:szCs w:val="21"/>
                <w:highlight w:val="black"/>
              </w:rPr>
            </w:pPr>
            <w:r>
              <w:rPr>
                <w:rFonts w:hint="eastAsia"/>
                <w:sz w:val="20"/>
                <w:highlight w:val="black"/>
              </w:rPr>
              <w:t>石门</w:t>
            </w:r>
          </w:p>
        </w:tc>
        <w:tc>
          <w:tcPr>
            <w:tcW w:w="449" w:type="pct"/>
            <w:tcBorders>
              <w:tl2br w:val="nil"/>
              <w:tr2bl w:val="nil"/>
            </w:tcBorders>
            <w:shd w:val="clear" w:color="000000" w:fill="FFFFFF"/>
            <w:vAlign w:val="center"/>
          </w:tcPr>
          <w:p w14:paraId="6343F6AA">
            <w:pPr>
              <w:widowControl/>
              <w:spacing w:line="240" w:lineRule="auto"/>
              <w:ind w:firstLine="0" w:firstLineChars="0"/>
              <w:jc w:val="center"/>
              <w:rPr>
                <w:kern w:val="0"/>
                <w:sz w:val="21"/>
                <w:szCs w:val="21"/>
                <w:highlight w:val="black"/>
              </w:rPr>
            </w:pPr>
            <w:r>
              <w:rPr>
                <w:sz w:val="20"/>
                <w:highlight w:val="black"/>
              </w:rPr>
              <w:t>不支</w:t>
            </w:r>
          </w:p>
        </w:tc>
        <w:tc>
          <w:tcPr>
            <w:tcW w:w="739" w:type="pct"/>
            <w:tcBorders>
              <w:tl2br w:val="nil"/>
              <w:tr2bl w:val="nil"/>
            </w:tcBorders>
            <w:shd w:val="clear" w:color="000000" w:fill="FFFFFF"/>
            <w:vAlign w:val="center"/>
          </w:tcPr>
          <w:p w14:paraId="415AC035">
            <w:pPr>
              <w:widowControl/>
              <w:spacing w:line="240" w:lineRule="auto"/>
              <w:ind w:firstLine="0" w:firstLineChars="0"/>
              <w:jc w:val="center"/>
              <w:rPr>
                <w:kern w:val="0"/>
                <w:sz w:val="21"/>
                <w:szCs w:val="21"/>
                <w:highlight w:val="black"/>
              </w:rPr>
            </w:pPr>
            <w:r>
              <w:rPr>
                <w:sz w:val="20"/>
                <w:highlight w:val="black"/>
              </w:rPr>
              <w:t xml:space="preserve">19.00 </w:t>
            </w:r>
          </w:p>
        </w:tc>
        <w:tc>
          <w:tcPr>
            <w:tcW w:w="400" w:type="pct"/>
            <w:tcBorders>
              <w:tl2br w:val="nil"/>
              <w:tr2bl w:val="nil"/>
            </w:tcBorders>
            <w:shd w:val="clear" w:color="000000" w:fill="FFFFFF"/>
            <w:vAlign w:val="center"/>
          </w:tcPr>
          <w:p w14:paraId="518C9309">
            <w:pPr>
              <w:widowControl/>
              <w:spacing w:line="240" w:lineRule="auto"/>
              <w:ind w:firstLine="0" w:firstLineChars="0"/>
              <w:jc w:val="center"/>
              <w:rPr>
                <w:kern w:val="0"/>
                <w:sz w:val="21"/>
                <w:szCs w:val="21"/>
                <w:highlight w:val="black"/>
              </w:rPr>
            </w:pPr>
            <w:r>
              <w:rPr>
                <w:sz w:val="20"/>
                <w:highlight w:val="black"/>
              </w:rPr>
              <w:t xml:space="preserve">215.00 </w:t>
            </w:r>
          </w:p>
        </w:tc>
        <w:tc>
          <w:tcPr>
            <w:tcW w:w="519" w:type="pct"/>
            <w:tcBorders>
              <w:tl2br w:val="nil"/>
              <w:tr2bl w:val="nil"/>
            </w:tcBorders>
            <w:shd w:val="clear" w:color="000000" w:fill="FFFFFF"/>
            <w:vAlign w:val="center"/>
          </w:tcPr>
          <w:p w14:paraId="18F19BAF">
            <w:pPr>
              <w:widowControl/>
              <w:spacing w:line="240" w:lineRule="auto"/>
              <w:ind w:firstLine="0" w:firstLineChars="0"/>
              <w:jc w:val="center"/>
              <w:rPr>
                <w:kern w:val="0"/>
                <w:sz w:val="21"/>
                <w:szCs w:val="21"/>
                <w:highlight w:val="black"/>
              </w:rPr>
            </w:pPr>
            <w:r>
              <w:rPr>
                <w:sz w:val="21"/>
                <w:szCs w:val="21"/>
                <w:highlight w:val="black"/>
              </w:rPr>
              <w:t>20.7</w:t>
            </w:r>
          </w:p>
        </w:tc>
        <w:tc>
          <w:tcPr>
            <w:tcW w:w="400" w:type="pct"/>
            <w:tcBorders>
              <w:tl2br w:val="nil"/>
              <w:tr2bl w:val="nil"/>
            </w:tcBorders>
            <w:shd w:val="clear" w:color="000000" w:fill="FFFFFF"/>
            <w:vAlign w:val="center"/>
          </w:tcPr>
          <w:p w14:paraId="07EE5322">
            <w:pPr>
              <w:widowControl/>
              <w:spacing w:line="240" w:lineRule="auto"/>
              <w:ind w:firstLine="0" w:firstLineChars="0"/>
              <w:jc w:val="center"/>
              <w:rPr>
                <w:kern w:val="0"/>
                <w:sz w:val="21"/>
                <w:szCs w:val="21"/>
                <w:highlight w:val="black"/>
              </w:rPr>
            </w:pPr>
            <w:r>
              <w:rPr>
                <w:sz w:val="21"/>
                <w:szCs w:val="21"/>
                <w:highlight w:val="black"/>
              </w:rPr>
              <w:t>12.32</w:t>
            </w:r>
          </w:p>
        </w:tc>
        <w:tc>
          <w:tcPr>
            <w:tcW w:w="489" w:type="pct"/>
            <w:tcBorders>
              <w:tl2br w:val="nil"/>
              <w:tr2bl w:val="nil"/>
            </w:tcBorders>
            <w:shd w:val="clear" w:color="000000" w:fill="FFFFFF"/>
            <w:vAlign w:val="center"/>
          </w:tcPr>
          <w:p w14:paraId="5CF7E890">
            <w:pPr>
              <w:widowControl/>
              <w:spacing w:line="240" w:lineRule="auto"/>
              <w:ind w:firstLine="0" w:firstLineChars="0"/>
              <w:jc w:val="center"/>
              <w:rPr>
                <w:kern w:val="0"/>
                <w:sz w:val="21"/>
                <w:szCs w:val="21"/>
                <w:highlight w:val="black"/>
              </w:rPr>
            </w:pPr>
            <w:r>
              <w:rPr>
                <w:sz w:val="20"/>
                <w:highlight w:val="black"/>
              </w:rPr>
              <w:t xml:space="preserve">68.30 </w:t>
            </w:r>
          </w:p>
        </w:tc>
        <w:tc>
          <w:tcPr>
            <w:tcW w:w="504" w:type="pct"/>
            <w:tcBorders>
              <w:tl2br w:val="nil"/>
              <w:tr2bl w:val="nil"/>
            </w:tcBorders>
            <w:shd w:val="clear" w:color="000000" w:fill="FFFFFF"/>
            <w:vAlign w:val="center"/>
          </w:tcPr>
          <w:p w14:paraId="2DA1B268">
            <w:pPr>
              <w:widowControl/>
              <w:spacing w:line="240" w:lineRule="auto"/>
              <w:ind w:firstLine="0" w:firstLineChars="0"/>
              <w:jc w:val="center"/>
              <w:rPr>
                <w:kern w:val="0"/>
                <w:sz w:val="21"/>
                <w:szCs w:val="21"/>
                <w:highlight w:val="black"/>
              </w:rPr>
            </w:pPr>
            <w:r>
              <w:rPr>
                <w:sz w:val="20"/>
                <w:highlight w:val="black"/>
              </w:rPr>
              <w:t xml:space="preserve">3.30 </w:t>
            </w:r>
          </w:p>
        </w:tc>
        <w:tc>
          <w:tcPr>
            <w:tcW w:w="420" w:type="pct"/>
            <w:tcBorders>
              <w:tl2br w:val="nil"/>
              <w:tr2bl w:val="nil"/>
            </w:tcBorders>
            <w:shd w:val="clear" w:color="000000" w:fill="FFFFFF"/>
            <w:vAlign w:val="center"/>
          </w:tcPr>
          <w:p w14:paraId="2F460E4F">
            <w:pPr>
              <w:widowControl/>
              <w:spacing w:line="240" w:lineRule="auto"/>
              <w:ind w:firstLine="0" w:firstLineChars="0"/>
              <w:jc w:val="center"/>
              <w:rPr>
                <w:kern w:val="0"/>
                <w:sz w:val="21"/>
                <w:szCs w:val="21"/>
                <w:highlight w:val="black"/>
              </w:rPr>
            </w:pPr>
            <w:r>
              <w:rPr>
                <w:sz w:val="20"/>
                <w:highlight w:val="black"/>
              </w:rPr>
              <w:t xml:space="preserve">26.47 </w:t>
            </w:r>
          </w:p>
        </w:tc>
      </w:tr>
      <w:tr w14:paraId="7E0F9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61E19839">
            <w:pPr>
              <w:widowControl/>
              <w:spacing w:line="240" w:lineRule="auto"/>
              <w:ind w:firstLine="0" w:firstLineChars="0"/>
              <w:jc w:val="center"/>
              <w:rPr>
                <w:kern w:val="0"/>
                <w:sz w:val="21"/>
                <w:szCs w:val="21"/>
                <w:highlight w:val="black"/>
              </w:rPr>
            </w:pPr>
            <w:r>
              <w:rPr>
                <w:kern w:val="0"/>
                <w:sz w:val="21"/>
                <w:szCs w:val="21"/>
                <w:highlight w:val="black"/>
              </w:rPr>
              <w:t>3</w:t>
            </w:r>
          </w:p>
        </w:tc>
        <w:tc>
          <w:tcPr>
            <w:tcW w:w="809" w:type="pct"/>
            <w:tcBorders>
              <w:tl2br w:val="nil"/>
              <w:tr2bl w:val="nil"/>
            </w:tcBorders>
            <w:shd w:val="clear" w:color="000000" w:fill="FFFFFF"/>
            <w:vAlign w:val="center"/>
          </w:tcPr>
          <w:p w14:paraId="2699A517">
            <w:pPr>
              <w:widowControl/>
              <w:spacing w:line="240" w:lineRule="auto"/>
              <w:ind w:firstLine="0" w:firstLineChars="0"/>
              <w:jc w:val="center"/>
              <w:rPr>
                <w:kern w:val="0"/>
                <w:sz w:val="21"/>
                <w:szCs w:val="21"/>
                <w:highlight w:val="black"/>
              </w:rPr>
            </w:pPr>
            <w:r>
              <w:rPr>
                <w:rFonts w:hint="eastAsia"/>
                <w:sz w:val="20"/>
                <w:highlight w:val="black"/>
              </w:rPr>
              <w:t>30m中段运输巷道</w:t>
            </w:r>
          </w:p>
        </w:tc>
        <w:tc>
          <w:tcPr>
            <w:tcW w:w="449" w:type="pct"/>
            <w:tcBorders>
              <w:tl2br w:val="nil"/>
              <w:tr2bl w:val="nil"/>
            </w:tcBorders>
            <w:shd w:val="clear" w:color="000000" w:fill="FFFFFF"/>
            <w:vAlign w:val="center"/>
          </w:tcPr>
          <w:p w14:paraId="6F5F29C9">
            <w:pPr>
              <w:widowControl/>
              <w:spacing w:line="240" w:lineRule="auto"/>
              <w:ind w:firstLine="0" w:firstLineChars="0"/>
              <w:jc w:val="center"/>
              <w:rPr>
                <w:kern w:val="0"/>
                <w:sz w:val="21"/>
                <w:szCs w:val="21"/>
                <w:highlight w:val="black"/>
              </w:rPr>
            </w:pPr>
            <w:r>
              <w:rPr>
                <w:sz w:val="20"/>
                <w:highlight w:val="black"/>
              </w:rPr>
              <w:t>不支</w:t>
            </w:r>
          </w:p>
        </w:tc>
        <w:tc>
          <w:tcPr>
            <w:tcW w:w="739" w:type="pct"/>
            <w:tcBorders>
              <w:tl2br w:val="nil"/>
              <w:tr2bl w:val="nil"/>
            </w:tcBorders>
            <w:shd w:val="clear" w:color="000000" w:fill="FFFFFF"/>
            <w:vAlign w:val="center"/>
          </w:tcPr>
          <w:p w14:paraId="30D2FA55">
            <w:pPr>
              <w:widowControl/>
              <w:spacing w:line="240" w:lineRule="auto"/>
              <w:ind w:firstLine="0" w:firstLineChars="0"/>
              <w:jc w:val="center"/>
              <w:rPr>
                <w:kern w:val="0"/>
                <w:sz w:val="21"/>
                <w:szCs w:val="21"/>
                <w:highlight w:val="black"/>
              </w:rPr>
            </w:pPr>
            <w:r>
              <w:rPr>
                <w:sz w:val="20"/>
                <w:highlight w:val="black"/>
              </w:rPr>
              <w:t xml:space="preserve">19.00 </w:t>
            </w:r>
          </w:p>
        </w:tc>
        <w:tc>
          <w:tcPr>
            <w:tcW w:w="400" w:type="pct"/>
            <w:tcBorders>
              <w:tl2br w:val="nil"/>
              <w:tr2bl w:val="nil"/>
            </w:tcBorders>
            <w:shd w:val="clear" w:color="000000" w:fill="FFFFFF"/>
            <w:vAlign w:val="center"/>
          </w:tcPr>
          <w:p w14:paraId="28DA6187">
            <w:pPr>
              <w:widowControl/>
              <w:spacing w:line="240" w:lineRule="auto"/>
              <w:ind w:firstLine="0" w:firstLineChars="0"/>
              <w:jc w:val="center"/>
              <w:rPr>
                <w:kern w:val="0"/>
                <w:sz w:val="21"/>
                <w:szCs w:val="21"/>
                <w:highlight w:val="black"/>
              </w:rPr>
            </w:pPr>
            <w:r>
              <w:rPr>
                <w:sz w:val="20"/>
                <w:highlight w:val="black"/>
              </w:rPr>
              <w:t xml:space="preserve">424.00 </w:t>
            </w:r>
          </w:p>
        </w:tc>
        <w:tc>
          <w:tcPr>
            <w:tcW w:w="519" w:type="pct"/>
            <w:tcBorders>
              <w:tl2br w:val="nil"/>
              <w:tr2bl w:val="nil"/>
            </w:tcBorders>
            <w:shd w:val="clear" w:color="000000" w:fill="FFFFFF"/>
            <w:vAlign w:val="center"/>
          </w:tcPr>
          <w:p w14:paraId="5CDC38EE">
            <w:pPr>
              <w:widowControl/>
              <w:spacing w:line="240" w:lineRule="auto"/>
              <w:ind w:firstLine="0" w:firstLineChars="0"/>
              <w:jc w:val="center"/>
              <w:rPr>
                <w:kern w:val="0"/>
                <w:sz w:val="21"/>
                <w:szCs w:val="21"/>
                <w:highlight w:val="black"/>
              </w:rPr>
            </w:pPr>
            <w:r>
              <w:rPr>
                <w:sz w:val="21"/>
                <w:szCs w:val="21"/>
                <w:highlight w:val="black"/>
              </w:rPr>
              <w:t>20.7</w:t>
            </w:r>
          </w:p>
        </w:tc>
        <w:tc>
          <w:tcPr>
            <w:tcW w:w="400" w:type="pct"/>
            <w:tcBorders>
              <w:tl2br w:val="nil"/>
              <w:tr2bl w:val="nil"/>
            </w:tcBorders>
            <w:shd w:val="clear" w:color="000000" w:fill="FFFFFF"/>
            <w:vAlign w:val="center"/>
          </w:tcPr>
          <w:p w14:paraId="0780E7D8">
            <w:pPr>
              <w:widowControl/>
              <w:spacing w:line="240" w:lineRule="auto"/>
              <w:ind w:firstLine="0" w:firstLineChars="0"/>
              <w:jc w:val="center"/>
              <w:rPr>
                <w:kern w:val="0"/>
                <w:sz w:val="21"/>
                <w:szCs w:val="21"/>
                <w:highlight w:val="black"/>
              </w:rPr>
            </w:pPr>
            <w:r>
              <w:rPr>
                <w:sz w:val="21"/>
                <w:szCs w:val="21"/>
                <w:highlight w:val="black"/>
              </w:rPr>
              <w:t>12.32</w:t>
            </w:r>
          </w:p>
        </w:tc>
        <w:tc>
          <w:tcPr>
            <w:tcW w:w="489" w:type="pct"/>
            <w:tcBorders>
              <w:tl2br w:val="nil"/>
              <w:tr2bl w:val="nil"/>
            </w:tcBorders>
            <w:shd w:val="clear" w:color="000000" w:fill="FFFFFF"/>
            <w:vAlign w:val="center"/>
          </w:tcPr>
          <w:p w14:paraId="774AF3BA">
            <w:pPr>
              <w:widowControl/>
              <w:spacing w:line="240" w:lineRule="auto"/>
              <w:ind w:firstLine="0" w:firstLineChars="0"/>
              <w:jc w:val="center"/>
              <w:rPr>
                <w:kern w:val="0"/>
                <w:sz w:val="21"/>
                <w:szCs w:val="21"/>
                <w:highlight w:val="black"/>
              </w:rPr>
            </w:pPr>
            <w:r>
              <w:rPr>
                <w:sz w:val="20"/>
                <w:highlight w:val="black"/>
              </w:rPr>
              <w:t xml:space="preserve">68.30 </w:t>
            </w:r>
          </w:p>
        </w:tc>
        <w:tc>
          <w:tcPr>
            <w:tcW w:w="504" w:type="pct"/>
            <w:tcBorders>
              <w:tl2br w:val="nil"/>
              <w:tr2bl w:val="nil"/>
            </w:tcBorders>
            <w:shd w:val="clear" w:color="000000" w:fill="FFFFFF"/>
            <w:vAlign w:val="center"/>
          </w:tcPr>
          <w:p w14:paraId="1175117F">
            <w:pPr>
              <w:widowControl/>
              <w:spacing w:line="240" w:lineRule="auto"/>
              <w:ind w:firstLine="0" w:firstLineChars="0"/>
              <w:jc w:val="center"/>
              <w:rPr>
                <w:kern w:val="0"/>
                <w:sz w:val="21"/>
                <w:szCs w:val="21"/>
                <w:highlight w:val="black"/>
              </w:rPr>
            </w:pPr>
            <w:r>
              <w:rPr>
                <w:sz w:val="20"/>
                <w:highlight w:val="black"/>
              </w:rPr>
              <w:t xml:space="preserve">3.30 </w:t>
            </w:r>
          </w:p>
        </w:tc>
        <w:tc>
          <w:tcPr>
            <w:tcW w:w="420" w:type="pct"/>
            <w:tcBorders>
              <w:tl2br w:val="nil"/>
              <w:tr2bl w:val="nil"/>
            </w:tcBorders>
            <w:shd w:val="clear" w:color="000000" w:fill="FFFFFF"/>
            <w:vAlign w:val="center"/>
          </w:tcPr>
          <w:p w14:paraId="532CF067">
            <w:pPr>
              <w:widowControl/>
              <w:spacing w:line="240" w:lineRule="auto"/>
              <w:ind w:firstLine="0" w:firstLineChars="0"/>
              <w:jc w:val="center"/>
              <w:rPr>
                <w:kern w:val="0"/>
                <w:sz w:val="21"/>
                <w:szCs w:val="21"/>
                <w:highlight w:val="black"/>
              </w:rPr>
            </w:pPr>
            <w:r>
              <w:rPr>
                <w:sz w:val="20"/>
                <w:highlight w:val="black"/>
              </w:rPr>
              <w:t xml:space="preserve">52.20 </w:t>
            </w:r>
          </w:p>
        </w:tc>
      </w:tr>
      <w:tr w14:paraId="2570D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36911DC6">
            <w:pPr>
              <w:widowControl/>
              <w:spacing w:line="240" w:lineRule="auto"/>
              <w:ind w:firstLine="0" w:firstLineChars="0"/>
              <w:jc w:val="center"/>
              <w:rPr>
                <w:kern w:val="0"/>
                <w:sz w:val="21"/>
                <w:szCs w:val="21"/>
                <w:highlight w:val="black"/>
              </w:rPr>
            </w:pPr>
            <w:r>
              <w:rPr>
                <w:kern w:val="0"/>
                <w:sz w:val="21"/>
                <w:szCs w:val="21"/>
                <w:highlight w:val="black"/>
              </w:rPr>
              <w:t>4</w:t>
            </w:r>
          </w:p>
        </w:tc>
        <w:tc>
          <w:tcPr>
            <w:tcW w:w="809" w:type="pct"/>
            <w:tcBorders>
              <w:tl2br w:val="nil"/>
              <w:tr2bl w:val="nil"/>
            </w:tcBorders>
            <w:shd w:val="clear" w:color="000000" w:fill="FFFFFF"/>
            <w:vAlign w:val="center"/>
          </w:tcPr>
          <w:p w14:paraId="783003D3">
            <w:pPr>
              <w:widowControl/>
              <w:spacing w:line="240" w:lineRule="auto"/>
              <w:ind w:firstLine="0" w:firstLineChars="0"/>
              <w:jc w:val="center"/>
              <w:rPr>
                <w:kern w:val="0"/>
                <w:sz w:val="21"/>
                <w:szCs w:val="21"/>
                <w:highlight w:val="black"/>
              </w:rPr>
            </w:pPr>
            <w:r>
              <w:rPr>
                <w:sz w:val="20"/>
                <w:highlight w:val="black"/>
              </w:rPr>
              <w:t>采场</w:t>
            </w:r>
          </w:p>
        </w:tc>
        <w:tc>
          <w:tcPr>
            <w:tcW w:w="449" w:type="pct"/>
            <w:tcBorders>
              <w:tl2br w:val="nil"/>
              <w:tr2bl w:val="nil"/>
            </w:tcBorders>
            <w:shd w:val="clear" w:color="000000" w:fill="FFFFFF"/>
            <w:vAlign w:val="center"/>
          </w:tcPr>
          <w:p w14:paraId="650FC01E">
            <w:pPr>
              <w:widowControl/>
              <w:spacing w:line="240" w:lineRule="auto"/>
              <w:ind w:firstLine="0" w:firstLineChars="0"/>
              <w:jc w:val="center"/>
              <w:rPr>
                <w:kern w:val="0"/>
                <w:sz w:val="21"/>
                <w:szCs w:val="21"/>
                <w:highlight w:val="black"/>
              </w:rPr>
            </w:pPr>
            <w:r>
              <w:rPr>
                <w:sz w:val="20"/>
                <w:highlight w:val="black"/>
              </w:rPr>
              <w:t>不支</w:t>
            </w:r>
          </w:p>
        </w:tc>
        <w:tc>
          <w:tcPr>
            <w:tcW w:w="739" w:type="pct"/>
            <w:tcBorders>
              <w:tl2br w:val="nil"/>
              <w:tr2bl w:val="nil"/>
            </w:tcBorders>
            <w:shd w:val="clear" w:color="000000" w:fill="FFFFFF"/>
            <w:vAlign w:val="center"/>
          </w:tcPr>
          <w:p w14:paraId="284A3284">
            <w:pPr>
              <w:widowControl/>
              <w:spacing w:line="240" w:lineRule="auto"/>
              <w:ind w:firstLine="0" w:firstLineChars="0"/>
              <w:jc w:val="center"/>
              <w:rPr>
                <w:kern w:val="0"/>
                <w:sz w:val="21"/>
                <w:szCs w:val="21"/>
                <w:highlight w:val="black"/>
              </w:rPr>
            </w:pPr>
            <w:r>
              <w:rPr>
                <w:sz w:val="20"/>
                <w:highlight w:val="black"/>
              </w:rPr>
              <w:t xml:space="preserve">30.00 </w:t>
            </w:r>
          </w:p>
        </w:tc>
        <w:tc>
          <w:tcPr>
            <w:tcW w:w="400" w:type="pct"/>
            <w:tcBorders>
              <w:tl2br w:val="nil"/>
              <w:tr2bl w:val="nil"/>
            </w:tcBorders>
            <w:shd w:val="clear" w:color="000000" w:fill="FFFFFF"/>
            <w:vAlign w:val="center"/>
          </w:tcPr>
          <w:p w14:paraId="4180AFD8">
            <w:pPr>
              <w:widowControl/>
              <w:spacing w:line="240" w:lineRule="auto"/>
              <w:ind w:firstLine="0" w:firstLineChars="0"/>
              <w:jc w:val="center"/>
              <w:rPr>
                <w:kern w:val="0"/>
                <w:sz w:val="21"/>
                <w:szCs w:val="21"/>
                <w:highlight w:val="black"/>
              </w:rPr>
            </w:pPr>
            <w:r>
              <w:rPr>
                <w:sz w:val="20"/>
                <w:highlight w:val="black"/>
              </w:rPr>
              <w:t xml:space="preserve">30.00 </w:t>
            </w:r>
          </w:p>
        </w:tc>
        <w:tc>
          <w:tcPr>
            <w:tcW w:w="519" w:type="pct"/>
            <w:tcBorders>
              <w:tl2br w:val="nil"/>
              <w:tr2bl w:val="nil"/>
            </w:tcBorders>
            <w:shd w:val="clear" w:color="000000" w:fill="FFFFFF"/>
            <w:vAlign w:val="center"/>
          </w:tcPr>
          <w:p w14:paraId="00E6CCA9">
            <w:pPr>
              <w:widowControl/>
              <w:spacing w:line="240" w:lineRule="auto"/>
              <w:ind w:firstLine="0" w:firstLineChars="0"/>
              <w:jc w:val="center"/>
              <w:rPr>
                <w:kern w:val="0"/>
                <w:sz w:val="21"/>
                <w:szCs w:val="21"/>
                <w:highlight w:val="black"/>
              </w:rPr>
            </w:pPr>
            <w:r>
              <w:rPr>
                <w:sz w:val="21"/>
                <w:szCs w:val="21"/>
                <w:highlight w:val="black"/>
              </w:rPr>
              <w:t>150</w:t>
            </w:r>
          </w:p>
        </w:tc>
        <w:tc>
          <w:tcPr>
            <w:tcW w:w="400" w:type="pct"/>
            <w:tcBorders>
              <w:tl2br w:val="nil"/>
              <w:tr2bl w:val="nil"/>
            </w:tcBorders>
            <w:shd w:val="clear" w:color="000000" w:fill="FFFFFF"/>
            <w:vAlign w:val="center"/>
          </w:tcPr>
          <w:p w14:paraId="3146250B">
            <w:pPr>
              <w:widowControl/>
              <w:spacing w:line="240" w:lineRule="auto"/>
              <w:ind w:firstLine="0" w:firstLineChars="0"/>
              <w:jc w:val="center"/>
              <w:rPr>
                <w:kern w:val="0"/>
                <w:sz w:val="21"/>
                <w:szCs w:val="21"/>
                <w:highlight w:val="black"/>
              </w:rPr>
            </w:pPr>
            <w:r>
              <w:rPr>
                <w:sz w:val="21"/>
                <w:szCs w:val="21"/>
                <w:highlight w:val="black"/>
              </w:rPr>
              <w:t>50</w:t>
            </w:r>
          </w:p>
        </w:tc>
        <w:tc>
          <w:tcPr>
            <w:tcW w:w="489" w:type="pct"/>
            <w:tcBorders>
              <w:tl2br w:val="nil"/>
              <w:tr2bl w:val="nil"/>
            </w:tcBorders>
            <w:shd w:val="clear" w:color="000000" w:fill="FFFFFF"/>
            <w:vAlign w:val="center"/>
          </w:tcPr>
          <w:p w14:paraId="6B07F2EF">
            <w:pPr>
              <w:widowControl/>
              <w:spacing w:line="240" w:lineRule="auto"/>
              <w:ind w:firstLine="0" w:firstLineChars="0"/>
              <w:jc w:val="center"/>
              <w:rPr>
                <w:kern w:val="0"/>
                <w:sz w:val="21"/>
                <w:szCs w:val="21"/>
                <w:highlight w:val="black"/>
              </w:rPr>
            </w:pPr>
            <w:r>
              <w:rPr>
                <w:sz w:val="20"/>
                <w:highlight w:val="black"/>
              </w:rPr>
              <w:t xml:space="preserve">3.80 </w:t>
            </w:r>
          </w:p>
        </w:tc>
        <w:tc>
          <w:tcPr>
            <w:tcW w:w="504" w:type="pct"/>
            <w:tcBorders>
              <w:tl2br w:val="nil"/>
              <w:tr2bl w:val="nil"/>
            </w:tcBorders>
            <w:shd w:val="clear" w:color="000000" w:fill="FFFFFF"/>
            <w:vAlign w:val="center"/>
          </w:tcPr>
          <w:p w14:paraId="2AFF9B4C">
            <w:pPr>
              <w:widowControl/>
              <w:spacing w:line="240" w:lineRule="auto"/>
              <w:ind w:firstLine="0" w:firstLineChars="0"/>
              <w:jc w:val="center"/>
              <w:rPr>
                <w:kern w:val="0"/>
                <w:sz w:val="21"/>
                <w:szCs w:val="21"/>
                <w:highlight w:val="black"/>
              </w:rPr>
            </w:pPr>
            <w:r>
              <w:rPr>
                <w:sz w:val="20"/>
                <w:highlight w:val="black"/>
              </w:rPr>
              <w:t xml:space="preserve">0.03 </w:t>
            </w:r>
          </w:p>
        </w:tc>
        <w:tc>
          <w:tcPr>
            <w:tcW w:w="420" w:type="pct"/>
            <w:tcBorders>
              <w:tl2br w:val="nil"/>
              <w:tr2bl w:val="nil"/>
            </w:tcBorders>
            <w:shd w:val="clear" w:color="000000" w:fill="FFFFFF"/>
            <w:vAlign w:val="center"/>
          </w:tcPr>
          <w:p w14:paraId="2AF57406">
            <w:pPr>
              <w:widowControl/>
              <w:spacing w:line="240" w:lineRule="auto"/>
              <w:ind w:firstLine="0" w:firstLineChars="0"/>
              <w:jc w:val="center"/>
              <w:rPr>
                <w:kern w:val="0"/>
                <w:sz w:val="21"/>
                <w:szCs w:val="21"/>
                <w:highlight w:val="black"/>
              </w:rPr>
            </w:pPr>
            <w:r>
              <w:rPr>
                <w:sz w:val="20"/>
                <w:highlight w:val="black"/>
              </w:rPr>
              <w:t xml:space="preserve">0.00 </w:t>
            </w:r>
          </w:p>
        </w:tc>
      </w:tr>
      <w:tr w14:paraId="4E42E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7472E1CF">
            <w:pPr>
              <w:widowControl/>
              <w:spacing w:line="240" w:lineRule="auto"/>
              <w:ind w:firstLine="0" w:firstLineChars="0"/>
              <w:jc w:val="center"/>
              <w:rPr>
                <w:kern w:val="0"/>
                <w:sz w:val="21"/>
                <w:szCs w:val="21"/>
                <w:highlight w:val="black"/>
              </w:rPr>
            </w:pPr>
            <w:r>
              <w:rPr>
                <w:kern w:val="0"/>
                <w:sz w:val="21"/>
                <w:szCs w:val="21"/>
                <w:highlight w:val="black"/>
              </w:rPr>
              <w:t>5</w:t>
            </w:r>
          </w:p>
        </w:tc>
        <w:tc>
          <w:tcPr>
            <w:tcW w:w="809" w:type="pct"/>
            <w:tcBorders>
              <w:tl2br w:val="nil"/>
              <w:tr2bl w:val="nil"/>
            </w:tcBorders>
            <w:shd w:val="clear" w:color="000000" w:fill="FFFFFF"/>
            <w:vAlign w:val="center"/>
          </w:tcPr>
          <w:p w14:paraId="764DAFBE">
            <w:pPr>
              <w:widowControl/>
              <w:spacing w:line="240" w:lineRule="auto"/>
              <w:ind w:firstLine="0" w:firstLineChars="0"/>
              <w:jc w:val="center"/>
              <w:rPr>
                <w:kern w:val="0"/>
                <w:sz w:val="21"/>
                <w:szCs w:val="21"/>
                <w:highlight w:val="black"/>
              </w:rPr>
            </w:pPr>
            <w:r>
              <w:rPr>
                <w:rFonts w:hint="eastAsia"/>
                <w:sz w:val="20"/>
                <w:highlight w:val="black"/>
              </w:rPr>
              <w:t>回风联络道</w:t>
            </w:r>
          </w:p>
        </w:tc>
        <w:tc>
          <w:tcPr>
            <w:tcW w:w="449" w:type="pct"/>
            <w:tcBorders>
              <w:tl2br w:val="nil"/>
              <w:tr2bl w:val="nil"/>
            </w:tcBorders>
            <w:shd w:val="clear" w:color="000000" w:fill="FFFFFF"/>
            <w:vAlign w:val="center"/>
          </w:tcPr>
          <w:p w14:paraId="1D5BFB72">
            <w:pPr>
              <w:widowControl/>
              <w:spacing w:line="240" w:lineRule="auto"/>
              <w:ind w:firstLine="0" w:firstLineChars="0"/>
              <w:jc w:val="center"/>
              <w:rPr>
                <w:kern w:val="0"/>
                <w:sz w:val="21"/>
                <w:szCs w:val="21"/>
                <w:highlight w:val="black"/>
              </w:rPr>
            </w:pPr>
            <w:r>
              <w:rPr>
                <w:sz w:val="20"/>
                <w:highlight w:val="black"/>
              </w:rPr>
              <w:t>不支</w:t>
            </w:r>
          </w:p>
        </w:tc>
        <w:tc>
          <w:tcPr>
            <w:tcW w:w="739" w:type="pct"/>
            <w:tcBorders>
              <w:tl2br w:val="nil"/>
              <w:tr2bl w:val="nil"/>
            </w:tcBorders>
            <w:shd w:val="clear" w:color="000000" w:fill="FFFFFF"/>
            <w:vAlign w:val="center"/>
          </w:tcPr>
          <w:p w14:paraId="6CC9FBC9">
            <w:pPr>
              <w:widowControl/>
              <w:spacing w:line="240" w:lineRule="auto"/>
              <w:ind w:firstLine="0" w:firstLineChars="0"/>
              <w:jc w:val="center"/>
              <w:rPr>
                <w:kern w:val="0"/>
                <w:sz w:val="21"/>
                <w:szCs w:val="21"/>
                <w:highlight w:val="black"/>
              </w:rPr>
            </w:pPr>
            <w:r>
              <w:rPr>
                <w:sz w:val="20"/>
                <w:highlight w:val="black"/>
              </w:rPr>
              <w:t xml:space="preserve">18.00 </w:t>
            </w:r>
          </w:p>
        </w:tc>
        <w:tc>
          <w:tcPr>
            <w:tcW w:w="400" w:type="pct"/>
            <w:tcBorders>
              <w:tl2br w:val="nil"/>
              <w:tr2bl w:val="nil"/>
            </w:tcBorders>
            <w:shd w:val="clear" w:color="000000" w:fill="FFFFFF"/>
            <w:vAlign w:val="center"/>
          </w:tcPr>
          <w:p w14:paraId="1BCD30C7">
            <w:pPr>
              <w:widowControl/>
              <w:spacing w:line="240" w:lineRule="auto"/>
              <w:ind w:firstLine="0" w:firstLineChars="0"/>
              <w:jc w:val="center"/>
              <w:rPr>
                <w:kern w:val="0"/>
                <w:sz w:val="21"/>
                <w:szCs w:val="21"/>
                <w:highlight w:val="black"/>
              </w:rPr>
            </w:pPr>
            <w:r>
              <w:rPr>
                <w:sz w:val="20"/>
                <w:highlight w:val="black"/>
              </w:rPr>
              <w:t xml:space="preserve">83.00 </w:t>
            </w:r>
          </w:p>
        </w:tc>
        <w:tc>
          <w:tcPr>
            <w:tcW w:w="519" w:type="pct"/>
            <w:tcBorders>
              <w:tl2br w:val="nil"/>
              <w:tr2bl w:val="nil"/>
            </w:tcBorders>
            <w:shd w:val="clear" w:color="000000" w:fill="FFFFFF"/>
            <w:vAlign w:val="center"/>
          </w:tcPr>
          <w:p w14:paraId="29D5055B">
            <w:pPr>
              <w:widowControl/>
              <w:spacing w:line="240" w:lineRule="auto"/>
              <w:ind w:firstLine="0" w:firstLineChars="0"/>
              <w:jc w:val="center"/>
              <w:rPr>
                <w:kern w:val="0"/>
                <w:sz w:val="21"/>
                <w:szCs w:val="21"/>
                <w:highlight w:val="black"/>
              </w:rPr>
            </w:pPr>
            <w:r>
              <w:rPr>
                <w:sz w:val="21"/>
                <w:szCs w:val="21"/>
                <w:highlight w:val="black"/>
              </w:rPr>
              <w:t>20.7</w:t>
            </w:r>
          </w:p>
        </w:tc>
        <w:tc>
          <w:tcPr>
            <w:tcW w:w="400" w:type="pct"/>
            <w:tcBorders>
              <w:tl2br w:val="nil"/>
              <w:tr2bl w:val="nil"/>
            </w:tcBorders>
            <w:shd w:val="clear" w:color="000000" w:fill="FFFFFF"/>
            <w:vAlign w:val="center"/>
          </w:tcPr>
          <w:p w14:paraId="6C3B3D56">
            <w:pPr>
              <w:widowControl/>
              <w:spacing w:line="240" w:lineRule="auto"/>
              <w:ind w:firstLine="0" w:firstLineChars="0"/>
              <w:jc w:val="center"/>
              <w:rPr>
                <w:kern w:val="0"/>
                <w:sz w:val="21"/>
                <w:szCs w:val="21"/>
                <w:highlight w:val="black"/>
              </w:rPr>
            </w:pPr>
            <w:r>
              <w:rPr>
                <w:sz w:val="21"/>
                <w:szCs w:val="21"/>
                <w:highlight w:val="black"/>
              </w:rPr>
              <w:t>12.32</w:t>
            </w:r>
          </w:p>
        </w:tc>
        <w:tc>
          <w:tcPr>
            <w:tcW w:w="489" w:type="pct"/>
            <w:tcBorders>
              <w:tl2br w:val="nil"/>
              <w:tr2bl w:val="nil"/>
            </w:tcBorders>
            <w:shd w:val="clear" w:color="000000" w:fill="FFFFFF"/>
            <w:vAlign w:val="center"/>
          </w:tcPr>
          <w:p w14:paraId="37ACFECF">
            <w:pPr>
              <w:widowControl/>
              <w:spacing w:line="240" w:lineRule="auto"/>
              <w:ind w:firstLine="0" w:firstLineChars="0"/>
              <w:jc w:val="center"/>
              <w:rPr>
                <w:kern w:val="0"/>
                <w:sz w:val="21"/>
                <w:szCs w:val="21"/>
                <w:highlight w:val="black"/>
              </w:rPr>
            </w:pPr>
            <w:r>
              <w:rPr>
                <w:sz w:val="20"/>
                <w:highlight w:val="black"/>
              </w:rPr>
              <w:t xml:space="preserve">64.60 </w:t>
            </w:r>
          </w:p>
        </w:tc>
        <w:tc>
          <w:tcPr>
            <w:tcW w:w="504" w:type="pct"/>
            <w:tcBorders>
              <w:tl2br w:val="nil"/>
              <w:tr2bl w:val="nil"/>
            </w:tcBorders>
            <w:shd w:val="clear" w:color="000000" w:fill="FFFFFF"/>
            <w:vAlign w:val="center"/>
          </w:tcPr>
          <w:p w14:paraId="02B81AB4">
            <w:pPr>
              <w:widowControl/>
              <w:spacing w:line="240" w:lineRule="auto"/>
              <w:ind w:firstLine="0" w:firstLineChars="0"/>
              <w:jc w:val="center"/>
              <w:rPr>
                <w:kern w:val="0"/>
                <w:sz w:val="21"/>
                <w:szCs w:val="21"/>
                <w:highlight w:val="black"/>
              </w:rPr>
            </w:pPr>
            <w:r>
              <w:rPr>
                <w:sz w:val="20"/>
                <w:highlight w:val="black"/>
              </w:rPr>
              <w:t xml:space="preserve">3.12 </w:t>
            </w:r>
          </w:p>
        </w:tc>
        <w:tc>
          <w:tcPr>
            <w:tcW w:w="420" w:type="pct"/>
            <w:tcBorders>
              <w:tl2br w:val="nil"/>
              <w:tr2bl w:val="nil"/>
            </w:tcBorders>
            <w:shd w:val="clear" w:color="000000" w:fill="FFFFFF"/>
            <w:vAlign w:val="center"/>
          </w:tcPr>
          <w:p w14:paraId="6BE51426">
            <w:pPr>
              <w:widowControl/>
              <w:spacing w:line="240" w:lineRule="auto"/>
              <w:ind w:firstLine="0" w:firstLineChars="0"/>
              <w:jc w:val="center"/>
              <w:rPr>
                <w:kern w:val="0"/>
                <w:sz w:val="21"/>
                <w:szCs w:val="21"/>
                <w:highlight w:val="black"/>
              </w:rPr>
            </w:pPr>
            <w:r>
              <w:rPr>
                <w:sz w:val="20"/>
                <w:highlight w:val="black"/>
              </w:rPr>
              <w:t xml:space="preserve">8.66 </w:t>
            </w:r>
          </w:p>
        </w:tc>
      </w:tr>
      <w:tr w14:paraId="607F8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78D09FD0">
            <w:pPr>
              <w:widowControl/>
              <w:spacing w:line="240" w:lineRule="auto"/>
              <w:ind w:firstLine="0" w:firstLineChars="0"/>
              <w:jc w:val="center"/>
              <w:rPr>
                <w:kern w:val="0"/>
                <w:sz w:val="21"/>
                <w:szCs w:val="21"/>
                <w:highlight w:val="black"/>
              </w:rPr>
            </w:pPr>
            <w:r>
              <w:rPr>
                <w:kern w:val="0"/>
                <w:sz w:val="21"/>
                <w:szCs w:val="21"/>
                <w:highlight w:val="black"/>
              </w:rPr>
              <w:t>6</w:t>
            </w:r>
          </w:p>
        </w:tc>
        <w:tc>
          <w:tcPr>
            <w:tcW w:w="809" w:type="pct"/>
            <w:tcBorders>
              <w:tl2br w:val="nil"/>
              <w:tr2bl w:val="nil"/>
            </w:tcBorders>
            <w:shd w:val="clear" w:color="000000" w:fill="FFFFFF"/>
            <w:vAlign w:val="center"/>
          </w:tcPr>
          <w:p w14:paraId="768FF13C">
            <w:pPr>
              <w:widowControl/>
              <w:spacing w:line="240" w:lineRule="auto"/>
              <w:ind w:firstLine="0" w:firstLineChars="0"/>
              <w:jc w:val="center"/>
              <w:rPr>
                <w:kern w:val="0"/>
                <w:sz w:val="21"/>
                <w:szCs w:val="21"/>
                <w:highlight w:val="black"/>
              </w:rPr>
            </w:pPr>
            <w:r>
              <w:rPr>
                <w:sz w:val="20"/>
                <w:highlight w:val="black"/>
              </w:rPr>
              <w:t>50m</w:t>
            </w:r>
            <w:r>
              <w:rPr>
                <w:rFonts w:hint="eastAsia"/>
                <w:sz w:val="20"/>
                <w:highlight w:val="black"/>
              </w:rPr>
              <w:t>回风巷道</w:t>
            </w:r>
          </w:p>
        </w:tc>
        <w:tc>
          <w:tcPr>
            <w:tcW w:w="449" w:type="pct"/>
            <w:tcBorders>
              <w:tl2br w:val="nil"/>
              <w:tr2bl w:val="nil"/>
            </w:tcBorders>
            <w:shd w:val="clear" w:color="000000" w:fill="FFFFFF"/>
            <w:vAlign w:val="center"/>
          </w:tcPr>
          <w:p w14:paraId="0B26829C">
            <w:pPr>
              <w:widowControl/>
              <w:spacing w:line="240" w:lineRule="auto"/>
              <w:ind w:firstLine="0" w:firstLineChars="0"/>
              <w:jc w:val="center"/>
              <w:rPr>
                <w:kern w:val="0"/>
                <w:sz w:val="21"/>
                <w:szCs w:val="21"/>
                <w:highlight w:val="black"/>
              </w:rPr>
            </w:pPr>
            <w:r>
              <w:rPr>
                <w:sz w:val="20"/>
                <w:highlight w:val="black"/>
              </w:rPr>
              <w:t>不支</w:t>
            </w:r>
          </w:p>
        </w:tc>
        <w:tc>
          <w:tcPr>
            <w:tcW w:w="739" w:type="pct"/>
            <w:tcBorders>
              <w:tl2br w:val="nil"/>
              <w:tr2bl w:val="nil"/>
            </w:tcBorders>
            <w:shd w:val="clear" w:color="000000" w:fill="FFFFFF"/>
            <w:vAlign w:val="center"/>
          </w:tcPr>
          <w:p w14:paraId="5F6D5F3B">
            <w:pPr>
              <w:widowControl/>
              <w:spacing w:line="240" w:lineRule="auto"/>
              <w:ind w:firstLine="0" w:firstLineChars="0"/>
              <w:jc w:val="center"/>
              <w:rPr>
                <w:kern w:val="0"/>
                <w:sz w:val="21"/>
                <w:szCs w:val="21"/>
                <w:highlight w:val="black"/>
              </w:rPr>
            </w:pPr>
            <w:r>
              <w:rPr>
                <w:sz w:val="20"/>
                <w:highlight w:val="black"/>
              </w:rPr>
              <w:t xml:space="preserve">19.00 </w:t>
            </w:r>
          </w:p>
        </w:tc>
        <w:tc>
          <w:tcPr>
            <w:tcW w:w="400" w:type="pct"/>
            <w:tcBorders>
              <w:tl2br w:val="nil"/>
              <w:tr2bl w:val="nil"/>
            </w:tcBorders>
            <w:shd w:val="clear" w:color="000000" w:fill="FFFFFF"/>
            <w:vAlign w:val="center"/>
          </w:tcPr>
          <w:p w14:paraId="01EB3BFF">
            <w:pPr>
              <w:widowControl/>
              <w:spacing w:line="240" w:lineRule="auto"/>
              <w:ind w:firstLine="0" w:firstLineChars="0"/>
              <w:jc w:val="center"/>
              <w:rPr>
                <w:kern w:val="0"/>
                <w:sz w:val="21"/>
                <w:szCs w:val="21"/>
                <w:highlight w:val="black"/>
              </w:rPr>
            </w:pPr>
            <w:r>
              <w:rPr>
                <w:sz w:val="20"/>
                <w:highlight w:val="black"/>
              </w:rPr>
              <w:t xml:space="preserve">230.00 </w:t>
            </w:r>
          </w:p>
        </w:tc>
        <w:tc>
          <w:tcPr>
            <w:tcW w:w="519" w:type="pct"/>
            <w:tcBorders>
              <w:tl2br w:val="nil"/>
              <w:tr2bl w:val="nil"/>
            </w:tcBorders>
            <w:shd w:val="clear" w:color="000000" w:fill="FFFFFF"/>
            <w:vAlign w:val="center"/>
          </w:tcPr>
          <w:p w14:paraId="386945C8">
            <w:pPr>
              <w:widowControl/>
              <w:spacing w:line="240" w:lineRule="auto"/>
              <w:ind w:firstLine="0" w:firstLineChars="0"/>
              <w:jc w:val="center"/>
              <w:rPr>
                <w:kern w:val="0"/>
                <w:sz w:val="21"/>
                <w:szCs w:val="21"/>
                <w:highlight w:val="black"/>
              </w:rPr>
            </w:pPr>
            <w:r>
              <w:rPr>
                <w:sz w:val="21"/>
                <w:szCs w:val="21"/>
                <w:highlight w:val="black"/>
              </w:rPr>
              <w:t>20.7</w:t>
            </w:r>
          </w:p>
        </w:tc>
        <w:tc>
          <w:tcPr>
            <w:tcW w:w="400" w:type="pct"/>
            <w:tcBorders>
              <w:tl2br w:val="nil"/>
              <w:tr2bl w:val="nil"/>
            </w:tcBorders>
            <w:shd w:val="clear" w:color="000000" w:fill="FFFFFF"/>
            <w:vAlign w:val="center"/>
          </w:tcPr>
          <w:p w14:paraId="39A6E093">
            <w:pPr>
              <w:widowControl/>
              <w:spacing w:line="240" w:lineRule="auto"/>
              <w:ind w:firstLine="0" w:firstLineChars="0"/>
              <w:jc w:val="center"/>
              <w:rPr>
                <w:kern w:val="0"/>
                <w:sz w:val="21"/>
                <w:szCs w:val="21"/>
                <w:highlight w:val="black"/>
              </w:rPr>
            </w:pPr>
            <w:r>
              <w:rPr>
                <w:sz w:val="21"/>
                <w:szCs w:val="21"/>
                <w:highlight w:val="black"/>
              </w:rPr>
              <w:t>12.32</w:t>
            </w:r>
          </w:p>
        </w:tc>
        <w:tc>
          <w:tcPr>
            <w:tcW w:w="489" w:type="pct"/>
            <w:tcBorders>
              <w:tl2br w:val="nil"/>
              <w:tr2bl w:val="nil"/>
            </w:tcBorders>
            <w:shd w:val="clear" w:color="000000" w:fill="FFFFFF"/>
            <w:vAlign w:val="center"/>
          </w:tcPr>
          <w:p w14:paraId="52024CDB">
            <w:pPr>
              <w:widowControl/>
              <w:spacing w:line="240" w:lineRule="auto"/>
              <w:ind w:firstLine="0" w:firstLineChars="0"/>
              <w:jc w:val="center"/>
              <w:rPr>
                <w:kern w:val="0"/>
                <w:sz w:val="21"/>
                <w:szCs w:val="21"/>
                <w:highlight w:val="black"/>
              </w:rPr>
            </w:pPr>
            <w:r>
              <w:rPr>
                <w:sz w:val="20"/>
                <w:highlight w:val="black"/>
              </w:rPr>
              <w:t xml:space="preserve">68.30 </w:t>
            </w:r>
          </w:p>
        </w:tc>
        <w:tc>
          <w:tcPr>
            <w:tcW w:w="504" w:type="pct"/>
            <w:tcBorders>
              <w:tl2br w:val="nil"/>
              <w:tr2bl w:val="nil"/>
            </w:tcBorders>
            <w:shd w:val="clear" w:color="000000" w:fill="FFFFFF"/>
            <w:vAlign w:val="center"/>
          </w:tcPr>
          <w:p w14:paraId="3D4B4526">
            <w:pPr>
              <w:widowControl/>
              <w:spacing w:line="240" w:lineRule="auto"/>
              <w:ind w:firstLine="0" w:firstLineChars="0"/>
              <w:jc w:val="center"/>
              <w:rPr>
                <w:kern w:val="0"/>
                <w:sz w:val="21"/>
                <w:szCs w:val="21"/>
                <w:highlight w:val="black"/>
              </w:rPr>
            </w:pPr>
            <w:r>
              <w:rPr>
                <w:sz w:val="20"/>
                <w:highlight w:val="black"/>
              </w:rPr>
              <w:t xml:space="preserve">3.30 </w:t>
            </w:r>
          </w:p>
        </w:tc>
        <w:tc>
          <w:tcPr>
            <w:tcW w:w="420" w:type="pct"/>
            <w:tcBorders>
              <w:tl2br w:val="nil"/>
              <w:tr2bl w:val="nil"/>
            </w:tcBorders>
            <w:shd w:val="clear" w:color="000000" w:fill="FFFFFF"/>
            <w:vAlign w:val="center"/>
          </w:tcPr>
          <w:p w14:paraId="0BA8A99C">
            <w:pPr>
              <w:widowControl/>
              <w:spacing w:line="240" w:lineRule="auto"/>
              <w:ind w:firstLine="0" w:firstLineChars="0"/>
              <w:jc w:val="center"/>
              <w:rPr>
                <w:kern w:val="0"/>
                <w:sz w:val="21"/>
                <w:szCs w:val="21"/>
                <w:highlight w:val="black"/>
              </w:rPr>
            </w:pPr>
            <w:r>
              <w:rPr>
                <w:sz w:val="20"/>
                <w:highlight w:val="black"/>
              </w:rPr>
              <w:t xml:space="preserve">28.32 </w:t>
            </w:r>
          </w:p>
        </w:tc>
      </w:tr>
      <w:tr w14:paraId="6C7E7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168DEA83">
            <w:pPr>
              <w:widowControl/>
              <w:spacing w:line="240" w:lineRule="auto"/>
              <w:ind w:firstLine="0" w:firstLineChars="0"/>
              <w:jc w:val="center"/>
              <w:rPr>
                <w:kern w:val="0"/>
                <w:sz w:val="21"/>
                <w:szCs w:val="21"/>
                <w:highlight w:val="black"/>
              </w:rPr>
            </w:pPr>
            <w:r>
              <w:rPr>
                <w:kern w:val="0"/>
                <w:sz w:val="21"/>
                <w:szCs w:val="21"/>
                <w:highlight w:val="black"/>
              </w:rPr>
              <w:t>7</w:t>
            </w:r>
          </w:p>
        </w:tc>
        <w:tc>
          <w:tcPr>
            <w:tcW w:w="809" w:type="pct"/>
            <w:tcBorders>
              <w:tl2br w:val="nil"/>
              <w:tr2bl w:val="nil"/>
            </w:tcBorders>
            <w:shd w:val="clear" w:color="000000" w:fill="FFFFFF"/>
            <w:vAlign w:val="center"/>
          </w:tcPr>
          <w:p w14:paraId="5D6A65E6">
            <w:pPr>
              <w:widowControl/>
              <w:spacing w:line="240" w:lineRule="auto"/>
              <w:ind w:firstLine="0" w:firstLineChars="0"/>
              <w:jc w:val="center"/>
              <w:rPr>
                <w:kern w:val="0"/>
                <w:sz w:val="21"/>
                <w:szCs w:val="21"/>
                <w:highlight w:val="black"/>
              </w:rPr>
            </w:pPr>
            <w:r>
              <w:rPr>
                <w:rFonts w:hint="eastAsia"/>
                <w:sz w:val="20"/>
                <w:highlight w:val="black"/>
              </w:rPr>
              <w:t>风井石门车场</w:t>
            </w:r>
          </w:p>
        </w:tc>
        <w:tc>
          <w:tcPr>
            <w:tcW w:w="449" w:type="pct"/>
            <w:tcBorders>
              <w:tl2br w:val="nil"/>
              <w:tr2bl w:val="nil"/>
            </w:tcBorders>
            <w:shd w:val="clear" w:color="000000" w:fill="FFFFFF"/>
            <w:vAlign w:val="center"/>
          </w:tcPr>
          <w:p w14:paraId="55D41F3D">
            <w:pPr>
              <w:widowControl/>
              <w:spacing w:line="240" w:lineRule="auto"/>
              <w:ind w:firstLine="0" w:firstLineChars="0"/>
              <w:jc w:val="center"/>
              <w:rPr>
                <w:kern w:val="0"/>
                <w:sz w:val="21"/>
                <w:szCs w:val="21"/>
                <w:highlight w:val="black"/>
              </w:rPr>
            </w:pPr>
            <w:r>
              <w:rPr>
                <w:sz w:val="20"/>
                <w:highlight w:val="black"/>
              </w:rPr>
              <w:t>不支</w:t>
            </w:r>
          </w:p>
        </w:tc>
        <w:tc>
          <w:tcPr>
            <w:tcW w:w="739" w:type="pct"/>
            <w:tcBorders>
              <w:tl2br w:val="nil"/>
              <w:tr2bl w:val="nil"/>
            </w:tcBorders>
            <w:shd w:val="clear" w:color="000000" w:fill="FFFFFF"/>
            <w:vAlign w:val="center"/>
          </w:tcPr>
          <w:p w14:paraId="45BF5C93">
            <w:pPr>
              <w:widowControl/>
              <w:spacing w:line="240" w:lineRule="auto"/>
              <w:ind w:firstLine="0" w:firstLineChars="0"/>
              <w:jc w:val="center"/>
              <w:rPr>
                <w:kern w:val="0"/>
                <w:sz w:val="21"/>
                <w:szCs w:val="21"/>
                <w:highlight w:val="black"/>
              </w:rPr>
            </w:pPr>
            <w:r>
              <w:rPr>
                <w:sz w:val="20"/>
                <w:highlight w:val="black"/>
              </w:rPr>
              <w:t xml:space="preserve">19.00 </w:t>
            </w:r>
          </w:p>
        </w:tc>
        <w:tc>
          <w:tcPr>
            <w:tcW w:w="400" w:type="pct"/>
            <w:tcBorders>
              <w:tl2br w:val="nil"/>
              <w:tr2bl w:val="nil"/>
            </w:tcBorders>
            <w:shd w:val="clear" w:color="000000" w:fill="FFFFFF"/>
            <w:vAlign w:val="center"/>
          </w:tcPr>
          <w:p w14:paraId="594F3F14">
            <w:pPr>
              <w:widowControl/>
              <w:spacing w:line="240" w:lineRule="auto"/>
              <w:ind w:firstLine="0" w:firstLineChars="0"/>
              <w:jc w:val="center"/>
              <w:rPr>
                <w:kern w:val="0"/>
                <w:sz w:val="21"/>
                <w:szCs w:val="21"/>
                <w:highlight w:val="black"/>
              </w:rPr>
            </w:pPr>
            <w:r>
              <w:rPr>
                <w:sz w:val="20"/>
                <w:highlight w:val="black"/>
              </w:rPr>
              <w:t xml:space="preserve">25.00 </w:t>
            </w:r>
          </w:p>
        </w:tc>
        <w:tc>
          <w:tcPr>
            <w:tcW w:w="519" w:type="pct"/>
            <w:tcBorders>
              <w:tl2br w:val="nil"/>
              <w:tr2bl w:val="nil"/>
            </w:tcBorders>
            <w:shd w:val="clear" w:color="000000" w:fill="FFFFFF"/>
            <w:vAlign w:val="center"/>
          </w:tcPr>
          <w:p w14:paraId="5033CDA3">
            <w:pPr>
              <w:widowControl/>
              <w:spacing w:line="240" w:lineRule="auto"/>
              <w:ind w:firstLine="0" w:firstLineChars="0"/>
              <w:jc w:val="center"/>
              <w:rPr>
                <w:kern w:val="0"/>
                <w:sz w:val="21"/>
                <w:szCs w:val="21"/>
                <w:highlight w:val="black"/>
              </w:rPr>
            </w:pPr>
            <w:r>
              <w:rPr>
                <w:sz w:val="21"/>
                <w:szCs w:val="21"/>
                <w:highlight w:val="black"/>
              </w:rPr>
              <w:t>20.7</w:t>
            </w:r>
          </w:p>
        </w:tc>
        <w:tc>
          <w:tcPr>
            <w:tcW w:w="400" w:type="pct"/>
            <w:tcBorders>
              <w:tl2br w:val="nil"/>
              <w:tr2bl w:val="nil"/>
            </w:tcBorders>
            <w:shd w:val="clear" w:color="000000" w:fill="FFFFFF"/>
            <w:vAlign w:val="center"/>
          </w:tcPr>
          <w:p w14:paraId="6E64CB37">
            <w:pPr>
              <w:widowControl/>
              <w:spacing w:line="240" w:lineRule="auto"/>
              <w:ind w:firstLine="0" w:firstLineChars="0"/>
              <w:jc w:val="center"/>
              <w:rPr>
                <w:kern w:val="0"/>
                <w:sz w:val="21"/>
                <w:szCs w:val="21"/>
                <w:highlight w:val="black"/>
              </w:rPr>
            </w:pPr>
            <w:r>
              <w:rPr>
                <w:sz w:val="21"/>
                <w:szCs w:val="21"/>
                <w:highlight w:val="black"/>
              </w:rPr>
              <w:t>12.32</w:t>
            </w:r>
          </w:p>
        </w:tc>
        <w:tc>
          <w:tcPr>
            <w:tcW w:w="489" w:type="pct"/>
            <w:tcBorders>
              <w:tl2br w:val="nil"/>
              <w:tr2bl w:val="nil"/>
            </w:tcBorders>
            <w:shd w:val="clear" w:color="000000" w:fill="FFFFFF"/>
            <w:vAlign w:val="center"/>
          </w:tcPr>
          <w:p w14:paraId="2BD4F77D">
            <w:pPr>
              <w:widowControl/>
              <w:spacing w:line="240" w:lineRule="auto"/>
              <w:ind w:firstLine="0" w:firstLineChars="0"/>
              <w:jc w:val="center"/>
              <w:rPr>
                <w:kern w:val="0"/>
                <w:sz w:val="21"/>
                <w:szCs w:val="21"/>
                <w:highlight w:val="black"/>
              </w:rPr>
            </w:pPr>
            <w:r>
              <w:rPr>
                <w:sz w:val="20"/>
                <w:highlight w:val="black"/>
              </w:rPr>
              <w:t xml:space="preserve">68.30 </w:t>
            </w:r>
          </w:p>
        </w:tc>
        <w:tc>
          <w:tcPr>
            <w:tcW w:w="504" w:type="pct"/>
            <w:tcBorders>
              <w:tl2br w:val="nil"/>
              <w:tr2bl w:val="nil"/>
            </w:tcBorders>
            <w:shd w:val="clear" w:color="000000" w:fill="FFFFFF"/>
            <w:vAlign w:val="center"/>
          </w:tcPr>
          <w:p w14:paraId="24274FA7">
            <w:pPr>
              <w:widowControl/>
              <w:spacing w:line="240" w:lineRule="auto"/>
              <w:ind w:firstLine="0" w:firstLineChars="0"/>
              <w:jc w:val="center"/>
              <w:rPr>
                <w:kern w:val="0"/>
                <w:sz w:val="21"/>
                <w:szCs w:val="21"/>
                <w:highlight w:val="black"/>
              </w:rPr>
            </w:pPr>
            <w:r>
              <w:rPr>
                <w:sz w:val="20"/>
                <w:highlight w:val="black"/>
              </w:rPr>
              <w:t xml:space="preserve">3.30 </w:t>
            </w:r>
          </w:p>
        </w:tc>
        <w:tc>
          <w:tcPr>
            <w:tcW w:w="420" w:type="pct"/>
            <w:tcBorders>
              <w:tl2br w:val="nil"/>
              <w:tr2bl w:val="nil"/>
            </w:tcBorders>
            <w:shd w:val="clear" w:color="000000" w:fill="FFFFFF"/>
            <w:vAlign w:val="center"/>
          </w:tcPr>
          <w:p w14:paraId="132779F6">
            <w:pPr>
              <w:widowControl/>
              <w:spacing w:line="240" w:lineRule="auto"/>
              <w:ind w:firstLine="0" w:firstLineChars="0"/>
              <w:jc w:val="center"/>
              <w:rPr>
                <w:kern w:val="0"/>
                <w:sz w:val="21"/>
                <w:szCs w:val="21"/>
                <w:highlight w:val="black"/>
              </w:rPr>
            </w:pPr>
            <w:r>
              <w:rPr>
                <w:sz w:val="20"/>
                <w:highlight w:val="black"/>
              </w:rPr>
              <w:t xml:space="preserve">3.08 </w:t>
            </w:r>
          </w:p>
        </w:tc>
      </w:tr>
      <w:tr w14:paraId="61311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4C014B3A">
            <w:pPr>
              <w:widowControl/>
              <w:spacing w:line="240" w:lineRule="auto"/>
              <w:ind w:firstLine="0" w:firstLineChars="0"/>
              <w:jc w:val="center"/>
              <w:rPr>
                <w:kern w:val="0"/>
                <w:sz w:val="21"/>
                <w:szCs w:val="21"/>
                <w:highlight w:val="black"/>
              </w:rPr>
            </w:pPr>
            <w:r>
              <w:rPr>
                <w:kern w:val="0"/>
                <w:sz w:val="21"/>
                <w:szCs w:val="21"/>
                <w:highlight w:val="black"/>
              </w:rPr>
              <w:t>8</w:t>
            </w:r>
          </w:p>
        </w:tc>
        <w:tc>
          <w:tcPr>
            <w:tcW w:w="809" w:type="pct"/>
            <w:tcBorders>
              <w:tl2br w:val="nil"/>
              <w:tr2bl w:val="nil"/>
            </w:tcBorders>
            <w:shd w:val="clear" w:color="000000" w:fill="FFFFFF"/>
            <w:vAlign w:val="center"/>
          </w:tcPr>
          <w:p w14:paraId="68AFD7FE">
            <w:pPr>
              <w:widowControl/>
              <w:spacing w:line="240" w:lineRule="auto"/>
              <w:ind w:firstLine="0" w:firstLineChars="0"/>
              <w:jc w:val="center"/>
              <w:rPr>
                <w:kern w:val="0"/>
                <w:sz w:val="21"/>
                <w:szCs w:val="21"/>
                <w:highlight w:val="black"/>
              </w:rPr>
            </w:pPr>
            <w:r>
              <w:rPr>
                <w:rFonts w:hint="eastAsia"/>
                <w:sz w:val="20"/>
                <w:highlight w:val="black"/>
              </w:rPr>
              <w:t>回风井</w:t>
            </w:r>
          </w:p>
        </w:tc>
        <w:tc>
          <w:tcPr>
            <w:tcW w:w="449" w:type="pct"/>
            <w:tcBorders>
              <w:tl2br w:val="nil"/>
              <w:tr2bl w:val="nil"/>
            </w:tcBorders>
            <w:shd w:val="clear" w:color="000000" w:fill="FFFFFF"/>
            <w:vAlign w:val="center"/>
          </w:tcPr>
          <w:p w14:paraId="3CFE2901">
            <w:pPr>
              <w:widowControl/>
              <w:spacing w:line="240" w:lineRule="auto"/>
              <w:ind w:firstLine="0" w:firstLineChars="0"/>
              <w:jc w:val="center"/>
              <w:rPr>
                <w:kern w:val="0"/>
                <w:sz w:val="21"/>
                <w:szCs w:val="21"/>
                <w:highlight w:val="black"/>
              </w:rPr>
            </w:pPr>
            <w:r>
              <w:rPr>
                <w:rFonts w:hint="eastAsia"/>
                <w:sz w:val="20"/>
                <w:highlight w:val="black"/>
              </w:rPr>
              <w:t>砼</w:t>
            </w:r>
          </w:p>
        </w:tc>
        <w:tc>
          <w:tcPr>
            <w:tcW w:w="739" w:type="pct"/>
            <w:tcBorders>
              <w:tl2br w:val="nil"/>
              <w:tr2bl w:val="nil"/>
            </w:tcBorders>
            <w:shd w:val="clear" w:color="000000" w:fill="FFFFFF"/>
            <w:vAlign w:val="center"/>
          </w:tcPr>
          <w:p w14:paraId="7D77DD42">
            <w:pPr>
              <w:widowControl/>
              <w:spacing w:line="240" w:lineRule="auto"/>
              <w:ind w:firstLine="0" w:firstLineChars="0"/>
              <w:jc w:val="center"/>
              <w:rPr>
                <w:kern w:val="0"/>
                <w:sz w:val="21"/>
                <w:szCs w:val="21"/>
                <w:highlight w:val="black"/>
              </w:rPr>
            </w:pPr>
            <w:r>
              <w:rPr>
                <w:sz w:val="20"/>
                <w:highlight w:val="black"/>
              </w:rPr>
              <w:t xml:space="preserve">19.00 </w:t>
            </w:r>
          </w:p>
        </w:tc>
        <w:tc>
          <w:tcPr>
            <w:tcW w:w="400" w:type="pct"/>
            <w:tcBorders>
              <w:tl2br w:val="nil"/>
              <w:tr2bl w:val="nil"/>
            </w:tcBorders>
            <w:shd w:val="clear" w:color="000000" w:fill="FFFFFF"/>
            <w:vAlign w:val="center"/>
          </w:tcPr>
          <w:p w14:paraId="7A701B45">
            <w:pPr>
              <w:widowControl/>
              <w:spacing w:line="240" w:lineRule="auto"/>
              <w:ind w:firstLine="0" w:firstLineChars="0"/>
              <w:jc w:val="center"/>
              <w:rPr>
                <w:kern w:val="0"/>
                <w:sz w:val="21"/>
                <w:szCs w:val="21"/>
                <w:highlight w:val="black"/>
              </w:rPr>
            </w:pPr>
            <w:r>
              <w:rPr>
                <w:sz w:val="20"/>
                <w:highlight w:val="black"/>
              </w:rPr>
              <w:t xml:space="preserve">136.00 </w:t>
            </w:r>
          </w:p>
        </w:tc>
        <w:tc>
          <w:tcPr>
            <w:tcW w:w="519" w:type="pct"/>
            <w:tcBorders>
              <w:tl2br w:val="nil"/>
              <w:tr2bl w:val="nil"/>
            </w:tcBorders>
            <w:shd w:val="clear" w:color="000000" w:fill="FFFFFF"/>
            <w:vAlign w:val="center"/>
          </w:tcPr>
          <w:p w14:paraId="39D30E4B">
            <w:pPr>
              <w:widowControl/>
              <w:spacing w:line="240" w:lineRule="auto"/>
              <w:ind w:firstLine="0" w:firstLineChars="0"/>
              <w:jc w:val="center"/>
              <w:rPr>
                <w:kern w:val="0"/>
                <w:sz w:val="21"/>
                <w:szCs w:val="21"/>
                <w:highlight w:val="black"/>
              </w:rPr>
            </w:pPr>
            <w:r>
              <w:rPr>
                <w:sz w:val="20"/>
                <w:highlight w:val="black"/>
              </w:rPr>
              <w:t xml:space="preserve">7.10 </w:t>
            </w:r>
          </w:p>
        </w:tc>
        <w:tc>
          <w:tcPr>
            <w:tcW w:w="400" w:type="pct"/>
            <w:tcBorders>
              <w:tl2br w:val="nil"/>
              <w:tr2bl w:val="nil"/>
            </w:tcBorders>
            <w:shd w:val="clear" w:color="000000" w:fill="FFFFFF"/>
            <w:vAlign w:val="center"/>
          </w:tcPr>
          <w:p w14:paraId="70D82032">
            <w:pPr>
              <w:widowControl/>
              <w:spacing w:line="240" w:lineRule="auto"/>
              <w:ind w:firstLine="0" w:firstLineChars="0"/>
              <w:jc w:val="center"/>
              <w:rPr>
                <w:kern w:val="0"/>
                <w:sz w:val="21"/>
                <w:szCs w:val="21"/>
                <w:highlight w:val="black"/>
              </w:rPr>
            </w:pPr>
            <w:r>
              <w:rPr>
                <w:sz w:val="20"/>
                <w:highlight w:val="black"/>
              </w:rPr>
              <w:t xml:space="preserve">9.42 </w:t>
            </w:r>
          </w:p>
        </w:tc>
        <w:tc>
          <w:tcPr>
            <w:tcW w:w="489" w:type="pct"/>
            <w:tcBorders>
              <w:tl2br w:val="nil"/>
              <w:tr2bl w:val="nil"/>
            </w:tcBorders>
            <w:shd w:val="clear" w:color="000000" w:fill="FFFFFF"/>
            <w:vAlign w:val="center"/>
          </w:tcPr>
          <w:p w14:paraId="2E580CE9">
            <w:pPr>
              <w:widowControl/>
              <w:spacing w:line="240" w:lineRule="auto"/>
              <w:ind w:firstLine="0" w:firstLineChars="0"/>
              <w:jc w:val="center"/>
              <w:rPr>
                <w:kern w:val="0"/>
                <w:sz w:val="21"/>
                <w:szCs w:val="21"/>
                <w:highlight w:val="black"/>
              </w:rPr>
            </w:pPr>
            <w:r>
              <w:rPr>
                <w:sz w:val="20"/>
                <w:highlight w:val="black"/>
              </w:rPr>
              <w:t xml:space="preserve">68.30 </w:t>
            </w:r>
          </w:p>
        </w:tc>
        <w:tc>
          <w:tcPr>
            <w:tcW w:w="504" w:type="pct"/>
            <w:tcBorders>
              <w:tl2br w:val="nil"/>
              <w:tr2bl w:val="nil"/>
            </w:tcBorders>
            <w:shd w:val="clear" w:color="000000" w:fill="FFFFFF"/>
            <w:vAlign w:val="center"/>
          </w:tcPr>
          <w:p w14:paraId="02F40C1B">
            <w:pPr>
              <w:widowControl/>
              <w:spacing w:line="240" w:lineRule="auto"/>
              <w:ind w:firstLine="0" w:firstLineChars="0"/>
              <w:jc w:val="center"/>
              <w:rPr>
                <w:kern w:val="0"/>
                <w:sz w:val="21"/>
                <w:szCs w:val="21"/>
                <w:highlight w:val="black"/>
              </w:rPr>
            </w:pPr>
            <w:r>
              <w:rPr>
                <w:sz w:val="20"/>
                <w:highlight w:val="black"/>
              </w:rPr>
              <w:t xml:space="preserve">9.62 </w:t>
            </w:r>
          </w:p>
        </w:tc>
        <w:tc>
          <w:tcPr>
            <w:tcW w:w="420" w:type="pct"/>
            <w:tcBorders>
              <w:tl2br w:val="nil"/>
              <w:tr2bl w:val="nil"/>
            </w:tcBorders>
            <w:shd w:val="clear" w:color="000000" w:fill="FFFFFF"/>
            <w:vAlign w:val="center"/>
          </w:tcPr>
          <w:p w14:paraId="678129E5">
            <w:pPr>
              <w:widowControl/>
              <w:spacing w:line="240" w:lineRule="auto"/>
              <w:ind w:firstLine="0" w:firstLineChars="0"/>
              <w:jc w:val="center"/>
              <w:rPr>
                <w:kern w:val="0"/>
                <w:sz w:val="21"/>
                <w:szCs w:val="21"/>
                <w:highlight w:val="black"/>
              </w:rPr>
            </w:pPr>
            <w:r>
              <w:rPr>
                <w:sz w:val="20"/>
                <w:highlight w:val="black"/>
              </w:rPr>
              <w:t xml:space="preserve">317.26 </w:t>
            </w:r>
          </w:p>
        </w:tc>
      </w:tr>
      <w:tr w14:paraId="6AA42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71" w:type="pct"/>
            <w:tcBorders>
              <w:tl2br w:val="nil"/>
              <w:tr2bl w:val="nil"/>
            </w:tcBorders>
            <w:shd w:val="clear" w:color="auto" w:fill="auto"/>
            <w:vAlign w:val="center"/>
          </w:tcPr>
          <w:p w14:paraId="33719DE0">
            <w:pPr>
              <w:widowControl/>
              <w:spacing w:line="240" w:lineRule="auto"/>
              <w:ind w:firstLine="0" w:firstLineChars="0"/>
              <w:jc w:val="center"/>
              <w:rPr>
                <w:kern w:val="0"/>
                <w:sz w:val="21"/>
                <w:szCs w:val="21"/>
                <w:highlight w:val="black"/>
              </w:rPr>
            </w:pPr>
            <w:r>
              <w:rPr>
                <w:kern w:val="0"/>
                <w:sz w:val="21"/>
                <w:szCs w:val="21"/>
                <w:highlight w:val="black"/>
              </w:rPr>
              <w:t>9</w:t>
            </w:r>
          </w:p>
        </w:tc>
        <w:tc>
          <w:tcPr>
            <w:tcW w:w="809" w:type="pct"/>
            <w:tcBorders>
              <w:tl2br w:val="nil"/>
              <w:tr2bl w:val="nil"/>
            </w:tcBorders>
            <w:shd w:val="clear" w:color="000000" w:fill="FFFFFF"/>
            <w:vAlign w:val="center"/>
          </w:tcPr>
          <w:p w14:paraId="28C25BDD">
            <w:pPr>
              <w:widowControl/>
              <w:spacing w:line="240" w:lineRule="auto"/>
              <w:ind w:firstLine="0" w:firstLineChars="0"/>
              <w:jc w:val="center"/>
              <w:rPr>
                <w:kern w:val="0"/>
                <w:sz w:val="21"/>
                <w:szCs w:val="21"/>
                <w:highlight w:val="black"/>
              </w:rPr>
            </w:pPr>
            <w:r>
              <w:rPr>
                <w:sz w:val="20"/>
                <w:highlight w:val="black"/>
              </w:rPr>
              <w:t>合计</w:t>
            </w:r>
          </w:p>
        </w:tc>
        <w:tc>
          <w:tcPr>
            <w:tcW w:w="449" w:type="pct"/>
            <w:tcBorders>
              <w:tl2br w:val="nil"/>
              <w:tr2bl w:val="nil"/>
            </w:tcBorders>
            <w:shd w:val="clear" w:color="000000" w:fill="FFFFFF"/>
            <w:vAlign w:val="center"/>
          </w:tcPr>
          <w:p w14:paraId="434AFDAF">
            <w:pPr>
              <w:widowControl/>
              <w:spacing w:line="240" w:lineRule="auto"/>
              <w:ind w:firstLine="0" w:firstLineChars="0"/>
              <w:jc w:val="center"/>
              <w:rPr>
                <w:kern w:val="0"/>
                <w:sz w:val="21"/>
                <w:szCs w:val="21"/>
                <w:highlight w:val="black"/>
              </w:rPr>
            </w:pPr>
            <w:r>
              <w:rPr>
                <w:rFonts w:hint="eastAsia"/>
                <w:sz w:val="21"/>
                <w:highlight w:val="black"/>
              </w:rPr>
              <w:t>　</w:t>
            </w:r>
          </w:p>
        </w:tc>
        <w:tc>
          <w:tcPr>
            <w:tcW w:w="739" w:type="pct"/>
            <w:tcBorders>
              <w:tl2br w:val="nil"/>
              <w:tr2bl w:val="nil"/>
            </w:tcBorders>
            <w:shd w:val="clear" w:color="000000" w:fill="FFFFFF"/>
            <w:noWrap/>
            <w:vAlign w:val="center"/>
          </w:tcPr>
          <w:p w14:paraId="2EF2F898">
            <w:pPr>
              <w:widowControl/>
              <w:spacing w:line="240" w:lineRule="auto"/>
              <w:ind w:firstLine="0" w:firstLineChars="0"/>
              <w:jc w:val="center"/>
              <w:rPr>
                <w:kern w:val="0"/>
                <w:sz w:val="21"/>
                <w:szCs w:val="21"/>
                <w:highlight w:val="black"/>
              </w:rPr>
            </w:pPr>
            <w:r>
              <w:rPr>
                <w:rFonts w:hint="eastAsia"/>
                <w:sz w:val="21"/>
                <w:highlight w:val="black"/>
              </w:rPr>
              <w:t>　</w:t>
            </w:r>
          </w:p>
        </w:tc>
        <w:tc>
          <w:tcPr>
            <w:tcW w:w="400" w:type="pct"/>
            <w:tcBorders>
              <w:tl2br w:val="nil"/>
              <w:tr2bl w:val="nil"/>
            </w:tcBorders>
            <w:shd w:val="clear" w:color="000000" w:fill="FFFFFF"/>
            <w:noWrap/>
            <w:vAlign w:val="center"/>
          </w:tcPr>
          <w:p w14:paraId="3A37A6C7">
            <w:pPr>
              <w:widowControl/>
              <w:spacing w:line="240" w:lineRule="auto"/>
              <w:ind w:firstLine="0" w:firstLineChars="0"/>
              <w:jc w:val="center"/>
              <w:rPr>
                <w:kern w:val="0"/>
                <w:sz w:val="21"/>
                <w:szCs w:val="21"/>
                <w:highlight w:val="black"/>
              </w:rPr>
            </w:pPr>
            <w:r>
              <w:rPr>
                <w:rFonts w:hint="eastAsia"/>
                <w:sz w:val="21"/>
                <w:highlight w:val="black"/>
              </w:rPr>
              <w:t>　</w:t>
            </w:r>
          </w:p>
        </w:tc>
        <w:tc>
          <w:tcPr>
            <w:tcW w:w="519" w:type="pct"/>
            <w:tcBorders>
              <w:tl2br w:val="nil"/>
              <w:tr2bl w:val="nil"/>
            </w:tcBorders>
            <w:shd w:val="clear" w:color="000000" w:fill="FFFFFF"/>
            <w:noWrap/>
            <w:vAlign w:val="center"/>
          </w:tcPr>
          <w:p w14:paraId="0405E5AE">
            <w:pPr>
              <w:widowControl/>
              <w:spacing w:line="240" w:lineRule="auto"/>
              <w:ind w:firstLine="0" w:firstLineChars="0"/>
              <w:jc w:val="center"/>
              <w:rPr>
                <w:kern w:val="0"/>
                <w:sz w:val="21"/>
                <w:szCs w:val="21"/>
                <w:highlight w:val="black"/>
              </w:rPr>
            </w:pPr>
            <w:r>
              <w:rPr>
                <w:rFonts w:hint="eastAsia"/>
                <w:sz w:val="21"/>
                <w:highlight w:val="black"/>
              </w:rPr>
              <w:t>　</w:t>
            </w:r>
          </w:p>
        </w:tc>
        <w:tc>
          <w:tcPr>
            <w:tcW w:w="400" w:type="pct"/>
            <w:tcBorders>
              <w:tl2br w:val="nil"/>
              <w:tr2bl w:val="nil"/>
            </w:tcBorders>
            <w:shd w:val="clear" w:color="000000" w:fill="FFFFFF"/>
            <w:noWrap/>
            <w:vAlign w:val="center"/>
          </w:tcPr>
          <w:p w14:paraId="7148FF54">
            <w:pPr>
              <w:widowControl/>
              <w:spacing w:line="240" w:lineRule="auto"/>
              <w:ind w:firstLine="0" w:firstLineChars="0"/>
              <w:jc w:val="center"/>
              <w:rPr>
                <w:kern w:val="0"/>
                <w:sz w:val="21"/>
                <w:szCs w:val="21"/>
                <w:highlight w:val="black"/>
              </w:rPr>
            </w:pPr>
            <w:r>
              <w:rPr>
                <w:rFonts w:hint="eastAsia"/>
                <w:sz w:val="21"/>
                <w:highlight w:val="black"/>
              </w:rPr>
              <w:t>　</w:t>
            </w:r>
          </w:p>
        </w:tc>
        <w:tc>
          <w:tcPr>
            <w:tcW w:w="489" w:type="pct"/>
            <w:tcBorders>
              <w:tl2br w:val="nil"/>
              <w:tr2bl w:val="nil"/>
            </w:tcBorders>
            <w:shd w:val="clear" w:color="000000" w:fill="FFFFFF"/>
            <w:vAlign w:val="center"/>
          </w:tcPr>
          <w:p w14:paraId="18781F6C">
            <w:pPr>
              <w:widowControl/>
              <w:spacing w:line="240" w:lineRule="auto"/>
              <w:ind w:firstLine="0" w:firstLineChars="0"/>
              <w:jc w:val="center"/>
              <w:rPr>
                <w:kern w:val="0"/>
                <w:sz w:val="21"/>
                <w:szCs w:val="21"/>
                <w:highlight w:val="black"/>
              </w:rPr>
            </w:pPr>
            <w:r>
              <w:rPr>
                <w:sz w:val="20"/>
                <w:highlight w:val="black"/>
              </w:rPr>
              <w:t>　</w:t>
            </w:r>
          </w:p>
        </w:tc>
        <w:tc>
          <w:tcPr>
            <w:tcW w:w="504" w:type="pct"/>
            <w:tcBorders>
              <w:tl2br w:val="nil"/>
              <w:tr2bl w:val="nil"/>
            </w:tcBorders>
            <w:shd w:val="clear" w:color="000000" w:fill="FFFFFF"/>
            <w:vAlign w:val="center"/>
          </w:tcPr>
          <w:p w14:paraId="535A26E8">
            <w:pPr>
              <w:widowControl/>
              <w:spacing w:line="240" w:lineRule="auto"/>
              <w:ind w:firstLine="0" w:firstLineChars="0"/>
              <w:jc w:val="center"/>
              <w:rPr>
                <w:kern w:val="0"/>
                <w:sz w:val="21"/>
                <w:szCs w:val="21"/>
                <w:highlight w:val="black"/>
              </w:rPr>
            </w:pPr>
            <w:r>
              <w:rPr>
                <w:sz w:val="20"/>
                <w:highlight w:val="black"/>
              </w:rPr>
              <w:t>　</w:t>
            </w:r>
          </w:p>
        </w:tc>
        <w:tc>
          <w:tcPr>
            <w:tcW w:w="420" w:type="pct"/>
            <w:tcBorders>
              <w:tl2br w:val="nil"/>
              <w:tr2bl w:val="nil"/>
            </w:tcBorders>
            <w:shd w:val="clear" w:color="000000" w:fill="FFFFFF"/>
            <w:vAlign w:val="center"/>
          </w:tcPr>
          <w:p w14:paraId="449386B8">
            <w:pPr>
              <w:widowControl/>
              <w:spacing w:line="240" w:lineRule="auto"/>
              <w:ind w:firstLine="0" w:firstLineChars="0"/>
              <w:jc w:val="center"/>
              <w:rPr>
                <w:kern w:val="0"/>
                <w:sz w:val="21"/>
                <w:szCs w:val="21"/>
                <w:highlight w:val="black"/>
              </w:rPr>
            </w:pPr>
            <w:r>
              <w:rPr>
                <w:sz w:val="20"/>
                <w:highlight w:val="black"/>
              </w:rPr>
              <w:t xml:space="preserve">898.37 </w:t>
            </w:r>
          </w:p>
        </w:tc>
      </w:tr>
      <w:tr w14:paraId="35250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vAlign w:val="center"/>
          </w:tcPr>
          <w:p w14:paraId="362D2B66">
            <w:pPr>
              <w:widowControl/>
              <w:spacing w:line="240" w:lineRule="auto"/>
              <w:ind w:firstLine="0" w:firstLineChars="0"/>
              <w:jc w:val="center"/>
              <w:rPr>
                <w:kern w:val="0"/>
                <w:sz w:val="21"/>
                <w:szCs w:val="21"/>
                <w:highlight w:val="black"/>
              </w:rPr>
            </w:pPr>
            <w:r>
              <w:rPr>
                <w:kern w:val="0"/>
                <w:sz w:val="21"/>
                <w:szCs w:val="21"/>
                <w:highlight w:val="black"/>
              </w:rPr>
              <w:t>10</w:t>
            </w:r>
          </w:p>
        </w:tc>
        <w:tc>
          <w:tcPr>
            <w:tcW w:w="1997" w:type="pct"/>
            <w:gridSpan w:val="3"/>
            <w:tcBorders>
              <w:tl2br w:val="nil"/>
              <w:tr2bl w:val="nil"/>
            </w:tcBorders>
            <w:shd w:val="clear" w:color="000000" w:fill="FFFFFF"/>
            <w:noWrap/>
            <w:vAlign w:val="center"/>
          </w:tcPr>
          <w:p w14:paraId="7DE6C82F">
            <w:pPr>
              <w:widowControl/>
              <w:spacing w:line="240" w:lineRule="auto"/>
              <w:ind w:firstLine="0" w:firstLineChars="0"/>
              <w:jc w:val="center"/>
              <w:rPr>
                <w:kern w:val="0"/>
                <w:sz w:val="21"/>
                <w:szCs w:val="21"/>
                <w:highlight w:val="black"/>
              </w:rPr>
            </w:pPr>
            <w:r>
              <w:rPr>
                <w:kern w:val="0"/>
                <w:sz w:val="21"/>
                <w:szCs w:val="21"/>
                <w:highlight w:val="black"/>
              </w:rPr>
              <w:t>考虑1.2局部阻力系数</w:t>
            </w:r>
          </w:p>
        </w:tc>
        <w:tc>
          <w:tcPr>
            <w:tcW w:w="400" w:type="pct"/>
            <w:tcBorders>
              <w:tl2br w:val="nil"/>
              <w:tr2bl w:val="nil"/>
            </w:tcBorders>
            <w:shd w:val="clear" w:color="000000" w:fill="FFFFFF"/>
            <w:noWrap/>
            <w:vAlign w:val="center"/>
          </w:tcPr>
          <w:p w14:paraId="199AB501">
            <w:pPr>
              <w:widowControl/>
              <w:spacing w:line="240" w:lineRule="auto"/>
              <w:ind w:firstLine="0" w:firstLineChars="0"/>
              <w:jc w:val="center"/>
              <w:rPr>
                <w:kern w:val="0"/>
                <w:sz w:val="21"/>
                <w:szCs w:val="21"/>
                <w:highlight w:val="black"/>
              </w:rPr>
            </w:pPr>
            <w:r>
              <w:rPr>
                <w:kern w:val="0"/>
                <w:sz w:val="21"/>
                <w:szCs w:val="21"/>
                <w:highlight w:val="black"/>
              </w:rPr>
              <w:t>　</w:t>
            </w:r>
          </w:p>
        </w:tc>
        <w:tc>
          <w:tcPr>
            <w:tcW w:w="519" w:type="pct"/>
            <w:tcBorders>
              <w:tl2br w:val="nil"/>
              <w:tr2bl w:val="nil"/>
            </w:tcBorders>
            <w:shd w:val="clear" w:color="000000" w:fill="FFFFFF"/>
            <w:noWrap/>
            <w:vAlign w:val="center"/>
          </w:tcPr>
          <w:p w14:paraId="5F1E99A3">
            <w:pPr>
              <w:widowControl/>
              <w:spacing w:line="240" w:lineRule="auto"/>
              <w:ind w:firstLine="0" w:firstLineChars="0"/>
              <w:jc w:val="center"/>
              <w:rPr>
                <w:kern w:val="0"/>
                <w:sz w:val="21"/>
                <w:szCs w:val="21"/>
                <w:highlight w:val="black"/>
              </w:rPr>
            </w:pPr>
            <w:r>
              <w:rPr>
                <w:kern w:val="0"/>
                <w:sz w:val="21"/>
                <w:szCs w:val="21"/>
                <w:highlight w:val="black"/>
              </w:rPr>
              <w:t>　</w:t>
            </w:r>
          </w:p>
        </w:tc>
        <w:tc>
          <w:tcPr>
            <w:tcW w:w="400" w:type="pct"/>
            <w:tcBorders>
              <w:tl2br w:val="nil"/>
              <w:tr2bl w:val="nil"/>
            </w:tcBorders>
            <w:shd w:val="clear" w:color="000000" w:fill="FFFFFF"/>
            <w:noWrap/>
            <w:vAlign w:val="center"/>
          </w:tcPr>
          <w:p w14:paraId="33F8FDD9">
            <w:pPr>
              <w:widowControl/>
              <w:spacing w:line="240" w:lineRule="auto"/>
              <w:ind w:firstLine="0" w:firstLineChars="0"/>
              <w:jc w:val="center"/>
              <w:rPr>
                <w:kern w:val="0"/>
                <w:sz w:val="21"/>
                <w:szCs w:val="21"/>
                <w:highlight w:val="black"/>
              </w:rPr>
            </w:pPr>
            <w:r>
              <w:rPr>
                <w:kern w:val="0"/>
                <w:sz w:val="21"/>
                <w:szCs w:val="21"/>
                <w:highlight w:val="black"/>
              </w:rPr>
              <w:t>　</w:t>
            </w:r>
          </w:p>
        </w:tc>
        <w:tc>
          <w:tcPr>
            <w:tcW w:w="489" w:type="pct"/>
            <w:tcBorders>
              <w:tl2br w:val="nil"/>
              <w:tr2bl w:val="nil"/>
            </w:tcBorders>
            <w:shd w:val="clear" w:color="000000" w:fill="FFFFFF"/>
            <w:noWrap/>
            <w:vAlign w:val="center"/>
          </w:tcPr>
          <w:p w14:paraId="722F3C6E">
            <w:pPr>
              <w:widowControl/>
              <w:spacing w:line="240" w:lineRule="auto"/>
              <w:ind w:firstLine="0" w:firstLineChars="0"/>
              <w:jc w:val="center"/>
              <w:rPr>
                <w:kern w:val="0"/>
                <w:sz w:val="21"/>
                <w:szCs w:val="21"/>
                <w:highlight w:val="black"/>
              </w:rPr>
            </w:pPr>
            <w:r>
              <w:rPr>
                <w:kern w:val="0"/>
                <w:sz w:val="21"/>
                <w:szCs w:val="21"/>
                <w:highlight w:val="black"/>
              </w:rPr>
              <w:t>　</w:t>
            </w:r>
          </w:p>
        </w:tc>
        <w:tc>
          <w:tcPr>
            <w:tcW w:w="504" w:type="pct"/>
            <w:tcBorders>
              <w:tl2br w:val="nil"/>
              <w:tr2bl w:val="nil"/>
            </w:tcBorders>
            <w:shd w:val="clear" w:color="000000" w:fill="FFFFFF"/>
            <w:vAlign w:val="center"/>
          </w:tcPr>
          <w:p w14:paraId="192E368F">
            <w:pPr>
              <w:widowControl/>
              <w:spacing w:line="240" w:lineRule="auto"/>
              <w:ind w:firstLine="0" w:firstLineChars="0"/>
              <w:jc w:val="center"/>
              <w:rPr>
                <w:kern w:val="0"/>
                <w:sz w:val="21"/>
                <w:szCs w:val="21"/>
                <w:highlight w:val="black"/>
              </w:rPr>
            </w:pPr>
            <w:r>
              <w:rPr>
                <w:kern w:val="0"/>
                <w:sz w:val="21"/>
                <w:szCs w:val="21"/>
                <w:highlight w:val="black"/>
              </w:rPr>
              <w:t>　</w:t>
            </w:r>
          </w:p>
        </w:tc>
        <w:tc>
          <w:tcPr>
            <w:tcW w:w="420" w:type="pct"/>
            <w:tcBorders>
              <w:tl2br w:val="nil"/>
              <w:tr2bl w:val="nil"/>
            </w:tcBorders>
            <w:shd w:val="clear" w:color="000000" w:fill="FFFFFF"/>
            <w:vAlign w:val="center"/>
          </w:tcPr>
          <w:p w14:paraId="1CEFC353">
            <w:pPr>
              <w:widowControl/>
              <w:spacing w:line="240" w:lineRule="auto"/>
              <w:ind w:firstLine="0" w:firstLineChars="0"/>
              <w:jc w:val="center"/>
              <w:rPr>
                <w:kern w:val="0"/>
                <w:sz w:val="21"/>
                <w:szCs w:val="21"/>
                <w:highlight w:val="black"/>
              </w:rPr>
            </w:pPr>
            <w:r>
              <w:rPr>
                <w:kern w:val="0"/>
                <w:sz w:val="21"/>
                <w:szCs w:val="21"/>
                <w:highlight w:val="black"/>
              </w:rPr>
              <w:t>10</w:t>
            </w:r>
            <w:r>
              <w:rPr>
                <w:rFonts w:hint="eastAsia"/>
                <w:kern w:val="0"/>
                <w:sz w:val="21"/>
                <w:szCs w:val="21"/>
                <w:highlight w:val="black"/>
              </w:rPr>
              <w:t>78</w:t>
            </w:r>
          </w:p>
        </w:tc>
      </w:tr>
      <w:bookmarkEnd w:id="182"/>
    </w:tbl>
    <w:p w14:paraId="6805D4C5">
      <w:pPr>
        <w:ind w:firstLine="0" w:firstLineChars="0"/>
        <w:rPr>
          <w:rFonts w:ascii="宋体" w:hAnsi="宋体" w:cs="宋体"/>
          <w:b/>
          <w:bCs/>
        </w:rPr>
      </w:pPr>
    </w:p>
    <w:p w14:paraId="42C06B46">
      <w:pPr>
        <w:ind w:firstLine="585"/>
        <w:rPr>
          <w:rFonts w:ascii="宋体" w:hAnsi="宋体" w:cs="宋体"/>
          <w:b/>
          <w:bCs/>
        </w:rPr>
      </w:pPr>
      <w:r>
        <w:rPr>
          <w:rFonts w:hint="eastAsia" w:ascii="宋体" w:hAnsi="宋体" w:cs="宋体"/>
          <w:b/>
          <w:bCs/>
        </w:rPr>
        <w:br w:type="page"/>
      </w:r>
    </w:p>
    <w:p w14:paraId="6AE030DF">
      <w:pPr>
        <w:spacing w:line="240" w:lineRule="auto"/>
        <w:ind w:firstLine="0" w:firstLineChars="0"/>
        <w:jc w:val="center"/>
        <w:rPr>
          <w:b/>
          <w:sz w:val="21"/>
          <w:szCs w:val="21"/>
        </w:rPr>
      </w:pPr>
      <w:r>
        <w:rPr>
          <w:b/>
          <w:sz w:val="21"/>
          <w:szCs w:val="21"/>
        </w:rPr>
        <w:t>表</w:t>
      </w:r>
      <w:r>
        <w:rPr>
          <w:rFonts w:hint="eastAsia"/>
          <w:b/>
          <w:sz w:val="21"/>
          <w:szCs w:val="21"/>
        </w:rPr>
        <w:t>2-17</w:t>
      </w:r>
      <w:r>
        <w:rPr>
          <w:b/>
          <w:sz w:val="21"/>
          <w:szCs w:val="21"/>
        </w:rPr>
        <w:t xml:space="preserve"> 开采困难时期总阻力计算表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364"/>
        <w:gridCol w:w="1267"/>
        <w:gridCol w:w="2081"/>
        <w:gridCol w:w="1128"/>
        <w:gridCol w:w="1463"/>
        <w:gridCol w:w="1128"/>
        <w:gridCol w:w="1378"/>
        <w:gridCol w:w="1420"/>
        <w:gridCol w:w="1182"/>
      </w:tblGrid>
      <w:tr w14:paraId="642C9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35BFD00D">
            <w:pPr>
              <w:widowControl/>
              <w:spacing w:line="240" w:lineRule="auto"/>
              <w:ind w:firstLine="0" w:firstLineChars="0"/>
              <w:jc w:val="center"/>
              <w:rPr>
                <w:kern w:val="0"/>
                <w:sz w:val="21"/>
                <w:szCs w:val="21"/>
                <w:highlight w:val="black"/>
              </w:rPr>
            </w:pPr>
            <w:bookmarkStart w:id="183" w:name="_Hlk185724993"/>
            <w:r>
              <w:rPr>
                <w:kern w:val="0"/>
                <w:sz w:val="21"/>
                <w:szCs w:val="21"/>
                <w:highlight w:val="black"/>
              </w:rPr>
              <w:t>序号</w:t>
            </w:r>
          </w:p>
        </w:tc>
        <w:tc>
          <w:tcPr>
            <w:tcW w:w="834" w:type="pct"/>
            <w:tcBorders>
              <w:tl2br w:val="nil"/>
              <w:tr2bl w:val="nil"/>
            </w:tcBorders>
            <w:shd w:val="clear" w:color="auto" w:fill="auto"/>
            <w:vAlign w:val="center"/>
          </w:tcPr>
          <w:p w14:paraId="1A9D5213">
            <w:pPr>
              <w:widowControl/>
              <w:spacing w:line="240" w:lineRule="auto"/>
              <w:ind w:firstLine="0" w:firstLineChars="0"/>
              <w:jc w:val="center"/>
              <w:rPr>
                <w:kern w:val="0"/>
                <w:sz w:val="21"/>
                <w:szCs w:val="21"/>
                <w:highlight w:val="black"/>
              </w:rPr>
            </w:pPr>
            <w:r>
              <w:rPr>
                <w:kern w:val="0"/>
                <w:sz w:val="21"/>
                <w:szCs w:val="21"/>
                <w:highlight w:val="black"/>
              </w:rPr>
              <w:t>井巷名称</w:t>
            </w:r>
          </w:p>
        </w:tc>
        <w:tc>
          <w:tcPr>
            <w:tcW w:w="447" w:type="pct"/>
            <w:tcBorders>
              <w:tl2br w:val="nil"/>
              <w:tr2bl w:val="nil"/>
            </w:tcBorders>
            <w:shd w:val="clear" w:color="auto" w:fill="auto"/>
            <w:vAlign w:val="center"/>
          </w:tcPr>
          <w:p w14:paraId="20626418">
            <w:pPr>
              <w:widowControl/>
              <w:spacing w:line="240" w:lineRule="auto"/>
              <w:ind w:firstLine="0" w:firstLineChars="0"/>
              <w:jc w:val="center"/>
              <w:rPr>
                <w:kern w:val="0"/>
                <w:sz w:val="21"/>
                <w:szCs w:val="21"/>
                <w:highlight w:val="black"/>
              </w:rPr>
            </w:pPr>
            <w:r>
              <w:rPr>
                <w:kern w:val="0"/>
                <w:sz w:val="21"/>
                <w:szCs w:val="21"/>
                <w:highlight w:val="black"/>
              </w:rPr>
              <w:t>支护形式</w:t>
            </w:r>
          </w:p>
        </w:tc>
        <w:tc>
          <w:tcPr>
            <w:tcW w:w="734" w:type="pct"/>
            <w:tcBorders>
              <w:tl2br w:val="nil"/>
              <w:tr2bl w:val="nil"/>
            </w:tcBorders>
            <w:shd w:val="clear" w:color="auto" w:fill="auto"/>
            <w:vAlign w:val="center"/>
          </w:tcPr>
          <w:p w14:paraId="79A6A13E">
            <w:pPr>
              <w:widowControl/>
              <w:spacing w:line="240" w:lineRule="auto"/>
              <w:ind w:firstLine="0" w:firstLineChars="0"/>
              <w:jc w:val="center"/>
              <w:rPr>
                <w:kern w:val="0"/>
                <w:sz w:val="21"/>
                <w:szCs w:val="21"/>
                <w:highlight w:val="black"/>
              </w:rPr>
            </w:pPr>
            <w:r>
              <w:rPr>
                <w:kern w:val="0"/>
                <w:sz w:val="21"/>
                <w:szCs w:val="21"/>
                <w:highlight w:val="black"/>
              </w:rPr>
              <w:t>阻力系数</w:t>
            </w:r>
            <w:r>
              <w:rPr>
                <w:rFonts w:hint="eastAsia"/>
                <w:kern w:val="0"/>
                <w:sz w:val="21"/>
                <w:szCs w:val="21"/>
                <w:highlight w:val="black"/>
              </w:rPr>
              <w:t>（</w:t>
            </w:r>
            <w:r>
              <w:rPr>
                <w:kern w:val="0"/>
                <w:sz w:val="21"/>
                <w:szCs w:val="21"/>
                <w:highlight w:val="black"/>
              </w:rPr>
              <w:t>a×10</w:t>
            </w:r>
            <w:r>
              <w:rPr>
                <w:kern w:val="0"/>
                <w:sz w:val="21"/>
                <w:szCs w:val="21"/>
                <w:highlight w:val="black"/>
                <w:vertAlign w:val="superscript"/>
              </w:rPr>
              <w:t>-3</w:t>
            </w:r>
            <w:r>
              <w:rPr>
                <w:rFonts w:hint="eastAsia"/>
                <w:kern w:val="0"/>
                <w:sz w:val="21"/>
                <w:szCs w:val="21"/>
                <w:highlight w:val="black"/>
                <w:vertAlign w:val="superscript"/>
              </w:rPr>
              <w:t>）</w:t>
            </w:r>
          </w:p>
        </w:tc>
        <w:tc>
          <w:tcPr>
            <w:tcW w:w="398" w:type="pct"/>
            <w:tcBorders>
              <w:tl2br w:val="nil"/>
              <w:tr2bl w:val="nil"/>
            </w:tcBorders>
            <w:shd w:val="clear" w:color="auto" w:fill="auto"/>
            <w:vAlign w:val="center"/>
          </w:tcPr>
          <w:p w14:paraId="0884AE07">
            <w:pPr>
              <w:widowControl/>
              <w:spacing w:line="240" w:lineRule="auto"/>
              <w:ind w:firstLine="0" w:firstLineChars="0"/>
              <w:jc w:val="center"/>
              <w:rPr>
                <w:kern w:val="0"/>
                <w:sz w:val="21"/>
                <w:szCs w:val="21"/>
                <w:highlight w:val="black"/>
              </w:rPr>
            </w:pPr>
            <w:r>
              <w:rPr>
                <w:kern w:val="0"/>
                <w:sz w:val="21"/>
                <w:szCs w:val="21"/>
                <w:highlight w:val="black"/>
              </w:rPr>
              <w:t>长度</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516" w:type="pct"/>
            <w:tcBorders>
              <w:tl2br w:val="nil"/>
              <w:tr2bl w:val="nil"/>
            </w:tcBorders>
            <w:shd w:val="clear" w:color="auto" w:fill="auto"/>
            <w:vAlign w:val="center"/>
          </w:tcPr>
          <w:p w14:paraId="65150899">
            <w:pPr>
              <w:widowControl/>
              <w:spacing w:line="240" w:lineRule="auto"/>
              <w:ind w:firstLine="0" w:firstLineChars="0"/>
              <w:jc w:val="center"/>
              <w:rPr>
                <w:kern w:val="0"/>
                <w:sz w:val="21"/>
                <w:szCs w:val="21"/>
                <w:highlight w:val="black"/>
              </w:rPr>
            </w:pPr>
            <w:r>
              <w:rPr>
                <w:kern w:val="0"/>
                <w:sz w:val="21"/>
                <w:szCs w:val="21"/>
                <w:highlight w:val="black"/>
              </w:rPr>
              <w:t>净断面</w:t>
            </w:r>
            <w:r>
              <w:rPr>
                <w:rFonts w:hint="eastAsia"/>
                <w:kern w:val="0"/>
                <w:sz w:val="21"/>
                <w:szCs w:val="21"/>
                <w:highlight w:val="black"/>
              </w:rPr>
              <w:t>（</w:t>
            </w:r>
            <w:r>
              <w:rPr>
                <w:kern w:val="0"/>
                <w:sz w:val="21"/>
                <w:szCs w:val="21"/>
                <w:highlight w:val="black"/>
              </w:rPr>
              <w:t>m</w:t>
            </w:r>
            <w:r>
              <w:rPr>
                <w:kern w:val="0"/>
                <w:sz w:val="21"/>
                <w:szCs w:val="21"/>
                <w:highlight w:val="black"/>
                <w:vertAlign w:val="superscript"/>
              </w:rPr>
              <w:t>2</w:t>
            </w:r>
            <w:r>
              <w:rPr>
                <w:rFonts w:hint="eastAsia"/>
                <w:kern w:val="0"/>
                <w:sz w:val="21"/>
                <w:szCs w:val="21"/>
                <w:highlight w:val="black"/>
                <w:vertAlign w:val="superscript"/>
              </w:rPr>
              <w:t>）</w:t>
            </w:r>
          </w:p>
        </w:tc>
        <w:tc>
          <w:tcPr>
            <w:tcW w:w="398" w:type="pct"/>
            <w:tcBorders>
              <w:tl2br w:val="nil"/>
              <w:tr2bl w:val="nil"/>
            </w:tcBorders>
            <w:shd w:val="clear" w:color="auto" w:fill="auto"/>
            <w:vAlign w:val="center"/>
          </w:tcPr>
          <w:p w14:paraId="72F7CF6A">
            <w:pPr>
              <w:widowControl/>
              <w:spacing w:line="240" w:lineRule="auto"/>
              <w:ind w:firstLine="0" w:firstLineChars="0"/>
              <w:jc w:val="center"/>
              <w:rPr>
                <w:kern w:val="0"/>
                <w:sz w:val="21"/>
                <w:szCs w:val="21"/>
                <w:highlight w:val="black"/>
              </w:rPr>
            </w:pPr>
            <w:r>
              <w:rPr>
                <w:kern w:val="0"/>
                <w:sz w:val="21"/>
                <w:szCs w:val="21"/>
                <w:highlight w:val="black"/>
              </w:rPr>
              <w:t>周长</w:t>
            </w:r>
            <w:r>
              <w:rPr>
                <w:rFonts w:hint="eastAsia"/>
                <w:kern w:val="0"/>
                <w:sz w:val="21"/>
                <w:szCs w:val="21"/>
                <w:highlight w:val="black"/>
              </w:rPr>
              <w:t>（</w:t>
            </w:r>
            <w:r>
              <w:rPr>
                <w:kern w:val="0"/>
                <w:sz w:val="21"/>
                <w:szCs w:val="21"/>
                <w:highlight w:val="black"/>
              </w:rPr>
              <w:t>m</w:t>
            </w:r>
            <w:r>
              <w:rPr>
                <w:rFonts w:hint="eastAsia"/>
                <w:kern w:val="0"/>
                <w:sz w:val="21"/>
                <w:szCs w:val="21"/>
                <w:highlight w:val="black"/>
              </w:rPr>
              <w:t>）</w:t>
            </w:r>
          </w:p>
        </w:tc>
        <w:tc>
          <w:tcPr>
            <w:tcW w:w="486" w:type="pct"/>
            <w:tcBorders>
              <w:tl2br w:val="nil"/>
              <w:tr2bl w:val="nil"/>
            </w:tcBorders>
            <w:shd w:val="clear" w:color="auto" w:fill="auto"/>
            <w:vAlign w:val="center"/>
          </w:tcPr>
          <w:p w14:paraId="27DCFCB0">
            <w:pPr>
              <w:widowControl/>
              <w:spacing w:line="240" w:lineRule="auto"/>
              <w:ind w:firstLine="0" w:firstLineChars="0"/>
              <w:jc w:val="center"/>
              <w:rPr>
                <w:kern w:val="0"/>
                <w:sz w:val="21"/>
                <w:szCs w:val="21"/>
                <w:highlight w:val="black"/>
              </w:rPr>
            </w:pPr>
            <w:r>
              <w:rPr>
                <w:kern w:val="0"/>
                <w:sz w:val="21"/>
                <w:szCs w:val="21"/>
                <w:highlight w:val="black"/>
              </w:rPr>
              <w:t>风量</w:t>
            </w:r>
            <w:r>
              <w:rPr>
                <w:rFonts w:hint="eastAsia"/>
                <w:kern w:val="0"/>
                <w:sz w:val="21"/>
                <w:szCs w:val="21"/>
                <w:highlight w:val="black"/>
              </w:rPr>
              <w:t>（</w:t>
            </w:r>
            <w:r>
              <w:rPr>
                <w:kern w:val="0"/>
                <w:sz w:val="21"/>
                <w:szCs w:val="21"/>
                <w:highlight w:val="black"/>
              </w:rPr>
              <w:t>m</w:t>
            </w:r>
            <w:r>
              <w:rPr>
                <w:kern w:val="0"/>
                <w:sz w:val="21"/>
                <w:szCs w:val="21"/>
                <w:highlight w:val="black"/>
                <w:vertAlign w:val="superscript"/>
              </w:rPr>
              <w:t>3</w:t>
            </w:r>
            <w:r>
              <w:rPr>
                <w:kern w:val="0"/>
                <w:sz w:val="21"/>
                <w:szCs w:val="21"/>
                <w:highlight w:val="black"/>
              </w:rPr>
              <w:t>/s</w:t>
            </w:r>
            <w:r>
              <w:rPr>
                <w:rFonts w:hint="eastAsia"/>
                <w:kern w:val="0"/>
                <w:sz w:val="21"/>
                <w:szCs w:val="21"/>
                <w:highlight w:val="black"/>
              </w:rPr>
              <w:t>）</w:t>
            </w:r>
          </w:p>
        </w:tc>
        <w:tc>
          <w:tcPr>
            <w:tcW w:w="501" w:type="pct"/>
            <w:tcBorders>
              <w:tl2br w:val="nil"/>
              <w:tr2bl w:val="nil"/>
            </w:tcBorders>
            <w:shd w:val="clear" w:color="auto" w:fill="auto"/>
            <w:vAlign w:val="center"/>
          </w:tcPr>
          <w:p w14:paraId="63D6A40F">
            <w:pPr>
              <w:widowControl/>
              <w:spacing w:line="240" w:lineRule="auto"/>
              <w:ind w:firstLine="0" w:firstLineChars="0"/>
              <w:jc w:val="center"/>
              <w:rPr>
                <w:kern w:val="0"/>
                <w:sz w:val="21"/>
                <w:szCs w:val="21"/>
                <w:highlight w:val="black"/>
              </w:rPr>
            </w:pPr>
            <w:r>
              <w:rPr>
                <w:kern w:val="0"/>
                <w:sz w:val="21"/>
                <w:szCs w:val="21"/>
                <w:highlight w:val="black"/>
              </w:rPr>
              <w:t>风速 (m/s)</w:t>
            </w:r>
          </w:p>
        </w:tc>
        <w:tc>
          <w:tcPr>
            <w:tcW w:w="417" w:type="pct"/>
            <w:tcBorders>
              <w:tl2br w:val="nil"/>
              <w:tr2bl w:val="nil"/>
            </w:tcBorders>
            <w:shd w:val="clear" w:color="auto" w:fill="auto"/>
            <w:vAlign w:val="center"/>
          </w:tcPr>
          <w:p w14:paraId="3C60AF29">
            <w:pPr>
              <w:widowControl/>
              <w:spacing w:line="240" w:lineRule="auto"/>
              <w:ind w:firstLine="0" w:firstLineChars="0"/>
              <w:jc w:val="center"/>
              <w:rPr>
                <w:kern w:val="0"/>
                <w:sz w:val="21"/>
                <w:szCs w:val="21"/>
                <w:highlight w:val="black"/>
              </w:rPr>
            </w:pPr>
            <w:r>
              <w:rPr>
                <w:kern w:val="0"/>
                <w:sz w:val="21"/>
                <w:szCs w:val="21"/>
                <w:highlight w:val="black"/>
              </w:rPr>
              <w:t>负压</w:t>
            </w:r>
            <w:r>
              <w:rPr>
                <w:rFonts w:hint="eastAsia"/>
                <w:kern w:val="0"/>
                <w:sz w:val="21"/>
                <w:szCs w:val="21"/>
                <w:highlight w:val="black"/>
              </w:rPr>
              <w:t>（</w:t>
            </w:r>
            <w:r>
              <w:rPr>
                <w:kern w:val="0"/>
                <w:sz w:val="21"/>
                <w:szCs w:val="21"/>
                <w:highlight w:val="black"/>
              </w:rPr>
              <w:t>Pa</w:t>
            </w:r>
            <w:r>
              <w:rPr>
                <w:rFonts w:hint="eastAsia"/>
                <w:kern w:val="0"/>
                <w:sz w:val="21"/>
                <w:szCs w:val="21"/>
                <w:highlight w:val="black"/>
              </w:rPr>
              <w:t>）</w:t>
            </w:r>
          </w:p>
        </w:tc>
      </w:tr>
      <w:tr w14:paraId="2DC63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1EC2953F">
            <w:pPr>
              <w:widowControl/>
              <w:spacing w:line="240" w:lineRule="auto"/>
              <w:ind w:firstLine="0" w:firstLineChars="0"/>
              <w:jc w:val="center"/>
              <w:rPr>
                <w:kern w:val="0"/>
                <w:sz w:val="21"/>
                <w:szCs w:val="21"/>
                <w:highlight w:val="black"/>
              </w:rPr>
            </w:pPr>
            <w:r>
              <w:rPr>
                <w:kern w:val="0"/>
                <w:sz w:val="21"/>
                <w:szCs w:val="21"/>
                <w:highlight w:val="black"/>
              </w:rPr>
              <w:t>1</w:t>
            </w:r>
          </w:p>
        </w:tc>
        <w:tc>
          <w:tcPr>
            <w:tcW w:w="834" w:type="pct"/>
            <w:tcBorders>
              <w:tl2br w:val="nil"/>
              <w:tr2bl w:val="nil"/>
            </w:tcBorders>
            <w:shd w:val="clear" w:color="000000" w:fill="FFFFFF"/>
            <w:vAlign w:val="center"/>
          </w:tcPr>
          <w:p w14:paraId="29E4431E">
            <w:pPr>
              <w:widowControl/>
              <w:spacing w:line="240" w:lineRule="auto"/>
              <w:ind w:firstLine="0" w:firstLineChars="0"/>
              <w:jc w:val="center"/>
              <w:rPr>
                <w:kern w:val="0"/>
                <w:sz w:val="21"/>
                <w:szCs w:val="21"/>
                <w:highlight w:val="black"/>
              </w:rPr>
            </w:pPr>
            <w:r>
              <w:rPr>
                <w:rFonts w:hint="eastAsia"/>
                <w:sz w:val="20"/>
                <w:highlight w:val="black"/>
              </w:rPr>
              <w:t>管缆井</w:t>
            </w:r>
          </w:p>
        </w:tc>
        <w:tc>
          <w:tcPr>
            <w:tcW w:w="447" w:type="pct"/>
            <w:tcBorders>
              <w:tl2br w:val="nil"/>
              <w:tr2bl w:val="nil"/>
            </w:tcBorders>
            <w:shd w:val="clear" w:color="000000" w:fill="FFFFFF"/>
            <w:vAlign w:val="center"/>
          </w:tcPr>
          <w:p w14:paraId="34EF9656">
            <w:pPr>
              <w:widowControl/>
              <w:spacing w:line="240" w:lineRule="auto"/>
              <w:ind w:firstLine="0" w:firstLineChars="0"/>
              <w:jc w:val="center"/>
              <w:rPr>
                <w:kern w:val="0"/>
                <w:sz w:val="21"/>
                <w:szCs w:val="21"/>
                <w:highlight w:val="black"/>
              </w:rPr>
            </w:pPr>
            <w:r>
              <w:rPr>
                <w:rFonts w:hint="eastAsia"/>
                <w:sz w:val="20"/>
                <w:highlight w:val="black"/>
              </w:rPr>
              <w:t>砼</w:t>
            </w:r>
          </w:p>
        </w:tc>
        <w:tc>
          <w:tcPr>
            <w:tcW w:w="734" w:type="pct"/>
            <w:tcBorders>
              <w:tl2br w:val="nil"/>
              <w:tr2bl w:val="nil"/>
            </w:tcBorders>
            <w:shd w:val="clear" w:color="000000" w:fill="FFFFFF"/>
            <w:vAlign w:val="center"/>
          </w:tcPr>
          <w:p w14:paraId="6667432C">
            <w:pPr>
              <w:widowControl/>
              <w:spacing w:line="240" w:lineRule="auto"/>
              <w:ind w:firstLine="0" w:firstLineChars="0"/>
              <w:jc w:val="center"/>
              <w:rPr>
                <w:kern w:val="0"/>
                <w:sz w:val="21"/>
                <w:szCs w:val="21"/>
                <w:highlight w:val="black"/>
              </w:rPr>
            </w:pPr>
            <w:r>
              <w:rPr>
                <w:sz w:val="20"/>
                <w:highlight w:val="black"/>
              </w:rPr>
              <w:t xml:space="preserve">19.00 </w:t>
            </w:r>
          </w:p>
        </w:tc>
        <w:tc>
          <w:tcPr>
            <w:tcW w:w="398" w:type="pct"/>
            <w:tcBorders>
              <w:tl2br w:val="nil"/>
              <w:tr2bl w:val="nil"/>
            </w:tcBorders>
            <w:shd w:val="clear" w:color="000000" w:fill="FFFFFF"/>
            <w:vAlign w:val="center"/>
          </w:tcPr>
          <w:p w14:paraId="2288D856">
            <w:pPr>
              <w:widowControl/>
              <w:spacing w:line="240" w:lineRule="auto"/>
              <w:ind w:firstLine="0" w:firstLineChars="0"/>
              <w:jc w:val="center"/>
              <w:rPr>
                <w:kern w:val="0"/>
                <w:sz w:val="21"/>
                <w:szCs w:val="21"/>
                <w:highlight w:val="black"/>
              </w:rPr>
            </w:pPr>
            <w:r>
              <w:rPr>
                <w:sz w:val="20"/>
                <w:highlight w:val="black"/>
              </w:rPr>
              <w:t xml:space="preserve">200.00 </w:t>
            </w:r>
          </w:p>
        </w:tc>
        <w:tc>
          <w:tcPr>
            <w:tcW w:w="516" w:type="pct"/>
            <w:tcBorders>
              <w:tl2br w:val="nil"/>
              <w:tr2bl w:val="nil"/>
            </w:tcBorders>
            <w:shd w:val="clear" w:color="000000" w:fill="FFFFFF"/>
            <w:vAlign w:val="center"/>
          </w:tcPr>
          <w:p w14:paraId="76E01D8D">
            <w:pPr>
              <w:widowControl/>
              <w:spacing w:line="240" w:lineRule="auto"/>
              <w:ind w:firstLine="0" w:firstLineChars="0"/>
              <w:jc w:val="center"/>
              <w:rPr>
                <w:kern w:val="0"/>
                <w:sz w:val="21"/>
                <w:szCs w:val="21"/>
                <w:highlight w:val="black"/>
              </w:rPr>
            </w:pPr>
            <w:r>
              <w:rPr>
                <w:sz w:val="21"/>
                <w:szCs w:val="21"/>
                <w:highlight w:val="black"/>
              </w:rPr>
              <w:t>4.9</w:t>
            </w:r>
          </w:p>
        </w:tc>
        <w:tc>
          <w:tcPr>
            <w:tcW w:w="398" w:type="pct"/>
            <w:tcBorders>
              <w:tl2br w:val="nil"/>
              <w:tr2bl w:val="nil"/>
            </w:tcBorders>
            <w:shd w:val="clear" w:color="000000" w:fill="FFFFFF"/>
            <w:vAlign w:val="center"/>
          </w:tcPr>
          <w:p w14:paraId="0EDAA0EA">
            <w:pPr>
              <w:widowControl/>
              <w:spacing w:line="240" w:lineRule="auto"/>
              <w:ind w:firstLine="0" w:firstLineChars="0"/>
              <w:jc w:val="center"/>
              <w:rPr>
                <w:kern w:val="0"/>
                <w:sz w:val="21"/>
                <w:szCs w:val="21"/>
                <w:highlight w:val="black"/>
              </w:rPr>
            </w:pPr>
            <w:r>
              <w:rPr>
                <w:sz w:val="21"/>
                <w:szCs w:val="21"/>
                <w:highlight w:val="black"/>
              </w:rPr>
              <w:t>7.9</w:t>
            </w:r>
          </w:p>
        </w:tc>
        <w:tc>
          <w:tcPr>
            <w:tcW w:w="486" w:type="pct"/>
            <w:tcBorders>
              <w:tl2br w:val="nil"/>
              <w:tr2bl w:val="nil"/>
            </w:tcBorders>
            <w:shd w:val="clear" w:color="000000" w:fill="FFFFFF"/>
            <w:vAlign w:val="center"/>
          </w:tcPr>
          <w:p w14:paraId="745BD9B1">
            <w:pPr>
              <w:widowControl/>
              <w:spacing w:line="240" w:lineRule="auto"/>
              <w:ind w:firstLine="0" w:firstLineChars="0"/>
              <w:jc w:val="center"/>
              <w:rPr>
                <w:kern w:val="0"/>
                <w:sz w:val="21"/>
                <w:szCs w:val="21"/>
                <w:highlight w:val="black"/>
              </w:rPr>
            </w:pPr>
            <w:r>
              <w:rPr>
                <w:sz w:val="20"/>
                <w:highlight w:val="black"/>
              </w:rPr>
              <w:t xml:space="preserve">52.80 </w:t>
            </w:r>
          </w:p>
        </w:tc>
        <w:tc>
          <w:tcPr>
            <w:tcW w:w="501" w:type="pct"/>
            <w:tcBorders>
              <w:tl2br w:val="nil"/>
              <w:tr2bl w:val="nil"/>
            </w:tcBorders>
            <w:shd w:val="clear" w:color="000000" w:fill="FFFFFF"/>
            <w:vAlign w:val="center"/>
          </w:tcPr>
          <w:p w14:paraId="02BB4D59">
            <w:pPr>
              <w:widowControl/>
              <w:spacing w:line="240" w:lineRule="auto"/>
              <w:ind w:firstLine="0" w:firstLineChars="0"/>
              <w:jc w:val="center"/>
              <w:rPr>
                <w:kern w:val="0"/>
                <w:sz w:val="21"/>
                <w:szCs w:val="21"/>
                <w:highlight w:val="black"/>
              </w:rPr>
            </w:pPr>
            <w:r>
              <w:rPr>
                <w:sz w:val="20"/>
                <w:highlight w:val="black"/>
              </w:rPr>
              <w:t xml:space="preserve">10.78 </w:t>
            </w:r>
          </w:p>
        </w:tc>
        <w:tc>
          <w:tcPr>
            <w:tcW w:w="417" w:type="pct"/>
            <w:tcBorders>
              <w:tl2br w:val="nil"/>
              <w:tr2bl w:val="nil"/>
            </w:tcBorders>
            <w:shd w:val="clear" w:color="000000" w:fill="FFFFFF"/>
            <w:vAlign w:val="center"/>
          </w:tcPr>
          <w:p w14:paraId="6692EE20">
            <w:pPr>
              <w:widowControl/>
              <w:spacing w:line="240" w:lineRule="auto"/>
              <w:ind w:firstLine="0" w:firstLineChars="0"/>
              <w:jc w:val="center"/>
              <w:rPr>
                <w:kern w:val="0"/>
                <w:sz w:val="21"/>
                <w:szCs w:val="21"/>
                <w:highlight w:val="black"/>
              </w:rPr>
            </w:pPr>
            <w:r>
              <w:rPr>
                <w:sz w:val="20"/>
                <w:highlight w:val="black"/>
              </w:rPr>
              <w:t xml:space="preserve">711.36 </w:t>
            </w:r>
          </w:p>
        </w:tc>
      </w:tr>
      <w:tr w14:paraId="7AB21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27DB8195">
            <w:pPr>
              <w:widowControl/>
              <w:spacing w:line="240" w:lineRule="auto"/>
              <w:ind w:firstLine="0" w:firstLineChars="0"/>
              <w:jc w:val="center"/>
              <w:rPr>
                <w:kern w:val="0"/>
                <w:sz w:val="21"/>
                <w:szCs w:val="21"/>
                <w:highlight w:val="black"/>
              </w:rPr>
            </w:pPr>
            <w:r>
              <w:rPr>
                <w:kern w:val="0"/>
                <w:sz w:val="21"/>
                <w:szCs w:val="21"/>
                <w:highlight w:val="black"/>
              </w:rPr>
              <w:t>2</w:t>
            </w:r>
          </w:p>
        </w:tc>
        <w:tc>
          <w:tcPr>
            <w:tcW w:w="834" w:type="pct"/>
            <w:tcBorders>
              <w:tl2br w:val="nil"/>
              <w:tr2bl w:val="nil"/>
            </w:tcBorders>
            <w:shd w:val="clear" w:color="000000" w:fill="FFFFFF"/>
            <w:vAlign w:val="center"/>
          </w:tcPr>
          <w:p w14:paraId="2B0701FA">
            <w:pPr>
              <w:widowControl/>
              <w:spacing w:line="240" w:lineRule="auto"/>
              <w:ind w:firstLine="0" w:firstLineChars="0"/>
              <w:jc w:val="center"/>
              <w:rPr>
                <w:kern w:val="0"/>
                <w:sz w:val="21"/>
                <w:szCs w:val="21"/>
                <w:highlight w:val="black"/>
              </w:rPr>
            </w:pPr>
            <w:r>
              <w:rPr>
                <w:rFonts w:hint="eastAsia"/>
                <w:sz w:val="20"/>
                <w:highlight w:val="black"/>
              </w:rPr>
              <w:t>石门</w:t>
            </w:r>
          </w:p>
        </w:tc>
        <w:tc>
          <w:tcPr>
            <w:tcW w:w="447" w:type="pct"/>
            <w:tcBorders>
              <w:tl2br w:val="nil"/>
              <w:tr2bl w:val="nil"/>
            </w:tcBorders>
            <w:shd w:val="clear" w:color="000000" w:fill="FFFFFF"/>
            <w:vAlign w:val="center"/>
          </w:tcPr>
          <w:p w14:paraId="46E3AD49">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277B9EB7">
            <w:pPr>
              <w:widowControl/>
              <w:spacing w:line="240" w:lineRule="auto"/>
              <w:ind w:firstLine="0" w:firstLineChars="0"/>
              <w:jc w:val="center"/>
              <w:rPr>
                <w:kern w:val="0"/>
                <w:sz w:val="21"/>
                <w:szCs w:val="21"/>
                <w:highlight w:val="black"/>
              </w:rPr>
            </w:pPr>
            <w:r>
              <w:rPr>
                <w:sz w:val="20"/>
                <w:highlight w:val="black"/>
              </w:rPr>
              <w:t xml:space="preserve">19.00 </w:t>
            </w:r>
          </w:p>
        </w:tc>
        <w:tc>
          <w:tcPr>
            <w:tcW w:w="398" w:type="pct"/>
            <w:tcBorders>
              <w:tl2br w:val="nil"/>
              <w:tr2bl w:val="nil"/>
            </w:tcBorders>
            <w:shd w:val="clear" w:color="000000" w:fill="FFFFFF"/>
            <w:vAlign w:val="center"/>
          </w:tcPr>
          <w:p w14:paraId="4C849A1D">
            <w:pPr>
              <w:widowControl/>
              <w:spacing w:line="240" w:lineRule="auto"/>
              <w:ind w:firstLine="0" w:firstLineChars="0"/>
              <w:jc w:val="center"/>
              <w:rPr>
                <w:kern w:val="0"/>
                <w:sz w:val="21"/>
                <w:szCs w:val="21"/>
                <w:highlight w:val="black"/>
              </w:rPr>
            </w:pPr>
            <w:r>
              <w:rPr>
                <w:sz w:val="20"/>
                <w:highlight w:val="black"/>
              </w:rPr>
              <w:t xml:space="preserve">74.00 </w:t>
            </w:r>
          </w:p>
        </w:tc>
        <w:tc>
          <w:tcPr>
            <w:tcW w:w="516" w:type="pct"/>
            <w:tcBorders>
              <w:tl2br w:val="nil"/>
              <w:tr2bl w:val="nil"/>
            </w:tcBorders>
            <w:shd w:val="clear" w:color="000000" w:fill="FFFFFF"/>
            <w:vAlign w:val="center"/>
          </w:tcPr>
          <w:p w14:paraId="161916E4">
            <w:pPr>
              <w:widowControl/>
              <w:spacing w:line="240" w:lineRule="auto"/>
              <w:ind w:firstLine="0" w:firstLineChars="0"/>
              <w:jc w:val="center"/>
              <w:rPr>
                <w:kern w:val="0"/>
                <w:sz w:val="21"/>
                <w:szCs w:val="21"/>
                <w:highlight w:val="black"/>
              </w:rPr>
            </w:pPr>
            <w:r>
              <w:rPr>
                <w:sz w:val="21"/>
                <w:szCs w:val="21"/>
                <w:highlight w:val="black"/>
              </w:rPr>
              <w:t>20.7</w:t>
            </w:r>
          </w:p>
        </w:tc>
        <w:tc>
          <w:tcPr>
            <w:tcW w:w="398" w:type="pct"/>
            <w:tcBorders>
              <w:tl2br w:val="nil"/>
              <w:tr2bl w:val="nil"/>
            </w:tcBorders>
            <w:shd w:val="clear" w:color="000000" w:fill="FFFFFF"/>
            <w:vAlign w:val="center"/>
          </w:tcPr>
          <w:p w14:paraId="5B8FDFD3">
            <w:pPr>
              <w:widowControl/>
              <w:spacing w:line="240" w:lineRule="auto"/>
              <w:ind w:firstLine="0" w:firstLineChars="0"/>
              <w:jc w:val="center"/>
              <w:rPr>
                <w:kern w:val="0"/>
                <w:sz w:val="21"/>
                <w:szCs w:val="21"/>
                <w:highlight w:val="black"/>
              </w:rPr>
            </w:pPr>
            <w:r>
              <w:rPr>
                <w:sz w:val="21"/>
                <w:szCs w:val="21"/>
                <w:highlight w:val="black"/>
              </w:rPr>
              <w:t>12.32</w:t>
            </w:r>
          </w:p>
        </w:tc>
        <w:tc>
          <w:tcPr>
            <w:tcW w:w="486" w:type="pct"/>
            <w:tcBorders>
              <w:tl2br w:val="nil"/>
              <w:tr2bl w:val="nil"/>
            </w:tcBorders>
            <w:shd w:val="clear" w:color="000000" w:fill="FFFFFF"/>
            <w:vAlign w:val="center"/>
          </w:tcPr>
          <w:p w14:paraId="398A87EE">
            <w:pPr>
              <w:widowControl/>
              <w:spacing w:line="240" w:lineRule="auto"/>
              <w:ind w:firstLine="0" w:firstLineChars="0"/>
              <w:jc w:val="center"/>
              <w:rPr>
                <w:kern w:val="0"/>
                <w:sz w:val="21"/>
                <w:szCs w:val="21"/>
                <w:highlight w:val="black"/>
              </w:rPr>
            </w:pPr>
            <w:r>
              <w:rPr>
                <w:sz w:val="20"/>
                <w:highlight w:val="black"/>
              </w:rPr>
              <w:t xml:space="preserve">68.30 </w:t>
            </w:r>
          </w:p>
        </w:tc>
        <w:tc>
          <w:tcPr>
            <w:tcW w:w="501" w:type="pct"/>
            <w:tcBorders>
              <w:tl2br w:val="nil"/>
              <w:tr2bl w:val="nil"/>
            </w:tcBorders>
            <w:shd w:val="clear" w:color="000000" w:fill="FFFFFF"/>
            <w:vAlign w:val="center"/>
          </w:tcPr>
          <w:p w14:paraId="128D8CFB">
            <w:pPr>
              <w:widowControl/>
              <w:spacing w:line="240" w:lineRule="auto"/>
              <w:ind w:firstLine="0" w:firstLineChars="0"/>
              <w:jc w:val="center"/>
              <w:rPr>
                <w:kern w:val="0"/>
                <w:sz w:val="21"/>
                <w:szCs w:val="21"/>
                <w:highlight w:val="black"/>
              </w:rPr>
            </w:pPr>
            <w:r>
              <w:rPr>
                <w:sz w:val="20"/>
                <w:highlight w:val="black"/>
              </w:rPr>
              <w:t xml:space="preserve">3.30 </w:t>
            </w:r>
          </w:p>
        </w:tc>
        <w:tc>
          <w:tcPr>
            <w:tcW w:w="417" w:type="pct"/>
            <w:tcBorders>
              <w:tl2br w:val="nil"/>
              <w:tr2bl w:val="nil"/>
            </w:tcBorders>
            <w:shd w:val="clear" w:color="000000" w:fill="FFFFFF"/>
            <w:vAlign w:val="center"/>
          </w:tcPr>
          <w:p w14:paraId="5B6632A7">
            <w:pPr>
              <w:widowControl/>
              <w:spacing w:line="240" w:lineRule="auto"/>
              <w:ind w:firstLine="0" w:firstLineChars="0"/>
              <w:jc w:val="center"/>
              <w:rPr>
                <w:kern w:val="0"/>
                <w:sz w:val="21"/>
                <w:szCs w:val="21"/>
                <w:highlight w:val="black"/>
              </w:rPr>
            </w:pPr>
            <w:r>
              <w:rPr>
                <w:sz w:val="20"/>
                <w:highlight w:val="black"/>
              </w:rPr>
              <w:t xml:space="preserve">9.11 </w:t>
            </w:r>
          </w:p>
        </w:tc>
      </w:tr>
      <w:tr w14:paraId="3ABC8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1D1E79D2">
            <w:pPr>
              <w:widowControl/>
              <w:spacing w:line="240" w:lineRule="auto"/>
              <w:ind w:firstLine="0" w:firstLineChars="0"/>
              <w:jc w:val="center"/>
              <w:rPr>
                <w:kern w:val="0"/>
                <w:sz w:val="21"/>
                <w:szCs w:val="21"/>
                <w:highlight w:val="black"/>
              </w:rPr>
            </w:pPr>
            <w:r>
              <w:rPr>
                <w:kern w:val="0"/>
                <w:sz w:val="21"/>
                <w:szCs w:val="21"/>
                <w:highlight w:val="black"/>
              </w:rPr>
              <w:t>3</w:t>
            </w:r>
          </w:p>
        </w:tc>
        <w:tc>
          <w:tcPr>
            <w:tcW w:w="834" w:type="pct"/>
            <w:tcBorders>
              <w:tl2br w:val="nil"/>
              <w:tr2bl w:val="nil"/>
            </w:tcBorders>
            <w:shd w:val="clear" w:color="000000" w:fill="FFFFFF"/>
            <w:vAlign w:val="center"/>
          </w:tcPr>
          <w:p w14:paraId="35343333">
            <w:pPr>
              <w:widowControl/>
              <w:spacing w:line="240" w:lineRule="auto"/>
              <w:ind w:firstLine="0" w:firstLineChars="0"/>
              <w:jc w:val="center"/>
              <w:rPr>
                <w:kern w:val="0"/>
                <w:sz w:val="21"/>
                <w:szCs w:val="21"/>
                <w:highlight w:val="black"/>
              </w:rPr>
            </w:pPr>
            <w:r>
              <w:rPr>
                <w:rFonts w:hint="eastAsia"/>
                <w:sz w:val="20"/>
                <w:highlight w:val="black"/>
              </w:rPr>
              <w:t>-40m中段运输巷道</w:t>
            </w:r>
          </w:p>
        </w:tc>
        <w:tc>
          <w:tcPr>
            <w:tcW w:w="447" w:type="pct"/>
            <w:tcBorders>
              <w:tl2br w:val="nil"/>
              <w:tr2bl w:val="nil"/>
            </w:tcBorders>
            <w:shd w:val="clear" w:color="000000" w:fill="FFFFFF"/>
            <w:vAlign w:val="center"/>
          </w:tcPr>
          <w:p w14:paraId="2E9CF110">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55D8BBDE">
            <w:pPr>
              <w:widowControl/>
              <w:spacing w:line="240" w:lineRule="auto"/>
              <w:ind w:firstLine="0" w:firstLineChars="0"/>
              <w:jc w:val="center"/>
              <w:rPr>
                <w:kern w:val="0"/>
                <w:sz w:val="21"/>
                <w:szCs w:val="21"/>
                <w:highlight w:val="black"/>
              </w:rPr>
            </w:pPr>
            <w:r>
              <w:rPr>
                <w:sz w:val="20"/>
                <w:highlight w:val="black"/>
              </w:rPr>
              <w:t xml:space="preserve">19.00 </w:t>
            </w:r>
          </w:p>
        </w:tc>
        <w:tc>
          <w:tcPr>
            <w:tcW w:w="398" w:type="pct"/>
            <w:tcBorders>
              <w:tl2br w:val="nil"/>
              <w:tr2bl w:val="nil"/>
            </w:tcBorders>
            <w:shd w:val="clear" w:color="000000" w:fill="FFFFFF"/>
            <w:vAlign w:val="center"/>
          </w:tcPr>
          <w:p w14:paraId="76AC114E">
            <w:pPr>
              <w:widowControl/>
              <w:spacing w:line="240" w:lineRule="auto"/>
              <w:ind w:firstLine="0" w:firstLineChars="0"/>
              <w:jc w:val="center"/>
              <w:rPr>
                <w:kern w:val="0"/>
                <w:sz w:val="21"/>
                <w:szCs w:val="21"/>
                <w:highlight w:val="black"/>
              </w:rPr>
            </w:pPr>
            <w:r>
              <w:rPr>
                <w:sz w:val="20"/>
                <w:highlight w:val="black"/>
              </w:rPr>
              <w:t xml:space="preserve">48.00 </w:t>
            </w:r>
          </w:p>
        </w:tc>
        <w:tc>
          <w:tcPr>
            <w:tcW w:w="516" w:type="pct"/>
            <w:tcBorders>
              <w:tl2br w:val="nil"/>
              <w:tr2bl w:val="nil"/>
            </w:tcBorders>
            <w:shd w:val="clear" w:color="000000" w:fill="FFFFFF"/>
            <w:vAlign w:val="center"/>
          </w:tcPr>
          <w:p w14:paraId="4220DF7D">
            <w:pPr>
              <w:widowControl/>
              <w:spacing w:line="240" w:lineRule="auto"/>
              <w:ind w:firstLine="0" w:firstLineChars="0"/>
              <w:jc w:val="center"/>
              <w:rPr>
                <w:kern w:val="0"/>
                <w:sz w:val="21"/>
                <w:szCs w:val="21"/>
                <w:highlight w:val="black"/>
              </w:rPr>
            </w:pPr>
            <w:r>
              <w:rPr>
                <w:sz w:val="20"/>
                <w:highlight w:val="black"/>
              </w:rPr>
              <w:t xml:space="preserve">20.70 </w:t>
            </w:r>
          </w:p>
        </w:tc>
        <w:tc>
          <w:tcPr>
            <w:tcW w:w="398" w:type="pct"/>
            <w:tcBorders>
              <w:tl2br w:val="nil"/>
              <w:tr2bl w:val="nil"/>
            </w:tcBorders>
            <w:shd w:val="clear" w:color="000000" w:fill="FFFFFF"/>
            <w:vAlign w:val="center"/>
          </w:tcPr>
          <w:p w14:paraId="022A8585">
            <w:pPr>
              <w:widowControl/>
              <w:spacing w:line="240" w:lineRule="auto"/>
              <w:ind w:firstLine="0" w:firstLineChars="0"/>
              <w:jc w:val="center"/>
              <w:rPr>
                <w:kern w:val="0"/>
                <w:sz w:val="21"/>
                <w:szCs w:val="21"/>
                <w:highlight w:val="black"/>
              </w:rPr>
            </w:pPr>
            <w:r>
              <w:rPr>
                <w:sz w:val="20"/>
                <w:highlight w:val="black"/>
              </w:rPr>
              <w:t xml:space="preserve">11.20 </w:t>
            </w:r>
          </w:p>
        </w:tc>
        <w:tc>
          <w:tcPr>
            <w:tcW w:w="486" w:type="pct"/>
            <w:tcBorders>
              <w:tl2br w:val="nil"/>
              <w:tr2bl w:val="nil"/>
            </w:tcBorders>
            <w:shd w:val="clear" w:color="000000" w:fill="FFFFFF"/>
            <w:vAlign w:val="center"/>
          </w:tcPr>
          <w:p w14:paraId="34510141">
            <w:pPr>
              <w:widowControl/>
              <w:spacing w:line="240" w:lineRule="auto"/>
              <w:ind w:firstLine="0" w:firstLineChars="0"/>
              <w:jc w:val="center"/>
              <w:rPr>
                <w:kern w:val="0"/>
                <w:sz w:val="21"/>
                <w:szCs w:val="21"/>
                <w:highlight w:val="black"/>
              </w:rPr>
            </w:pPr>
            <w:r>
              <w:rPr>
                <w:sz w:val="20"/>
                <w:highlight w:val="black"/>
              </w:rPr>
              <w:t xml:space="preserve">64.60 </w:t>
            </w:r>
          </w:p>
        </w:tc>
        <w:tc>
          <w:tcPr>
            <w:tcW w:w="501" w:type="pct"/>
            <w:tcBorders>
              <w:tl2br w:val="nil"/>
              <w:tr2bl w:val="nil"/>
            </w:tcBorders>
            <w:shd w:val="clear" w:color="000000" w:fill="FFFFFF"/>
            <w:vAlign w:val="center"/>
          </w:tcPr>
          <w:p w14:paraId="22A9EE76">
            <w:pPr>
              <w:widowControl/>
              <w:spacing w:line="240" w:lineRule="auto"/>
              <w:ind w:firstLine="0" w:firstLineChars="0"/>
              <w:jc w:val="center"/>
              <w:rPr>
                <w:kern w:val="0"/>
                <w:sz w:val="21"/>
                <w:szCs w:val="21"/>
                <w:highlight w:val="black"/>
              </w:rPr>
            </w:pPr>
            <w:r>
              <w:rPr>
                <w:sz w:val="20"/>
                <w:highlight w:val="black"/>
              </w:rPr>
              <w:t xml:space="preserve">3.12 </w:t>
            </w:r>
          </w:p>
        </w:tc>
        <w:tc>
          <w:tcPr>
            <w:tcW w:w="417" w:type="pct"/>
            <w:tcBorders>
              <w:tl2br w:val="nil"/>
              <w:tr2bl w:val="nil"/>
            </w:tcBorders>
            <w:shd w:val="clear" w:color="000000" w:fill="FFFFFF"/>
            <w:vAlign w:val="center"/>
          </w:tcPr>
          <w:p w14:paraId="6C2DF929">
            <w:pPr>
              <w:widowControl/>
              <w:spacing w:line="240" w:lineRule="auto"/>
              <w:ind w:firstLine="0" w:firstLineChars="0"/>
              <w:jc w:val="center"/>
              <w:rPr>
                <w:kern w:val="0"/>
                <w:sz w:val="21"/>
                <w:szCs w:val="21"/>
                <w:highlight w:val="black"/>
              </w:rPr>
            </w:pPr>
            <w:r>
              <w:rPr>
                <w:sz w:val="20"/>
                <w:highlight w:val="black"/>
              </w:rPr>
              <w:t xml:space="preserve">4.81 </w:t>
            </w:r>
          </w:p>
        </w:tc>
      </w:tr>
      <w:tr w14:paraId="47BD2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6CAD8E13">
            <w:pPr>
              <w:widowControl/>
              <w:spacing w:line="240" w:lineRule="auto"/>
              <w:ind w:firstLine="0" w:firstLineChars="0"/>
              <w:jc w:val="center"/>
              <w:rPr>
                <w:kern w:val="0"/>
                <w:sz w:val="21"/>
                <w:szCs w:val="21"/>
                <w:highlight w:val="black"/>
              </w:rPr>
            </w:pPr>
            <w:r>
              <w:rPr>
                <w:kern w:val="0"/>
                <w:sz w:val="21"/>
                <w:szCs w:val="21"/>
                <w:highlight w:val="black"/>
              </w:rPr>
              <w:t>4</w:t>
            </w:r>
          </w:p>
        </w:tc>
        <w:tc>
          <w:tcPr>
            <w:tcW w:w="834" w:type="pct"/>
            <w:tcBorders>
              <w:tl2br w:val="nil"/>
              <w:tr2bl w:val="nil"/>
            </w:tcBorders>
            <w:shd w:val="clear" w:color="000000" w:fill="FFFFFF"/>
            <w:vAlign w:val="center"/>
          </w:tcPr>
          <w:p w14:paraId="59306E21">
            <w:pPr>
              <w:widowControl/>
              <w:spacing w:line="240" w:lineRule="auto"/>
              <w:ind w:firstLine="0" w:firstLineChars="0"/>
              <w:jc w:val="center"/>
              <w:rPr>
                <w:kern w:val="0"/>
                <w:sz w:val="21"/>
                <w:szCs w:val="21"/>
                <w:highlight w:val="black"/>
              </w:rPr>
            </w:pPr>
            <w:r>
              <w:rPr>
                <w:sz w:val="20"/>
                <w:highlight w:val="black"/>
              </w:rPr>
              <w:t>采场</w:t>
            </w:r>
          </w:p>
        </w:tc>
        <w:tc>
          <w:tcPr>
            <w:tcW w:w="447" w:type="pct"/>
            <w:tcBorders>
              <w:tl2br w:val="nil"/>
              <w:tr2bl w:val="nil"/>
            </w:tcBorders>
            <w:shd w:val="clear" w:color="000000" w:fill="FFFFFF"/>
            <w:vAlign w:val="center"/>
          </w:tcPr>
          <w:p w14:paraId="31FDD250">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717A173C">
            <w:pPr>
              <w:widowControl/>
              <w:spacing w:line="240" w:lineRule="auto"/>
              <w:ind w:firstLine="0" w:firstLineChars="0"/>
              <w:jc w:val="center"/>
              <w:rPr>
                <w:kern w:val="0"/>
                <w:sz w:val="21"/>
                <w:szCs w:val="21"/>
                <w:highlight w:val="black"/>
              </w:rPr>
            </w:pPr>
            <w:r>
              <w:rPr>
                <w:sz w:val="20"/>
                <w:highlight w:val="black"/>
              </w:rPr>
              <w:t xml:space="preserve">30.00 </w:t>
            </w:r>
          </w:p>
        </w:tc>
        <w:tc>
          <w:tcPr>
            <w:tcW w:w="398" w:type="pct"/>
            <w:tcBorders>
              <w:tl2br w:val="nil"/>
              <w:tr2bl w:val="nil"/>
            </w:tcBorders>
            <w:shd w:val="clear" w:color="000000" w:fill="FFFFFF"/>
            <w:vAlign w:val="center"/>
          </w:tcPr>
          <w:p w14:paraId="73DA4045">
            <w:pPr>
              <w:widowControl/>
              <w:spacing w:line="240" w:lineRule="auto"/>
              <w:ind w:firstLine="0" w:firstLineChars="0"/>
              <w:jc w:val="center"/>
              <w:rPr>
                <w:kern w:val="0"/>
                <w:sz w:val="21"/>
                <w:szCs w:val="21"/>
                <w:highlight w:val="black"/>
              </w:rPr>
            </w:pPr>
            <w:r>
              <w:rPr>
                <w:sz w:val="20"/>
                <w:highlight w:val="black"/>
              </w:rPr>
              <w:t xml:space="preserve">50.00 </w:t>
            </w:r>
          </w:p>
        </w:tc>
        <w:tc>
          <w:tcPr>
            <w:tcW w:w="516" w:type="pct"/>
            <w:tcBorders>
              <w:tl2br w:val="nil"/>
              <w:tr2bl w:val="nil"/>
            </w:tcBorders>
            <w:shd w:val="clear" w:color="000000" w:fill="FFFFFF"/>
            <w:vAlign w:val="center"/>
          </w:tcPr>
          <w:p w14:paraId="16E0916D">
            <w:pPr>
              <w:widowControl/>
              <w:spacing w:line="240" w:lineRule="auto"/>
              <w:ind w:firstLine="0" w:firstLineChars="0"/>
              <w:jc w:val="center"/>
              <w:rPr>
                <w:kern w:val="0"/>
                <w:sz w:val="21"/>
                <w:szCs w:val="21"/>
                <w:highlight w:val="black"/>
              </w:rPr>
            </w:pPr>
            <w:r>
              <w:rPr>
                <w:sz w:val="21"/>
                <w:szCs w:val="21"/>
                <w:highlight w:val="black"/>
              </w:rPr>
              <w:t>150</w:t>
            </w:r>
          </w:p>
        </w:tc>
        <w:tc>
          <w:tcPr>
            <w:tcW w:w="398" w:type="pct"/>
            <w:tcBorders>
              <w:tl2br w:val="nil"/>
              <w:tr2bl w:val="nil"/>
            </w:tcBorders>
            <w:shd w:val="clear" w:color="000000" w:fill="FFFFFF"/>
            <w:vAlign w:val="center"/>
          </w:tcPr>
          <w:p w14:paraId="4037CDE7">
            <w:pPr>
              <w:widowControl/>
              <w:spacing w:line="240" w:lineRule="auto"/>
              <w:ind w:firstLine="0" w:firstLineChars="0"/>
              <w:jc w:val="center"/>
              <w:rPr>
                <w:kern w:val="0"/>
                <w:sz w:val="21"/>
                <w:szCs w:val="21"/>
                <w:highlight w:val="black"/>
              </w:rPr>
            </w:pPr>
            <w:r>
              <w:rPr>
                <w:sz w:val="21"/>
                <w:szCs w:val="21"/>
                <w:highlight w:val="black"/>
              </w:rPr>
              <w:t>50</w:t>
            </w:r>
          </w:p>
        </w:tc>
        <w:tc>
          <w:tcPr>
            <w:tcW w:w="486" w:type="pct"/>
            <w:tcBorders>
              <w:tl2br w:val="nil"/>
              <w:tr2bl w:val="nil"/>
            </w:tcBorders>
            <w:shd w:val="clear" w:color="000000" w:fill="FFFFFF"/>
            <w:vAlign w:val="center"/>
          </w:tcPr>
          <w:p w14:paraId="37E2DF73">
            <w:pPr>
              <w:widowControl/>
              <w:spacing w:line="240" w:lineRule="auto"/>
              <w:ind w:firstLine="0" w:firstLineChars="0"/>
              <w:jc w:val="center"/>
              <w:rPr>
                <w:kern w:val="0"/>
                <w:sz w:val="21"/>
                <w:szCs w:val="21"/>
                <w:highlight w:val="black"/>
              </w:rPr>
            </w:pPr>
            <w:r>
              <w:rPr>
                <w:sz w:val="20"/>
                <w:highlight w:val="black"/>
              </w:rPr>
              <w:t xml:space="preserve">3.80 </w:t>
            </w:r>
          </w:p>
        </w:tc>
        <w:tc>
          <w:tcPr>
            <w:tcW w:w="501" w:type="pct"/>
            <w:tcBorders>
              <w:tl2br w:val="nil"/>
              <w:tr2bl w:val="nil"/>
            </w:tcBorders>
            <w:shd w:val="clear" w:color="000000" w:fill="FFFFFF"/>
            <w:vAlign w:val="center"/>
          </w:tcPr>
          <w:p w14:paraId="15A31207">
            <w:pPr>
              <w:widowControl/>
              <w:spacing w:line="240" w:lineRule="auto"/>
              <w:ind w:firstLine="0" w:firstLineChars="0"/>
              <w:jc w:val="center"/>
              <w:rPr>
                <w:kern w:val="0"/>
                <w:sz w:val="21"/>
                <w:szCs w:val="21"/>
                <w:highlight w:val="black"/>
              </w:rPr>
            </w:pPr>
            <w:r>
              <w:rPr>
                <w:sz w:val="20"/>
                <w:highlight w:val="black"/>
              </w:rPr>
              <w:t xml:space="preserve">0.03 </w:t>
            </w:r>
          </w:p>
        </w:tc>
        <w:tc>
          <w:tcPr>
            <w:tcW w:w="417" w:type="pct"/>
            <w:tcBorders>
              <w:tl2br w:val="nil"/>
              <w:tr2bl w:val="nil"/>
            </w:tcBorders>
            <w:shd w:val="clear" w:color="000000" w:fill="FFFFFF"/>
            <w:vAlign w:val="center"/>
          </w:tcPr>
          <w:p w14:paraId="2BF74274">
            <w:pPr>
              <w:widowControl/>
              <w:spacing w:line="240" w:lineRule="auto"/>
              <w:ind w:firstLine="0" w:firstLineChars="0"/>
              <w:jc w:val="center"/>
              <w:rPr>
                <w:kern w:val="0"/>
                <w:sz w:val="21"/>
                <w:szCs w:val="21"/>
                <w:highlight w:val="black"/>
              </w:rPr>
            </w:pPr>
            <w:r>
              <w:rPr>
                <w:sz w:val="20"/>
                <w:highlight w:val="black"/>
              </w:rPr>
              <w:t xml:space="preserve">0.00 </w:t>
            </w:r>
          </w:p>
        </w:tc>
      </w:tr>
      <w:tr w14:paraId="55524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3D9694D8">
            <w:pPr>
              <w:widowControl/>
              <w:spacing w:line="240" w:lineRule="auto"/>
              <w:ind w:firstLine="0" w:firstLineChars="0"/>
              <w:jc w:val="center"/>
              <w:rPr>
                <w:kern w:val="0"/>
                <w:sz w:val="21"/>
                <w:szCs w:val="21"/>
                <w:highlight w:val="black"/>
              </w:rPr>
            </w:pPr>
            <w:r>
              <w:rPr>
                <w:kern w:val="0"/>
                <w:sz w:val="21"/>
                <w:szCs w:val="21"/>
                <w:highlight w:val="black"/>
              </w:rPr>
              <w:t>5</w:t>
            </w:r>
          </w:p>
        </w:tc>
        <w:tc>
          <w:tcPr>
            <w:tcW w:w="834" w:type="pct"/>
            <w:tcBorders>
              <w:tl2br w:val="nil"/>
              <w:tr2bl w:val="nil"/>
            </w:tcBorders>
            <w:shd w:val="clear" w:color="000000" w:fill="FFFFFF"/>
            <w:vAlign w:val="center"/>
          </w:tcPr>
          <w:p w14:paraId="54D8F138">
            <w:pPr>
              <w:widowControl/>
              <w:spacing w:line="240" w:lineRule="auto"/>
              <w:ind w:firstLine="0" w:firstLineChars="0"/>
              <w:jc w:val="center"/>
              <w:rPr>
                <w:kern w:val="0"/>
                <w:sz w:val="21"/>
                <w:szCs w:val="21"/>
                <w:highlight w:val="black"/>
              </w:rPr>
            </w:pPr>
            <w:r>
              <w:rPr>
                <w:rFonts w:hint="eastAsia"/>
                <w:sz w:val="20"/>
                <w:highlight w:val="black"/>
              </w:rPr>
              <w:t>回风天井</w:t>
            </w:r>
          </w:p>
        </w:tc>
        <w:tc>
          <w:tcPr>
            <w:tcW w:w="447" w:type="pct"/>
            <w:tcBorders>
              <w:tl2br w:val="nil"/>
              <w:tr2bl w:val="nil"/>
            </w:tcBorders>
            <w:shd w:val="clear" w:color="000000" w:fill="FFFFFF"/>
            <w:vAlign w:val="center"/>
          </w:tcPr>
          <w:p w14:paraId="21AAC783">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2FB4C216">
            <w:pPr>
              <w:widowControl/>
              <w:spacing w:line="240" w:lineRule="auto"/>
              <w:ind w:firstLine="0" w:firstLineChars="0"/>
              <w:jc w:val="center"/>
              <w:rPr>
                <w:kern w:val="0"/>
                <w:sz w:val="21"/>
                <w:szCs w:val="21"/>
                <w:highlight w:val="black"/>
              </w:rPr>
            </w:pPr>
            <w:r>
              <w:rPr>
                <w:sz w:val="20"/>
                <w:highlight w:val="black"/>
              </w:rPr>
              <w:t xml:space="preserve">18.00 </w:t>
            </w:r>
          </w:p>
        </w:tc>
        <w:tc>
          <w:tcPr>
            <w:tcW w:w="398" w:type="pct"/>
            <w:tcBorders>
              <w:tl2br w:val="nil"/>
              <w:tr2bl w:val="nil"/>
            </w:tcBorders>
            <w:shd w:val="clear" w:color="000000" w:fill="FFFFFF"/>
            <w:vAlign w:val="center"/>
          </w:tcPr>
          <w:p w14:paraId="44868322">
            <w:pPr>
              <w:widowControl/>
              <w:spacing w:line="240" w:lineRule="auto"/>
              <w:ind w:firstLine="0" w:firstLineChars="0"/>
              <w:jc w:val="center"/>
              <w:rPr>
                <w:kern w:val="0"/>
                <w:sz w:val="21"/>
                <w:szCs w:val="21"/>
                <w:highlight w:val="black"/>
              </w:rPr>
            </w:pPr>
            <w:r>
              <w:rPr>
                <w:sz w:val="20"/>
                <w:highlight w:val="black"/>
              </w:rPr>
              <w:t xml:space="preserve">40.00 </w:t>
            </w:r>
          </w:p>
        </w:tc>
        <w:tc>
          <w:tcPr>
            <w:tcW w:w="516" w:type="pct"/>
            <w:tcBorders>
              <w:tl2br w:val="nil"/>
              <w:tr2bl w:val="nil"/>
            </w:tcBorders>
            <w:shd w:val="clear" w:color="000000" w:fill="FFFFFF"/>
            <w:vAlign w:val="center"/>
          </w:tcPr>
          <w:p w14:paraId="77619194">
            <w:pPr>
              <w:widowControl/>
              <w:spacing w:line="240" w:lineRule="auto"/>
              <w:ind w:firstLine="0" w:firstLineChars="0"/>
              <w:jc w:val="center"/>
              <w:rPr>
                <w:kern w:val="0"/>
                <w:sz w:val="21"/>
                <w:szCs w:val="21"/>
                <w:highlight w:val="black"/>
              </w:rPr>
            </w:pPr>
            <w:r>
              <w:rPr>
                <w:sz w:val="21"/>
                <w:szCs w:val="21"/>
                <w:highlight w:val="black"/>
              </w:rPr>
              <w:t>20.7</w:t>
            </w:r>
          </w:p>
        </w:tc>
        <w:tc>
          <w:tcPr>
            <w:tcW w:w="398" w:type="pct"/>
            <w:tcBorders>
              <w:tl2br w:val="nil"/>
              <w:tr2bl w:val="nil"/>
            </w:tcBorders>
            <w:shd w:val="clear" w:color="000000" w:fill="FFFFFF"/>
            <w:vAlign w:val="center"/>
          </w:tcPr>
          <w:p w14:paraId="751ADFFC">
            <w:pPr>
              <w:widowControl/>
              <w:spacing w:line="240" w:lineRule="auto"/>
              <w:ind w:firstLine="0" w:firstLineChars="0"/>
              <w:jc w:val="center"/>
              <w:rPr>
                <w:kern w:val="0"/>
                <w:sz w:val="21"/>
                <w:szCs w:val="21"/>
                <w:highlight w:val="black"/>
              </w:rPr>
            </w:pPr>
            <w:r>
              <w:rPr>
                <w:sz w:val="21"/>
                <w:szCs w:val="21"/>
                <w:highlight w:val="black"/>
              </w:rPr>
              <w:t>12.32</w:t>
            </w:r>
          </w:p>
        </w:tc>
        <w:tc>
          <w:tcPr>
            <w:tcW w:w="486" w:type="pct"/>
            <w:tcBorders>
              <w:tl2br w:val="nil"/>
              <w:tr2bl w:val="nil"/>
            </w:tcBorders>
            <w:shd w:val="clear" w:color="000000" w:fill="FFFFFF"/>
            <w:vAlign w:val="center"/>
          </w:tcPr>
          <w:p w14:paraId="230FC541">
            <w:pPr>
              <w:widowControl/>
              <w:spacing w:line="240" w:lineRule="auto"/>
              <w:ind w:firstLine="0" w:firstLineChars="0"/>
              <w:jc w:val="center"/>
              <w:rPr>
                <w:kern w:val="0"/>
                <w:sz w:val="21"/>
                <w:szCs w:val="21"/>
                <w:highlight w:val="black"/>
              </w:rPr>
            </w:pPr>
            <w:r>
              <w:rPr>
                <w:sz w:val="20"/>
                <w:highlight w:val="black"/>
              </w:rPr>
              <w:t xml:space="preserve">3.80 </w:t>
            </w:r>
          </w:p>
        </w:tc>
        <w:tc>
          <w:tcPr>
            <w:tcW w:w="501" w:type="pct"/>
            <w:tcBorders>
              <w:tl2br w:val="nil"/>
              <w:tr2bl w:val="nil"/>
            </w:tcBorders>
            <w:shd w:val="clear" w:color="000000" w:fill="FFFFFF"/>
            <w:vAlign w:val="center"/>
          </w:tcPr>
          <w:p w14:paraId="2F0F0816">
            <w:pPr>
              <w:widowControl/>
              <w:spacing w:line="240" w:lineRule="auto"/>
              <w:ind w:firstLine="0" w:firstLineChars="0"/>
              <w:jc w:val="center"/>
              <w:rPr>
                <w:kern w:val="0"/>
                <w:sz w:val="21"/>
                <w:szCs w:val="21"/>
                <w:highlight w:val="black"/>
              </w:rPr>
            </w:pPr>
            <w:r>
              <w:rPr>
                <w:sz w:val="20"/>
                <w:highlight w:val="black"/>
              </w:rPr>
              <w:t xml:space="preserve">0.18 </w:t>
            </w:r>
          </w:p>
        </w:tc>
        <w:tc>
          <w:tcPr>
            <w:tcW w:w="417" w:type="pct"/>
            <w:tcBorders>
              <w:tl2br w:val="nil"/>
              <w:tr2bl w:val="nil"/>
            </w:tcBorders>
            <w:shd w:val="clear" w:color="000000" w:fill="FFFFFF"/>
            <w:vAlign w:val="center"/>
          </w:tcPr>
          <w:p w14:paraId="6EB5F3AE">
            <w:pPr>
              <w:widowControl/>
              <w:spacing w:line="240" w:lineRule="auto"/>
              <w:ind w:firstLine="0" w:firstLineChars="0"/>
              <w:jc w:val="center"/>
              <w:rPr>
                <w:kern w:val="0"/>
                <w:sz w:val="21"/>
                <w:szCs w:val="21"/>
                <w:highlight w:val="black"/>
              </w:rPr>
            </w:pPr>
            <w:r>
              <w:rPr>
                <w:sz w:val="20"/>
                <w:highlight w:val="black"/>
              </w:rPr>
              <w:t xml:space="preserve">0.01 </w:t>
            </w:r>
          </w:p>
        </w:tc>
      </w:tr>
      <w:tr w14:paraId="180A8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4FE84E58">
            <w:pPr>
              <w:widowControl/>
              <w:spacing w:line="240" w:lineRule="auto"/>
              <w:ind w:firstLine="0" w:firstLineChars="0"/>
              <w:jc w:val="center"/>
              <w:rPr>
                <w:kern w:val="0"/>
                <w:sz w:val="21"/>
                <w:szCs w:val="21"/>
                <w:highlight w:val="black"/>
              </w:rPr>
            </w:pPr>
            <w:r>
              <w:rPr>
                <w:kern w:val="0"/>
                <w:sz w:val="21"/>
                <w:szCs w:val="21"/>
                <w:highlight w:val="black"/>
              </w:rPr>
              <w:t>6</w:t>
            </w:r>
          </w:p>
        </w:tc>
        <w:tc>
          <w:tcPr>
            <w:tcW w:w="834" w:type="pct"/>
            <w:tcBorders>
              <w:tl2br w:val="nil"/>
              <w:tr2bl w:val="nil"/>
            </w:tcBorders>
            <w:shd w:val="clear" w:color="000000" w:fill="FFFFFF"/>
            <w:vAlign w:val="center"/>
          </w:tcPr>
          <w:p w14:paraId="1E1271DE">
            <w:pPr>
              <w:widowControl/>
              <w:spacing w:line="240" w:lineRule="auto"/>
              <w:ind w:firstLine="0" w:firstLineChars="0"/>
              <w:jc w:val="center"/>
              <w:rPr>
                <w:kern w:val="0"/>
                <w:sz w:val="21"/>
                <w:szCs w:val="21"/>
                <w:highlight w:val="black"/>
              </w:rPr>
            </w:pPr>
            <w:r>
              <w:rPr>
                <w:rFonts w:hint="eastAsia"/>
                <w:sz w:val="20"/>
                <w:highlight w:val="black"/>
              </w:rPr>
              <w:t>-30m中段运输巷道</w:t>
            </w:r>
          </w:p>
        </w:tc>
        <w:tc>
          <w:tcPr>
            <w:tcW w:w="447" w:type="pct"/>
            <w:tcBorders>
              <w:tl2br w:val="nil"/>
              <w:tr2bl w:val="nil"/>
            </w:tcBorders>
            <w:shd w:val="clear" w:color="000000" w:fill="FFFFFF"/>
            <w:vAlign w:val="center"/>
          </w:tcPr>
          <w:p w14:paraId="44A71AB4">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59B8490D">
            <w:pPr>
              <w:widowControl/>
              <w:spacing w:line="240" w:lineRule="auto"/>
              <w:ind w:firstLine="0" w:firstLineChars="0"/>
              <w:jc w:val="center"/>
              <w:rPr>
                <w:kern w:val="0"/>
                <w:sz w:val="21"/>
                <w:szCs w:val="21"/>
                <w:highlight w:val="black"/>
              </w:rPr>
            </w:pPr>
            <w:r>
              <w:rPr>
                <w:sz w:val="20"/>
                <w:highlight w:val="black"/>
              </w:rPr>
              <w:t xml:space="preserve">19.00 </w:t>
            </w:r>
          </w:p>
        </w:tc>
        <w:tc>
          <w:tcPr>
            <w:tcW w:w="398" w:type="pct"/>
            <w:tcBorders>
              <w:tl2br w:val="nil"/>
              <w:tr2bl w:val="nil"/>
            </w:tcBorders>
            <w:shd w:val="clear" w:color="000000" w:fill="FFFFFF"/>
            <w:vAlign w:val="center"/>
          </w:tcPr>
          <w:p w14:paraId="0DD75383">
            <w:pPr>
              <w:widowControl/>
              <w:spacing w:line="240" w:lineRule="auto"/>
              <w:ind w:firstLine="0" w:firstLineChars="0"/>
              <w:jc w:val="center"/>
              <w:rPr>
                <w:kern w:val="0"/>
                <w:sz w:val="21"/>
                <w:szCs w:val="21"/>
                <w:highlight w:val="black"/>
              </w:rPr>
            </w:pPr>
            <w:r>
              <w:rPr>
                <w:sz w:val="20"/>
                <w:highlight w:val="black"/>
              </w:rPr>
              <w:t xml:space="preserve">136.00 </w:t>
            </w:r>
          </w:p>
        </w:tc>
        <w:tc>
          <w:tcPr>
            <w:tcW w:w="516" w:type="pct"/>
            <w:tcBorders>
              <w:tl2br w:val="nil"/>
              <w:tr2bl w:val="nil"/>
            </w:tcBorders>
            <w:shd w:val="clear" w:color="000000" w:fill="FFFFFF"/>
            <w:vAlign w:val="center"/>
          </w:tcPr>
          <w:p w14:paraId="18AB8FA0">
            <w:pPr>
              <w:widowControl/>
              <w:spacing w:line="240" w:lineRule="auto"/>
              <w:ind w:firstLine="0" w:firstLineChars="0"/>
              <w:jc w:val="center"/>
              <w:rPr>
                <w:kern w:val="0"/>
                <w:sz w:val="21"/>
                <w:szCs w:val="21"/>
                <w:highlight w:val="black"/>
              </w:rPr>
            </w:pPr>
            <w:r>
              <w:rPr>
                <w:sz w:val="21"/>
                <w:szCs w:val="21"/>
                <w:highlight w:val="black"/>
              </w:rPr>
              <w:t>20.7</w:t>
            </w:r>
          </w:p>
        </w:tc>
        <w:tc>
          <w:tcPr>
            <w:tcW w:w="398" w:type="pct"/>
            <w:tcBorders>
              <w:tl2br w:val="nil"/>
              <w:tr2bl w:val="nil"/>
            </w:tcBorders>
            <w:shd w:val="clear" w:color="000000" w:fill="FFFFFF"/>
            <w:vAlign w:val="center"/>
          </w:tcPr>
          <w:p w14:paraId="08B1A819">
            <w:pPr>
              <w:widowControl/>
              <w:spacing w:line="240" w:lineRule="auto"/>
              <w:ind w:firstLine="0" w:firstLineChars="0"/>
              <w:jc w:val="center"/>
              <w:rPr>
                <w:kern w:val="0"/>
                <w:sz w:val="21"/>
                <w:szCs w:val="21"/>
                <w:highlight w:val="black"/>
              </w:rPr>
            </w:pPr>
            <w:r>
              <w:rPr>
                <w:sz w:val="21"/>
                <w:szCs w:val="21"/>
                <w:highlight w:val="black"/>
              </w:rPr>
              <w:t>12.32</w:t>
            </w:r>
          </w:p>
        </w:tc>
        <w:tc>
          <w:tcPr>
            <w:tcW w:w="486" w:type="pct"/>
            <w:tcBorders>
              <w:tl2br w:val="nil"/>
              <w:tr2bl w:val="nil"/>
            </w:tcBorders>
            <w:shd w:val="clear" w:color="000000" w:fill="FFFFFF"/>
            <w:vAlign w:val="center"/>
          </w:tcPr>
          <w:p w14:paraId="228A78B0">
            <w:pPr>
              <w:widowControl/>
              <w:spacing w:line="240" w:lineRule="auto"/>
              <w:ind w:firstLine="0" w:firstLineChars="0"/>
              <w:jc w:val="center"/>
              <w:rPr>
                <w:kern w:val="0"/>
                <w:sz w:val="21"/>
                <w:szCs w:val="21"/>
                <w:highlight w:val="black"/>
              </w:rPr>
            </w:pPr>
            <w:r>
              <w:rPr>
                <w:sz w:val="20"/>
                <w:highlight w:val="black"/>
              </w:rPr>
              <w:t xml:space="preserve">45.70 </w:t>
            </w:r>
          </w:p>
        </w:tc>
        <w:tc>
          <w:tcPr>
            <w:tcW w:w="501" w:type="pct"/>
            <w:tcBorders>
              <w:tl2br w:val="nil"/>
              <w:tr2bl w:val="nil"/>
            </w:tcBorders>
            <w:shd w:val="clear" w:color="000000" w:fill="FFFFFF"/>
            <w:vAlign w:val="center"/>
          </w:tcPr>
          <w:p w14:paraId="3544B4DB">
            <w:pPr>
              <w:widowControl/>
              <w:spacing w:line="240" w:lineRule="auto"/>
              <w:ind w:firstLine="0" w:firstLineChars="0"/>
              <w:jc w:val="center"/>
              <w:rPr>
                <w:kern w:val="0"/>
                <w:sz w:val="21"/>
                <w:szCs w:val="21"/>
                <w:highlight w:val="black"/>
              </w:rPr>
            </w:pPr>
            <w:r>
              <w:rPr>
                <w:sz w:val="20"/>
                <w:highlight w:val="black"/>
              </w:rPr>
              <w:t xml:space="preserve">2.21 </w:t>
            </w:r>
          </w:p>
        </w:tc>
        <w:tc>
          <w:tcPr>
            <w:tcW w:w="417" w:type="pct"/>
            <w:tcBorders>
              <w:tl2br w:val="nil"/>
              <w:tr2bl w:val="nil"/>
            </w:tcBorders>
            <w:shd w:val="clear" w:color="000000" w:fill="FFFFFF"/>
            <w:vAlign w:val="center"/>
          </w:tcPr>
          <w:p w14:paraId="27DB02E3">
            <w:pPr>
              <w:widowControl/>
              <w:spacing w:line="240" w:lineRule="auto"/>
              <w:ind w:firstLine="0" w:firstLineChars="0"/>
              <w:jc w:val="center"/>
              <w:rPr>
                <w:kern w:val="0"/>
                <w:sz w:val="21"/>
                <w:szCs w:val="21"/>
                <w:highlight w:val="black"/>
              </w:rPr>
            </w:pPr>
            <w:r>
              <w:rPr>
                <w:sz w:val="20"/>
                <w:highlight w:val="black"/>
              </w:rPr>
              <w:t xml:space="preserve">7.50 </w:t>
            </w:r>
          </w:p>
        </w:tc>
      </w:tr>
      <w:tr w14:paraId="00B0C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665CDE38">
            <w:pPr>
              <w:widowControl/>
              <w:spacing w:line="240" w:lineRule="auto"/>
              <w:ind w:firstLine="0" w:firstLineChars="0"/>
              <w:jc w:val="center"/>
              <w:rPr>
                <w:kern w:val="0"/>
                <w:sz w:val="21"/>
                <w:szCs w:val="21"/>
                <w:highlight w:val="black"/>
              </w:rPr>
            </w:pPr>
            <w:r>
              <w:rPr>
                <w:kern w:val="0"/>
                <w:sz w:val="21"/>
                <w:szCs w:val="21"/>
                <w:highlight w:val="black"/>
              </w:rPr>
              <w:t>7</w:t>
            </w:r>
          </w:p>
        </w:tc>
        <w:tc>
          <w:tcPr>
            <w:tcW w:w="834" w:type="pct"/>
            <w:tcBorders>
              <w:tl2br w:val="nil"/>
              <w:tr2bl w:val="nil"/>
            </w:tcBorders>
            <w:shd w:val="clear" w:color="000000" w:fill="FFFFFF"/>
            <w:vAlign w:val="center"/>
          </w:tcPr>
          <w:p w14:paraId="13C5E6BC">
            <w:pPr>
              <w:widowControl/>
              <w:spacing w:line="240" w:lineRule="auto"/>
              <w:ind w:firstLine="0" w:firstLineChars="0"/>
              <w:jc w:val="center"/>
              <w:rPr>
                <w:kern w:val="0"/>
                <w:sz w:val="21"/>
                <w:szCs w:val="21"/>
                <w:highlight w:val="black"/>
              </w:rPr>
            </w:pPr>
            <w:r>
              <w:rPr>
                <w:rFonts w:hint="eastAsia"/>
                <w:sz w:val="20"/>
                <w:highlight w:val="black"/>
              </w:rPr>
              <w:t>回风天井</w:t>
            </w:r>
          </w:p>
        </w:tc>
        <w:tc>
          <w:tcPr>
            <w:tcW w:w="447" w:type="pct"/>
            <w:tcBorders>
              <w:tl2br w:val="nil"/>
              <w:tr2bl w:val="nil"/>
            </w:tcBorders>
            <w:shd w:val="clear" w:color="000000" w:fill="FFFFFF"/>
            <w:vAlign w:val="center"/>
          </w:tcPr>
          <w:p w14:paraId="2A316C5A">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4516790F">
            <w:pPr>
              <w:widowControl/>
              <w:spacing w:line="240" w:lineRule="auto"/>
              <w:ind w:firstLine="0" w:firstLineChars="0"/>
              <w:jc w:val="center"/>
              <w:rPr>
                <w:kern w:val="0"/>
                <w:sz w:val="21"/>
                <w:szCs w:val="21"/>
                <w:highlight w:val="black"/>
              </w:rPr>
            </w:pPr>
            <w:r>
              <w:rPr>
                <w:sz w:val="20"/>
                <w:highlight w:val="black"/>
              </w:rPr>
              <w:t xml:space="preserve">18.00 </w:t>
            </w:r>
          </w:p>
        </w:tc>
        <w:tc>
          <w:tcPr>
            <w:tcW w:w="398" w:type="pct"/>
            <w:tcBorders>
              <w:tl2br w:val="nil"/>
              <w:tr2bl w:val="nil"/>
            </w:tcBorders>
            <w:shd w:val="clear" w:color="000000" w:fill="FFFFFF"/>
            <w:vAlign w:val="center"/>
          </w:tcPr>
          <w:p w14:paraId="0A2F0F6A">
            <w:pPr>
              <w:widowControl/>
              <w:spacing w:line="240" w:lineRule="auto"/>
              <w:ind w:firstLine="0" w:firstLineChars="0"/>
              <w:jc w:val="center"/>
              <w:rPr>
                <w:kern w:val="0"/>
                <w:sz w:val="21"/>
                <w:szCs w:val="21"/>
                <w:highlight w:val="black"/>
              </w:rPr>
            </w:pPr>
            <w:r>
              <w:rPr>
                <w:sz w:val="20"/>
                <w:highlight w:val="black"/>
              </w:rPr>
              <w:t xml:space="preserve">83.00 </w:t>
            </w:r>
          </w:p>
        </w:tc>
        <w:tc>
          <w:tcPr>
            <w:tcW w:w="516" w:type="pct"/>
            <w:tcBorders>
              <w:tl2br w:val="nil"/>
              <w:tr2bl w:val="nil"/>
            </w:tcBorders>
            <w:shd w:val="clear" w:color="000000" w:fill="FFFFFF"/>
            <w:vAlign w:val="center"/>
          </w:tcPr>
          <w:p w14:paraId="4A6F1C9D">
            <w:pPr>
              <w:widowControl/>
              <w:spacing w:line="240" w:lineRule="auto"/>
              <w:ind w:firstLine="0" w:firstLineChars="0"/>
              <w:jc w:val="center"/>
              <w:rPr>
                <w:kern w:val="0"/>
                <w:sz w:val="21"/>
                <w:szCs w:val="21"/>
                <w:highlight w:val="black"/>
              </w:rPr>
            </w:pPr>
            <w:r>
              <w:rPr>
                <w:sz w:val="20"/>
                <w:highlight w:val="black"/>
              </w:rPr>
              <w:t xml:space="preserve">4.12 </w:t>
            </w:r>
          </w:p>
        </w:tc>
        <w:tc>
          <w:tcPr>
            <w:tcW w:w="398" w:type="pct"/>
            <w:tcBorders>
              <w:tl2br w:val="nil"/>
              <w:tr2bl w:val="nil"/>
            </w:tcBorders>
            <w:shd w:val="clear" w:color="000000" w:fill="FFFFFF"/>
            <w:vAlign w:val="center"/>
          </w:tcPr>
          <w:p w14:paraId="23A99B56">
            <w:pPr>
              <w:widowControl/>
              <w:spacing w:line="240" w:lineRule="auto"/>
              <w:ind w:firstLine="0" w:firstLineChars="0"/>
              <w:jc w:val="center"/>
              <w:rPr>
                <w:kern w:val="0"/>
                <w:sz w:val="21"/>
                <w:szCs w:val="21"/>
                <w:highlight w:val="black"/>
              </w:rPr>
            </w:pPr>
            <w:r>
              <w:rPr>
                <w:sz w:val="20"/>
                <w:highlight w:val="black"/>
              </w:rPr>
              <w:t xml:space="preserve">5.73 </w:t>
            </w:r>
          </w:p>
        </w:tc>
        <w:tc>
          <w:tcPr>
            <w:tcW w:w="486" w:type="pct"/>
            <w:tcBorders>
              <w:tl2br w:val="nil"/>
              <w:tr2bl w:val="nil"/>
            </w:tcBorders>
            <w:shd w:val="clear" w:color="000000" w:fill="FFFFFF"/>
            <w:vAlign w:val="center"/>
          </w:tcPr>
          <w:p w14:paraId="3CB90616">
            <w:pPr>
              <w:widowControl/>
              <w:spacing w:line="240" w:lineRule="auto"/>
              <w:ind w:firstLine="0" w:firstLineChars="0"/>
              <w:jc w:val="center"/>
              <w:rPr>
                <w:kern w:val="0"/>
                <w:sz w:val="21"/>
                <w:szCs w:val="21"/>
                <w:highlight w:val="black"/>
              </w:rPr>
            </w:pPr>
            <w:r>
              <w:rPr>
                <w:sz w:val="20"/>
                <w:highlight w:val="black"/>
              </w:rPr>
              <w:t xml:space="preserve">45.70 </w:t>
            </w:r>
          </w:p>
        </w:tc>
        <w:tc>
          <w:tcPr>
            <w:tcW w:w="501" w:type="pct"/>
            <w:tcBorders>
              <w:tl2br w:val="nil"/>
              <w:tr2bl w:val="nil"/>
            </w:tcBorders>
            <w:shd w:val="clear" w:color="000000" w:fill="FFFFFF"/>
            <w:vAlign w:val="center"/>
          </w:tcPr>
          <w:p w14:paraId="212B5DA6">
            <w:pPr>
              <w:widowControl/>
              <w:spacing w:line="240" w:lineRule="auto"/>
              <w:ind w:firstLine="0" w:firstLineChars="0"/>
              <w:jc w:val="center"/>
              <w:rPr>
                <w:kern w:val="0"/>
                <w:sz w:val="21"/>
                <w:szCs w:val="21"/>
                <w:highlight w:val="black"/>
              </w:rPr>
            </w:pPr>
            <w:r>
              <w:rPr>
                <w:sz w:val="20"/>
                <w:highlight w:val="black"/>
              </w:rPr>
              <w:t xml:space="preserve">11.09 </w:t>
            </w:r>
          </w:p>
        </w:tc>
        <w:tc>
          <w:tcPr>
            <w:tcW w:w="417" w:type="pct"/>
            <w:tcBorders>
              <w:tl2br w:val="nil"/>
              <w:tr2bl w:val="nil"/>
            </w:tcBorders>
            <w:shd w:val="clear" w:color="000000" w:fill="FFFFFF"/>
            <w:vAlign w:val="center"/>
          </w:tcPr>
          <w:p w14:paraId="17B4731D">
            <w:pPr>
              <w:widowControl/>
              <w:spacing w:line="240" w:lineRule="auto"/>
              <w:ind w:firstLine="0" w:firstLineChars="0"/>
              <w:jc w:val="center"/>
              <w:rPr>
                <w:kern w:val="0"/>
                <w:sz w:val="21"/>
                <w:szCs w:val="21"/>
                <w:highlight w:val="black"/>
              </w:rPr>
            </w:pPr>
            <w:r>
              <w:rPr>
                <w:sz w:val="20"/>
                <w:highlight w:val="black"/>
              </w:rPr>
              <w:t xml:space="preserve">255.65 </w:t>
            </w:r>
          </w:p>
        </w:tc>
      </w:tr>
      <w:tr w14:paraId="04924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1A205153">
            <w:pPr>
              <w:widowControl/>
              <w:spacing w:line="240" w:lineRule="auto"/>
              <w:ind w:firstLine="0" w:firstLineChars="0"/>
              <w:jc w:val="center"/>
              <w:rPr>
                <w:kern w:val="0"/>
                <w:sz w:val="21"/>
                <w:szCs w:val="21"/>
                <w:highlight w:val="black"/>
              </w:rPr>
            </w:pPr>
            <w:r>
              <w:rPr>
                <w:kern w:val="0"/>
                <w:sz w:val="21"/>
                <w:szCs w:val="21"/>
                <w:highlight w:val="black"/>
              </w:rPr>
              <w:t>8</w:t>
            </w:r>
          </w:p>
        </w:tc>
        <w:tc>
          <w:tcPr>
            <w:tcW w:w="834" w:type="pct"/>
            <w:tcBorders>
              <w:tl2br w:val="nil"/>
              <w:tr2bl w:val="nil"/>
            </w:tcBorders>
            <w:shd w:val="clear" w:color="000000" w:fill="FFFFFF"/>
            <w:vAlign w:val="center"/>
          </w:tcPr>
          <w:p w14:paraId="64DCA7EE">
            <w:pPr>
              <w:widowControl/>
              <w:spacing w:line="240" w:lineRule="auto"/>
              <w:ind w:firstLine="0" w:firstLineChars="0"/>
              <w:jc w:val="center"/>
              <w:rPr>
                <w:kern w:val="0"/>
                <w:sz w:val="21"/>
                <w:szCs w:val="21"/>
                <w:highlight w:val="black"/>
              </w:rPr>
            </w:pPr>
            <w:r>
              <w:rPr>
                <w:rFonts w:hint="eastAsia"/>
                <w:sz w:val="20"/>
                <w:highlight w:val="black"/>
              </w:rPr>
              <w:t>-10m中段运输巷道</w:t>
            </w:r>
          </w:p>
        </w:tc>
        <w:tc>
          <w:tcPr>
            <w:tcW w:w="447" w:type="pct"/>
            <w:tcBorders>
              <w:tl2br w:val="nil"/>
              <w:tr2bl w:val="nil"/>
            </w:tcBorders>
            <w:shd w:val="clear" w:color="000000" w:fill="FFFFFF"/>
            <w:vAlign w:val="center"/>
          </w:tcPr>
          <w:p w14:paraId="00234572">
            <w:pPr>
              <w:widowControl/>
              <w:spacing w:line="240" w:lineRule="auto"/>
              <w:ind w:firstLine="0" w:firstLineChars="0"/>
              <w:jc w:val="center"/>
              <w:rPr>
                <w:kern w:val="0"/>
                <w:sz w:val="21"/>
                <w:szCs w:val="21"/>
                <w:highlight w:val="black"/>
              </w:rPr>
            </w:pPr>
            <w:r>
              <w:rPr>
                <w:sz w:val="20"/>
                <w:highlight w:val="black"/>
              </w:rPr>
              <w:t>不支</w:t>
            </w:r>
          </w:p>
        </w:tc>
        <w:tc>
          <w:tcPr>
            <w:tcW w:w="734" w:type="pct"/>
            <w:tcBorders>
              <w:tl2br w:val="nil"/>
              <w:tr2bl w:val="nil"/>
            </w:tcBorders>
            <w:shd w:val="clear" w:color="000000" w:fill="FFFFFF"/>
            <w:vAlign w:val="center"/>
          </w:tcPr>
          <w:p w14:paraId="642BD877">
            <w:pPr>
              <w:widowControl/>
              <w:spacing w:line="240" w:lineRule="auto"/>
              <w:ind w:firstLine="0" w:firstLineChars="0"/>
              <w:jc w:val="center"/>
              <w:rPr>
                <w:kern w:val="0"/>
                <w:sz w:val="21"/>
                <w:szCs w:val="21"/>
                <w:highlight w:val="black"/>
              </w:rPr>
            </w:pPr>
            <w:r>
              <w:rPr>
                <w:sz w:val="20"/>
                <w:highlight w:val="black"/>
              </w:rPr>
              <w:t xml:space="preserve">19.00 </w:t>
            </w:r>
          </w:p>
        </w:tc>
        <w:tc>
          <w:tcPr>
            <w:tcW w:w="398" w:type="pct"/>
            <w:tcBorders>
              <w:tl2br w:val="nil"/>
              <w:tr2bl w:val="nil"/>
            </w:tcBorders>
            <w:shd w:val="clear" w:color="000000" w:fill="FFFFFF"/>
            <w:vAlign w:val="center"/>
          </w:tcPr>
          <w:p w14:paraId="011C33F6">
            <w:pPr>
              <w:widowControl/>
              <w:spacing w:line="240" w:lineRule="auto"/>
              <w:ind w:firstLine="0" w:firstLineChars="0"/>
              <w:jc w:val="center"/>
              <w:rPr>
                <w:kern w:val="0"/>
                <w:sz w:val="21"/>
                <w:szCs w:val="21"/>
                <w:highlight w:val="black"/>
              </w:rPr>
            </w:pPr>
            <w:r>
              <w:rPr>
                <w:sz w:val="20"/>
                <w:highlight w:val="black"/>
              </w:rPr>
              <w:t xml:space="preserve">1091.00 </w:t>
            </w:r>
          </w:p>
        </w:tc>
        <w:tc>
          <w:tcPr>
            <w:tcW w:w="516" w:type="pct"/>
            <w:tcBorders>
              <w:tl2br w:val="nil"/>
              <w:tr2bl w:val="nil"/>
            </w:tcBorders>
            <w:shd w:val="clear" w:color="000000" w:fill="FFFFFF"/>
            <w:vAlign w:val="center"/>
          </w:tcPr>
          <w:p w14:paraId="3202275B">
            <w:pPr>
              <w:widowControl/>
              <w:spacing w:line="240" w:lineRule="auto"/>
              <w:ind w:firstLine="0" w:firstLineChars="0"/>
              <w:jc w:val="center"/>
              <w:rPr>
                <w:kern w:val="0"/>
                <w:sz w:val="21"/>
                <w:szCs w:val="21"/>
                <w:highlight w:val="black"/>
              </w:rPr>
            </w:pPr>
            <w:r>
              <w:rPr>
                <w:sz w:val="21"/>
                <w:szCs w:val="21"/>
                <w:highlight w:val="black"/>
              </w:rPr>
              <w:t>20.7</w:t>
            </w:r>
          </w:p>
        </w:tc>
        <w:tc>
          <w:tcPr>
            <w:tcW w:w="398" w:type="pct"/>
            <w:tcBorders>
              <w:tl2br w:val="nil"/>
              <w:tr2bl w:val="nil"/>
            </w:tcBorders>
            <w:shd w:val="clear" w:color="000000" w:fill="FFFFFF"/>
            <w:vAlign w:val="center"/>
          </w:tcPr>
          <w:p w14:paraId="17AC9060">
            <w:pPr>
              <w:widowControl/>
              <w:spacing w:line="240" w:lineRule="auto"/>
              <w:ind w:firstLine="0" w:firstLineChars="0"/>
              <w:jc w:val="center"/>
              <w:rPr>
                <w:kern w:val="0"/>
                <w:sz w:val="21"/>
                <w:szCs w:val="21"/>
                <w:highlight w:val="black"/>
              </w:rPr>
            </w:pPr>
            <w:r>
              <w:rPr>
                <w:sz w:val="21"/>
                <w:szCs w:val="21"/>
                <w:highlight w:val="black"/>
              </w:rPr>
              <w:t>12.32</w:t>
            </w:r>
          </w:p>
        </w:tc>
        <w:tc>
          <w:tcPr>
            <w:tcW w:w="486" w:type="pct"/>
            <w:tcBorders>
              <w:tl2br w:val="nil"/>
              <w:tr2bl w:val="nil"/>
            </w:tcBorders>
            <w:shd w:val="clear" w:color="000000" w:fill="FFFFFF"/>
            <w:vAlign w:val="center"/>
          </w:tcPr>
          <w:p w14:paraId="522B6856">
            <w:pPr>
              <w:widowControl/>
              <w:spacing w:line="240" w:lineRule="auto"/>
              <w:ind w:firstLine="0" w:firstLineChars="0"/>
              <w:jc w:val="center"/>
              <w:rPr>
                <w:kern w:val="0"/>
                <w:sz w:val="21"/>
                <w:szCs w:val="21"/>
                <w:highlight w:val="black"/>
              </w:rPr>
            </w:pPr>
            <w:r>
              <w:rPr>
                <w:sz w:val="20"/>
                <w:highlight w:val="black"/>
              </w:rPr>
              <w:t xml:space="preserve">64.60 </w:t>
            </w:r>
          </w:p>
        </w:tc>
        <w:tc>
          <w:tcPr>
            <w:tcW w:w="501" w:type="pct"/>
            <w:tcBorders>
              <w:tl2br w:val="nil"/>
              <w:tr2bl w:val="nil"/>
            </w:tcBorders>
            <w:shd w:val="clear" w:color="000000" w:fill="FFFFFF"/>
            <w:vAlign w:val="center"/>
          </w:tcPr>
          <w:p w14:paraId="664E88F0">
            <w:pPr>
              <w:widowControl/>
              <w:spacing w:line="240" w:lineRule="auto"/>
              <w:ind w:firstLine="0" w:firstLineChars="0"/>
              <w:jc w:val="center"/>
              <w:rPr>
                <w:kern w:val="0"/>
                <w:sz w:val="21"/>
                <w:szCs w:val="21"/>
                <w:highlight w:val="black"/>
              </w:rPr>
            </w:pPr>
            <w:r>
              <w:rPr>
                <w:sz w:val="20"/>
                <w:highlight w:val="black"/>
              </w:rPr>
              <w:t xml:space="preserve">3.12 </w:t>
            </w:r>
          </w:p>
        </w:tc>
        <w:tc>
          <w:tcPr>
            <w:tcW w:w="417" w:type="pct"/>
            <w:tcBorders>
              <w:tl2br w:val="nil"/>
              <w:tr2bl w:val="nil"/>
            </w:tcBorders>
            <w:shd w:val="clear" w:color="000000" w:fill="FFFFFF"/>
            <w:vAlign w:val="center"/>
          </w:tcPr>
          <w:p w14:paraId="6DE851AD">
            <w:pPr>
              <w:widowControl/>
              <w:spacing w:line="240" w:lineRule="auto"/>
              <w:ind w:firstLine="0" w:firstLineChars="0"/>
              <w:jc w:val="center"/>
              <w:rPr>
                <w:kern w:val="0"/>
                <w:sz w:val="21"/>
                <w:szCs w:val="21"/>
                <w:highlight w:val="black"/>
              </w:rPr>
            </w:pPr>
            <w:r>
              <w:rPr>
                <w:sz w:val="20"/>
                <w:highlight w:val="black"/>
              </w:rPr>
              <w:t xml:space="preserve">120.16 </w:t>
            </w:r>
          </w:p>
        </w:tc>
      </w:tr>
      <w:tr w14:paraId="24F0D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7AFA9478">
            <w:pPr>
              <w:widowControl/>
              <w:spacing w:line="240" w:lineRule="auto"/>
              <w:ind w:firstLine="0" w:firstLineChars="0"/>
              <w:jc w:val="center"/>
              <w:rPr>
                <w:kern w:val="0"/>
                <w:sz w:val="21"/>
                <w:szCs w:val="21"/>
                <w:highlight w:val="black"/>
              </w:rPr>
            </w:pPr>
            <w:r>
              <w:rPr>
                <w:rFonts w:hint="eastAsia"/>
                <w:kern w:val="0"/>
                <w:sz w:val="21"/>
                <w:szCs w:val="21"/>
                <w:highlight w:val="black"/>
              </w:rPr>
              <w:t>9</w:t>
            </w:r>
          </w:p>
        </w:tc>
        <w:tc>
          <w:tcPr>
            <w:tcW w:w="834" w:type="pct"/>
            <w:tcBorders>
              <w:tl2br w:val="nil"/>
              <w:tr2bl w:val="nil"/>
            </w:tcBorders>
            <w:shd w:val="clear" w:color="000000" w:fill="FFFFFF"/>
            <w:vAlign w:val="center"/>
          </w:tcPr>
          <w:p w14:paraId="7A1EC351">
            <w:pPr>
              <w:widowControl/>
              <w:spacing w:line="240" w:lineRule="auto"/>
              <w:ind w:firstLine="0" w:firstLineChars="0"/>
              <w:jc w:val="center"/>
              <w:rPr>
                <w:kern w:val="0"/>
                <w:sz w:val="21"/>
                <w:szCs w:val="21"/>
                <w:highlight w:val="black"/>
              </w:rPr>
            </w:pPr>
            <w:r>
              <w:rPr>
                <w:rFonts w:hint="eastAsia"/>
                <w:sz w:val="20"/>
                <w:highlight w:val="black"/>
              </w:rPr>
              <w:t>回风井</w:t>
            </w:r>
          </w:p>
        </w:tc>
        <w:tc>
          <w:tcPr>
            <w:tcW w:w="447" w:type="pct"/>
            <w:tcBorders>
              <w:tl2br w:val="nil"/>
              <w:tr2bl w:val="nil"/>
            </w:tcBorders>
            <w:shd w:val="clear" w:color="000000" w:fill="FFFFFF"/>
            <w:vAlign w:val="center"/>
          </w:tcPr>
          <w:p w14:paraId="0937E0DB">
            <w:pPr>
              <w:widowControl/>
              <w:spacing w:line="240" w:lineRule="auto"/>
              <w:ind w:firstLine="0" w:firstLineChars="0"/>
              <w:jc w:val="center"/>
              <w:rPr>
                <w:kern w:val="0"/>
                <w:sz w:val="21"/>
                <w:szCs w:val="21"/>
                <w:highlight w:val="black"/>
              </w:rPr>
            </w:pPr>
            <w:r>
              <w:rPr>
                <w:rFonts w:hint="eastAsia"/>
                <w:sz w:val="20"/>
                <w:highlight w:val="black"/>
              </w:rPr>
              <w:t>砼</w:t>
            </w:r>
          </w:p>
        </w:tc>
        <w:tc>
          <w:tcPr>
            <w:tcW w:w="734" w:type="pct"/>
            <w:tcBorders>
              <w:tl2br w:val="nil"/>
              <w:tr2bl w:val="nil"/>
            </w:tcBorders>
            <w:shd w:val="clear" w:color="000000" w:fill="FFFFFF"/>
            <w:vAlign w:val="center"/>
          </w:tcPr>
          <w:p w14:paraId="3FB9F0B9">
            <w:pPr>
              <w:widowControl/>
              <w:spacing w:line="240" w:lineRule="auto"/>
              <w:ind w:firstLine="0" w:firstLineChars="0"/>
              <w:jc w:val="center"/>
              <w:rPr>
                <w:kern w:val="0"/>
                <w:sz w:val="21"/>
                <w:szCs w:val="21"/>
                <w:highlight w:val="black"/>
              </w:rPr>
            </w:pPr>
            <w:r>
              <w:rPr>
                <w:sz w:val="20"/>
                <w:highlight w:val="black"/>
              </w:rPr>
              <w:t xml:space="preserve">19.00 </w:t>
            </w:r>
          </w:p>
        </w:tc>
        <w:tc>
          <w:tcPr>
            <w:tcW w:w="398" w:type="pct"/>
            <w:tcBorders>
              <w:tl2br w:val="nil"/>
              <w:tr2bl w:val="nil"/>
            </w:tcBorders>
            <w:shd w:val="clear" w:color="000000" w:fill="FFFFFF"/>
            <w:vAlign w:val="center"/>
          </w:tcPr>
          <w:p w14:paraId="5B54C7C4">
            <w:pPr>
              <w:widowControl/>
              <w:spacing w:line="240" w:lineRule="auto"/>
              <w:ind w:firstLine="0" w:firstLineChars="0"/>
              <w:jc w:val="center"/>
              <w:rPr>
                <w:kern w:val="0"/>
                <w:sz w:val="21"/>
                <w:szCs w:val="21"/>
                <w:highlight w:val="black"/>
              </w:rPr>
            </w:pPr>
            <w:r>
              <w:rPr>
                <w:sz w:val="20"/>
                <w:highlight w:val="black"/>
              </w:rPr>
              <w:t xml:space="preserve">196.00 </w:t>
            </w:r>
          </w:p>
        </w:tc>
        <w:tc>
          <w:tcPr>
            <w:tcW w:w="516" w:type="pct"/>
            <w:tcBorders>
              <w:tl2br w:val="nil"/>
              <w:tr2bl w:val="nil"/>
            </w:tcBorders>
            <w:shd w:val="clear" w:color="000000" w:fill="FFFFFF"/>
            <w:vAlign w:val="center"/>
          </w:tcPr>
          <w:p w14:paraId="5E808CE2">
            <w:pPr>
              <w:widowControl/>
              <w:spacing w:line="240" w:lineRule="auto"/>
              <w:ind w:firstLine="0" w:firstLineChars="0"/>
              <w:jc w:val="center"/>
              <w:rPr>
                <w:kern w:val="0"/>
                <w:sz w:val="21"/>
                <w:szCs w:val="21"/>
                <w:highlight w:val="black"/>
              </w:rPr>
            </w:pPr>
            <w:r>
              <w:rPr>
                <w:sz w:val="20"/>
                <w:highlight w:val="black"/>
              </w:rPr>
              <w:t xml:space="preserve">7.10 </w:t>
            </w:r>
          </w:p>
        </w:tc>
        <w:tc>
          <w:tcPr>
            <w:tcW w:w="398" w:type="pct"/>
            <w:tcBorders>
              <w:tl2br w:val="nil"/>
              <w:tr2bl w:val="nil"/>
            </w:tcBorders>
            <w:shd w:val="clear" w:color="000000" w:fill="FFFFFF"/>
            <w:vAlign w:val="center"/>
          </w:tcPr>
          <w:p w14:paraId="04A99C69">
            <w:pPr>
              <w:widowControl/>
              <w:spacing w:line="240" w:lineRule="auto"/>
              <w:ind w:firstLine="0" w:firstLineChars="0"/>
              <w:jc w:val="center"/>
              <w:rPr>
                <w:kern w:val="0"/>
                <w:sz w:val="21"/>
                <w:szCs w:val="21"/>
                <w:highlight w:val="black"/>
              </w:rPr>
            </w:pPr>
            <w:r>
              <w:rPr>
                <w:sz w:val="20"/>
                <w:highlight w:val="black"/>
              </w:rPr>
              <w:t xml:space="preserve">9.42 </w:t>
            </w:r>
          </w:p>
        </w:tc>
        <w:tc>
          <w:tcPr>
            <w:tcW w:w="486" w:type="pct"/>
            <w:tcBorders>
              <w:tl2br w:val="nil"/>
              <w:tr2bl w:val="nil"/>
            </w:tcBorders>
            <w:shd w:val="clear" w:color="000000" w:fill="FFFFFF"/>
            <w:vAlign w:val="center"/>
          </w:tcPr>
          <w:p w14:paraId="79E2279B">
            <w:pPr>
              <w:widowControl/>
              <w:spacing w:line="240" w:lineRule="auto"/>
              <w:ind w:firstLine="0" w:firstLineChars="0"/>
              <w:jc w:val="center"/>
              <w:rPr>
                <w:kern w:val="0"/>
                <w:sz w:val="21"/>
                <w:szCs w:val="21"/>
                <w:highlight w:val="black"/>
              </w:rPr>
            </w:pPr>
            <w:r>
              <w:rPr>
                <w:sz w:val="20"/>
                <w:highlight w:val="black"/>
              </w:rPr>
              <w:t xml:space="preserve">68.30 </w:t>
            </w:r>
          </w:p>
        </w:tc>
        <w:tc>
          <w:tcPr>
            <w:tcW w:w="501" w:type="pct"/>
            <w:tcBorders>
              <w:tl2br w:val="nil"/>
              <w:tr2bl w:val="nil"/>
            </w:tcBorders>
            <w:shd w:val="clear" w:color="000000" w:fill="FFFFFF"/>
            <w:vAlign w:val="center"/>
          </w:tcPr>
          <w:p w14:paraId="74165FBD">
            <w:pPr>
              <w:widowControl/>
              <w:spacing w:line="240" w:lineRule="auto"/>
              <w:ind w:firstLine="0" w:firstLineChars="0"/>
              <w:jc w:val="center"/>
              <w:rPr>
                <w:kern w:val="0"/>
                <w:sz w:val="21"/>
                <w:szCs w:val="21"/>
                <w:highlight w:val="black"/>
              </w:rPr>
            </w:pPr>
            <w:r>
              <w:rPr>
                <w:sz w:val="20"/>
                <w:highlight w:val="black"/>
              </w:rPr>
              <w:t xml:space="preserve">9.62 </w:t>
            </w:r>
          </w:p>
        </w:tc>
        <w:tc>
          <w:tcPr>
            <w:tcW w:w="417" w:type="pct"/>
            <w:tcBorders>
              <w:tl2br w:val="nil"/>
              <w:tr2bl w:val="nil"/>
            </w:tcBorders>
            <w:shd w:val="clear" w:color="000000" w:fill="FFFFFF"/>
            <w:vAlign w:val="center"/>
          </w:tcPr>
          <w:p w14:paraId="1963CE5F">
            <w:pPr>
              <w:widowControl/>
              <w:spacing w:line="240" w:lineRule="auto"/>
              <w:ind w:firstLine="0" w:firstLineChars="0"/>
              <w:jc w:val="center"/>
              <w:rPr>
                <w:kern w:val="0"/>
                <w:sz w:val="21"/>
                <w:szCs w:val="21"/>
                <w:highlight w:val="black"/>
              </w:rPr>
            </w:pPr>
            <w:r>
              <w:rPr>
                <w:sz w:val="20"/>
                <w:highlight w:val="black"/>
              </w:rPr>
              <w:t xml:space="preserve">457.22 </w:t>
            </w:r>
          </w:p>
        </w:tc>
      </w:tr>
      <w:tr w14:paraId="35790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tcBorders>
              <w:tl2br w:val="nil"/>
              <w:tr2bl w:val="nil"/>
            </w:tcBorders>
            <w:shd w:val="clear" w:color="auto" w:fill="auto"/>
            <w:vAlign w:val="center"/>
          </w:tcPr>
          <w:p w14:paraId="47802333">
            <w:pPr>
              <w:widowControl/>
              <w:spacing w:line="240" w:lineRule="auto"/>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0</w:t>
            </w:r>
          </w:p>
        </w:tc>
        <w:tc>
          <w:tcPr>
            <w:tcW w:w="834" w:type="pct"/>
            <w:tcBorders>
              <w:tl2br w:val="nil"/>
              <w:tr2bl w:val="nil"/>
            </w:tcBorders>
            <w:shd w:val="clear" w:color="000000" w:fill="FFFFFF"/>
            <w:vAlign w:val="center"/>
          </w:tcPr>
          <w:p w14:paraId="19D32689">
            <w:pPr>
              <w:widowControl/>
              <w:spacing w:line="240" w:lineRule="auto"/>
              <w:ind w:firstLine="0" w:firstLineChars="0"/>
              <w:jc w:val="center"/>
              <w:rPr>
                <w:kern w:val="0"/>
                <w:sz w:val="21"/>
                <w:szCs w:val="21"/>
                <w:highlight w:val="black"/>
              </w:rPr>
            </w:pPr>
            <w:r>
              <w:rPr>
                <w:sz w:val="20"/>
                <w:highlight w:val="black"/>
              </w:rPr>
              <w:t>合计</w:t>
            </w:r>
          </w:p>
        </w:tc>
        <w:tc>
          <w:tcPr>
            <w:tcW w:w="447" w:type="pct"/>
            <w:tcBorders>
              <w:tl2br w:val="nil"/>
              <w:tr2bl w:val="nil"/>
            </w:tcBorders>
            <w:shd w:val="clear" w:color="000000" w:fill="FFFFFF"/>
            <w:vAlign w:val="center"/>
          </w:tcPr>
          <w:p w14:paraId="547A026D">
            <w:pPr>
              <w:widowControl/>
              <w:spacing w:line="240" w:lineRule="auto"/>
              <w:ind w:firstLine="0" w:firstLineChars="0"/>
              <w:jc w:val="center"/>
              <w:rPr>
                <w:kern w:val="0"/>
                <w:sz w:val="21"/>
                <w:szCs w:val="21"/>
                <w:highlight w:val="black"/>
              </w:rPr>
            </w:pPr>
            <w:r>
              <w:rPr>
                <w:rFonts w:hint="eastAsia"/>
                <w:sz w:val="21"/>
                <w:highlight w:val="black"/>
              </w:rPr>
              <w:t>　</w:t>
            </w:r>
          </w:p>
        </w:tc>
        <w:tc>
          <w:tcPr>
            <w:tcW w:w="734" w:type="pct"/>
            <w:tcBorders>
              <w:tl2br w:val="nil"/>
              <w:tr2bl w:val="nil"/>
            </w:tcBorders>
            <w:shd w:val="clear" w:color="000000" w:fill="FFFFFF"/>
            <w:noWrap/>
            <w:vAlign w:val="center"/>
          </w:tcPr>
          <w:p w14:paraId="67BBF353">
            <w:pPr>
              <w:widowControl/>
              <w:spacing w:line="240" w:lineRule="auto"/>
              <w:ind w:firstLine="0" w:firstLineChars="0"/>
              <w:jc w:val="center"/>
              <w:rPr>
                <w:kern w:val="0"/>
                <w:sz w:val="21"/>
                <w:szCs w:val="21"/>
                <w:highlight w:val="black"/>
              </w:rPr>
            </w:pPr>
            <w:r>
              <w:rPr>
                <w:rFonts w:hint="eastAsia"/>
                <w:sz w:val="21"/>
                <w:highlight w:val="black"/>
              </w:rPr>
              <w:t>　</w:t>
            </w:r>
          </w:p>
        </w:tc>
        <w:tc>
          <w:tcPr>
            <w:tcW w:w="398" w:type="pct"/>
            <w:tcBorders>
              <w:tl2br w:val="nil"/>
              <w:tr2bl w:val="nil"/>
            </w:tcBorders>
            <w:shd w:val="clear" w:color="000000" w:fill="FFFFFF"/>
            <w:noWrap/>
            <w:vAlign w:val="center"/>
          </w:tcPr>
          <w:p w14:paraId="3072AE4A">
            <w:pPr>
              <w:widowControl/>
              <w:spacing w:line="240" w:lineRule="auto"/>
              <w:ind w:firstLine="0" w:firstLineChars="0"/>
              <w:jc w:val="center"/>
              <w:rPr>
                <w:kern w:val="0"/>
                <w:sz w:val="21"/>
                <w:szCs w:val="21"/>
                <w:highlight w:val="black"/>
              </w:rPr>
            </w:pPr>
            <w:r>
              <w:rPr>
                <w:rFonts w:hint="eastAsia"/>
                <w:sz w:val="21"/>
                <w:highlight w:val="black"/>
              </w:rPr>
              <w:t>　</w:t>
            </w:r>
          </w:p>
        </w:tc>
        <w:tc>
          <w:tcPr>
            <w:tcW w:w="516" w:type="pct"/>
            <w:tcBorders>
              <w:tl2br w:val="nil"/>
              <w:tr2bl w:val="nil"/>
            </w:tcBorders>
            <w:shd w:val="clear" w:color="000000" w:fill="FFFFFF"/>
            <w:noWrap/>
            <w:vAlign w:val="center"/>
          </w:tcPr>
          <w:p w14:paraId="3A951F61">
            <w:pPr>
              <w:widowControl/>
              <w:spacing w:line="240" w:lineRule="auto"/>
              <w:ind w:firstLine="0" w:firstLineChars="0"/>
              <w:jc w:val="center"/>
              <w:rPr>
                <w:kern w:val="0"/>
                <w:sz w:val="21"/>
                <w:szCs w:val="21"/>
                <w:highlight w:val="black"/>
              </w:rPr>
            </w:pPr>
            <w:r>
              <w:rPr>
                <w:rFonts w:hint="eastAsia"/>
                <w:sz w:val="21"/>
                <w:highlight w:val="black"/>
              </w:rPr>
              <w:t>　</w:t>
            </w:r>
          </w:p>
        </w:tc>
        <w:tc>
          <w:tcPr>
            <w:tcW w:w="398" w:type="pct"/>
            <w:tcBorders>
              <w:tl2br w:val="nil"/>
              <w:tr2bl w:val="nil"/>
            </w:tcBorders>
            <w:shd w:val="clear" w:color="000000" w:fill="FFFFFF"/>
            <w:noWrap/>
            <w:vAlign w:val="center"/>
          </w:tcPr>
          <w:p w14:paraId="05E1A58F">
            <w:pPr>
              <w:widowControl/>
              <w:spacing w:line="240" w:lineRule="auto"/>
              <w:ind w:firstLine="0" w:firstLineChars="0"/>
              <w:jc w:val="center"/>
              <w:rPr>
                <w:kern w:val="0"/>
                <w:sz w:val="21"/>
                <w:szCs w:val="21"/>
                <w:highlight w:val="black"/>
              </w:rPr>
            </w:pPr>
            <w:r>
              <w:rPr>
                <w:rFonts w:hint="eastAsia"/>
                <w:sz w:val="21"/>
                <w:highlight w:val="black"/>
              </w:rPr>
              <w:t>　</w:t>
            </w:r>
          </w:p>
        </w:tc>
        <w:tc>
          <w:tcPr>
            <w:tcW w:w="486" w:type="pct"/>
            <w:tcBorders>
              <w:tl2br w:val="nil"/>
              <w:tr2bl w:val="nil"/>
            </w:tcBorders>
            <w:shd w:val="clear" w:color="000000" w:fill="FFFFFF"/>
            <w:vAlign w:val="center"/>
          </w:tcPr>
          <w:p w14:paraId="3C98FFD8">
            <w:pPr>
              <w:widowControl/>
              <w:spacing w:line="240" w:lineRule="auto"/>
              <w:ind w:firstLine="0" w:firstLineChars="0"/>
              <w:jc w:val="center"/>
              <w:rPr>
                <w:kern w:val="0"/>
                <w:sz w:val="21"/>
                <w:szCs w:val="21"/>
                <w:highlight w:val="black"/>
              </w:rPr>
            </w:pPr>
            <w:r>
              <w:rPr>
                <w:sz w:val="20"/>
                <w:highlight w:val="black"/>
              </w:rPr>
              <w:t>　</w:t>
            </w:r>
          </w:p>
        </w:tc>
        <w:tc>
          <w:tcPr>
            <w:tcW w:w="501" w:type="pct"/>
            <w:tcBorders>
              <w:tl2br w:val="nil"/>
              <w:tr2bl w:val="nil"/>
            </w:tcBorders>
            <w:shd w:val="clear" w:color="000000" w:fill="FFFFFF"/>
            <w:vAlign w:val="center"/>
          </w:tcPr>
          <w:p w14:paraId="549BD157">
            <w:pPr>
              <w:widowControl/>
              <w:spacing w:line="240" w:lineRule="auto"/>
              <w:ind w:firstLine="0" w:firstLineChars="0"/>
              <w:jc w:val="center"/>
              <w:rPr>
                <w:kern w:val="0"/>
                <w:sz w:val="21"/>
                <w:szCs w:val="21"/>
                <w:highlight w:val="black"/>
              </w:rPr>
            </w:pPr>
            <w:r>
              <w:rPr>
                <w:sz w:val="20"/>
                <w:highlight w:val="black"/>
              </w:rPr>
              <w:t>　</w:t>
            </w:r>
          </w:p>
        </w:tc>
        <w:tc>
          <w:tcPr>
            <w:tcW w:w="417" w:type="pct"/>
            <w:tcBorders>
              <w:tl2br w:val="nil"/>
              <w:tr2bl w:val="nil"/>
            </w:tcBorders>
            <w:shd w:val="clear" w:color="000000" w:fill="FFFFFF"/>
            <w:vAlign w:val="center"/>
          </w:tcPr>
          <w:p w14:paraId="78BAE891">
            <w:pPr>
              <w:widowControl/>
              <w:spacing w:line="240" w:lineRule="auto"/>
              <w:ind w:firstLine="0" w:firstLineChars="0"/>
              <w:jc w:val="center"/>
              <w:rPr>
                <w:kern w:val="0"/>
                <w:sz w:val="21"/>
                <w:szCs w:val="21"/>
                <w:highlight w:val="black"/>
              </w:rPr>
            </w:pPr>
            <w:r>
              <w:rPr>
                <w:sz w:val="20"/>
                <w:highlight w:val="black"/>
              </w:rPr>
              <w:t xml:space="preserve">1565.82 </w:t>
            </w:r>
          </w:p>
        </w:tc>
      </w:tr>
      <w:tr w14:paraId="17510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69" w:type="pct"/>
            <w:tcBorders>
              <w:tl2br w:val="nil"/>
              <w:tr2bl w:val="nil"/>
            </w:tcBorders>
            <w:shd w:val="clear" w:color="auto" w:fill="auto"/>
            <w:vAlign w:val="center"/>
          </w:tcPr>
          <w:p w14:paraId="0005912E">
            <w:pPr>
              <w:widowControl/>
              <w:spacing w:line="240" w:lineRule="auto"/>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1</w:t>
            </w:r>
          </w:p>
        </w:tc>
        <w:tc>
          <w:tcPr>
            <w:tcW w:w="2015" w:type="pct"/>
            <w:gridSpan w:val="3"/>
            <w:tcBorders>
              <w:tl2br w:val="nil"/>
              <w:tr2bl w:val="nil"/>
            </w:tcBorders>
            <w:shd w:val="clear" w:color="000000" w:fill="FFFFFF"/>
            <w:noWrap/>
            <w:vAlign w:val="center"/>
          </w:tcPr>
          <w:p w14:paraId="709F3F1D">
            <w:pPr>
              <w:widowControl/>
              <w:spacing w:line="240" w:lineRule="auto"/>
              <w:ind w:firstLine="0" w:firstLineChars="0"/>
              <w:jc w:val="center"/>
              <w:rPr>
                <w:kern w:val="0"/>
                <w:sz w:val="21"/>
                <w:szCs w:val="21"/>
                <w:highlight w:val="black"/>
              </w:rPr>
            </w:pPr>
            <w:r>
              <w:rPr>
                <w:kern w:val="0"/>
                <w:sz w:val="21"/>
                <w:szCs w:val="21"/>
                <w:highlight w:val="black"/>
              </w:rPr>
              <w:t>考虑1.2局部阻力系数</w:t>
            </w:r>
          </w:p>
        </w:tc>
        <w:tc>
          <w:tcPr>
            <w:tcW w:w="398" w:type="pct"/>
            <w:tcBorders>
              <w:tl2br w:val="nil"/>
              <w:tr2bl w:val="nil"/>
            </w:tcBorders>
            <w:shd w:val="clear" w:color="000000" w:fill="FFFFFF"/>
            <w:noWrap/>
            <w:vAlign w:val="center"/>
          </w:tcPr>
          <w:p w14:paraId="28453E97">
            <w:pPr>
              <w:widowControl/>
              <w:spacing w:line="240" w:lineRule="auto"/>
              <w:ind w:firstLine="0" w:firstLineChars="0"/>
              <w:jc w:val="center"/>
              <w:rPr>
                <w:kern w:val="0"/>
                <w:sz w:val="21"/>
                <w:szCs w:val="21"/>
                <w:highlight w:val="black"/>
              </w:rPr>
            </w:pPr>
            <w:r>
              <w:rPr>
                <w:kern w:val="0"/>
                <w:sz w:val="21"/>
                <w:szCs w:val="21"/>
                <w:highlight w:val="black"/>
              </w:rPr>
              <w:t>　</w:t>
            </w:r>
          </w:p>
        </w:tc>
        <w:tc>
          <w:tcPr>
            <w:tcW w:w="516" w:type="pct"/>
            <w:tcBorders>
              <w:tl2br w:val="nil"/>
              <w:tr2bl w:val="nil"/>
            </w:tcBorders>
            <w:shd w:val="clear" w:color="000000" w:fill="FFFFFF"/>
            <w:noWrap/>
            <w:vAlign w:val="center"/>
          </w:tcPr>
          <w:p w14:paraId="037EDC49">
            <w:pPr>
              <w:widowControl/>
              <w:spacing w:line="240" w:lineRule="auto"/>
              <w:ind w:firstLine="0" w:firstLineChars="0"/>
              <w:jc w:val="center"/>
              <w:rPr>
                <w:kern w:val="0"/>
                <w:sz w:val="21"/>
                <w:szCs w:val="21"/>
                <w:highlight w:val="black"/>
              </w:rPr>
            </w:pPr>
            <w:r>
              <w:rPr>
                <w:kern w:val="0"/>
                <w:sz w:val="21"/>
                <w:szCs w:val="21"/>
                <w:highlight w:val="black"/>
              </w:rPr>
              <w:t>　</w:t>
            </w:r>
          </w:p>
        </w:tc>
        <w:tc>
          <w:tcPr>
            <w:tcW w:w="398" w:type="pct"/>
            <w:tcBorders>
              <w:tl2br w:val="nil"/>
              <w:tr2bl w:val="nil"/>
            </w:tcBorders>
            <w:shd w:val="clear" w:color="000000" w:fill="FFFFFF"/>
            <w:noWrap/>
            <w:vAlign w:val="center"/>
          </w:tcPr>
          <w:p w14:paraId="34D57D30">
            <w:pPr>
              <w:widowControl/>
              <w:spacing w:line="240" w:lineRule="auto"/>
              <w:ind w:firstLine="0" w:firstLineChars="0"/>
              <w:jc w:val="center"/>
              <w:rPr>
                <w:kern w:val="0"/>
                <w:sz w:val="21"/>
                <w:szCs w:val="21"/>
                <w:highlight w:val="black"/>
              </w:rPr>
            </w:pPr>
            <w:r>
              <w:rPr>
                <w:kern w:val="0"/>
                <w:sz w:val="21"/>
                <w:szCs w:val="21"/>
                <w:highlight w:val="black"/>
              </w:rPr>
              <w:t>　</w:t>
            </w:r>
          </w:p>
        </w:tc>
        <w:tc>
          <w:tcPr>
            <w:tcW w:w="486" w:type="pct"/>
            <w:tcBorders>
              <w:tl2br w:val="nil"/>
              <w:tr2bl w:val="nil"/>
            </w:tcBorders>
            <w:shd w:val="clear" w:color="000000" w:fill="FFFFFF"/>
            <w:noWrap/>
            <w:vAlign w:val="center"/>
          </w:tcPr>
          <w:p w14:paraId="7D307BC4">
            <w:pPr>
              <w:widowControl/>
              <w:spacing w:line="240" w:lineRule="auto"/>
              <w:ind w:firstLine="0" w:firstLineChars="0"/>
              <w:jc w:val="center"/>
              <w:rPr>
                <w:kern w:val="0"/>
                <w:sz w:val="21"/>
                <w:szCs w:val="21"/>
                <w:highlight w:val="black"/>
              </w:rPr>
            </w:pPr>
            <w:r>
              <w:rPr>
                <w:kern w:val="0"/>
                <w:sz w:val="21"/>
                <w:szCs w:val="21"/>
                <w:highlight w:val="black"/>
              </w:rPr>
              <w:t>　</w:t>
            </w:r>
          </w:p>
        </w:tc>
        <w:tc>
          <w:tcPr>
            <w:tcW w:w="501" w:type="pct"/>
            <w:tcBorders>
              <w:tl2br w:val="nil"/>
              <w:tr2bl w:val="nil"/>
            </w:tcBorders>
            <w:shd w:val="clear" w:color="000000" w:fill="FFFFFF"/>
            <w:vAlign w:val="center"/>
          </w:tcPr>
          <w:p w14:paraId="48090C88">
            <w:pPr>
              <w:widowControl/>
              <w:spacing w:line="240" w:lineRule="auto"/>
              <w:ind w:firstLine="0" w:firstLineChars="0"/>
              <w:jc w:val="center"/>
              <w:rPr>
                <w:kern w:val="0"/>
                <w:sz w:val="21"/>
                <w:szCs w:val="21"/>
                <w:highlight w:val="black"/>
              </w:rPr>
            </w:pPr>
            <w:r>
              <w:rPr>
                <w:kern w:val="0"/>
                <w:sz w:val="21"/>
                <w:szCs w:val="21"/>
                <w:highlight w:val="black"/>
              </w:rPr>
              <w:t>　</w:t>
            </w:r>
          </w:p>
        </w:tc>
        <w:tc>
          <w:tcPr>
            <w:tcW w:w="417" w:type="pct"/>
            <w:tcBorders>
              <w:tl2br w:val="nil"/>
              <w:tr2bl w:val="nil"/>
            </w:tcBorders>
            <w:shd w:val="clear" w:color="000000" w:fill="FFFFFF"/>
            <w:vAlign w:val="center"/>
          </w:tcPr>
          <w:p w14:paraId="1E32A0D7">
            <w:pPr>
              <w:widowControl/>
              <w:spacing w:line="240" w:lineRule="auto"/>
              <w:ind w:firstLine="0" w:firstLineChars="0"/>
              <w:jc w:val="center"/>
              <w:rPr>
                <w:kern w:val="0"/>
                <w:sz w:val="21"/>
                <w:szCs w:val="21"/>
                <w:highlight w:val="black"/>
              </w:rPr>
            </w:pPr>
            <w:r>
              <w:rPr>
                <w:kern w:val="0"/>
                <w:sz w:val="21"/>
                <w:szCs w:val="21"/>
                <w:highlight w:val="black"/>
              </w:rPr>
              <w:t>18</w:t>
            </w:r>
            <w:r>
              <w:rPr>
                <w:rFonts w:hint="eastAsia"/>
                <w:kern w:val="0"/>
                <w:sz w:val="21"/>
                <w:szCs w:val="21"/>
                <w:highlight w:val="black"/>
              </w:rPr>
              <w:t>79</w:t>
            </w:r>
            <w:r>
              <w:rPr>
                <w:kern w:val="0"/>
                <w:sz w:val="21"/>
                <w:szCs w:val="21"/>
                <w:highlight w:val="black"/>
              </w:rPr>
              <w:t xml:space="preserve"> </w:t>
            </w:r>
          </w:p>
        </w:tc>
      </w:tr>
      <w:bookmarkEnd w:id="183"/>
    </w:tbl>
    <w:p w14:paraId="1B6CC259">
      <w:pPr>
        <w:ind w:firstLine="0" w:firstLineChars="0"/>
        <w:rPr>
          <w:rFonts w:ascii="宋体" w:hAnsi="宋体" w:cs="宋体"/>
          <w:b/>
          <w:bCs/>
        </w:rPr>
      </w:pPr>
    </w:p>
    <w:p w14:paraId="366881C9">
      <w:pPr>
        <w:ind w:firstLine="0" w:firstLineChars="0"/>
        <w:rPr>
          <w:rFonts w:ascii="宋体" w:hAnsi="宋体" w:cs="宋体"/>
          <w:b/>
          <w:bCs/>
        </w:rPr>
      </w:pPr>
    </w:p>
    <w:p w14:paraId="6247D15C">
      <w:pPr>
        <w:ind w:firstLine="0" w:firstLineChars="0"/>
        <w:rPr>
          <w:rFonts w:ascii="宋体" w:hAnsi="宋体" w:cs="宋体"/>
          <w:b/>
          <w:bCs/>
        </w:rPr>
      </w:pPr>
    </w:p>
    <w:p w14:paraId="7837B25A">
      <w:pPr>
        <w:ind w:firstLine="0" w:firstLineChars="0"/>
        <w:rPr>
          <w:rFonts w:ascii="宋体" w:hAnsi="宋体" w:cs="宋体"/>
          <w:b/>
          <w:bCs/>
        </w:rPr>
      </w:pPr>
    </w:p>
    <w:p w14:paraId="0BC2112C">
      <w:pPr>
        <w:ind w:firstLine="0" w:firstLineChars="0"/>
        <w:rPr>
          <w:rFonts w:ascii="宋体" w:hAnsi="宋体" w:cs="宋体"/>
          <w:b/>
          <w:bCs/>
        </w:rPr>
        <w:sectPr>
          <w:pgSz w:w="16838" w:h="11906" w:orient="landscape"/>
          <w:pgMar w:top="1928" w:right="1440" w:bottom="1531" w:left="1440" w:header="1134" w:footer="1361" w:gutter="0"/>
          <w:cols w:space="720" w:num="1"/>
          <w:docGrid w:type="linesAndChars" w:linePitch="383" w:charSpace="2309"/>
        </w:sectPr>
      </w:pPr>
    </w:p>
    <w:p w14:paraId="2F197CCF">
      <w:pPr>
        <w:ind w:firstLine="0" w:firstLineChars="0"/>
        <w:rPr>
          <w:rFonts w:ascii="宋体" w:hAnsi="宋体" w:cs="宋体"/>
          <w:b/>
          <w:bCs/>
        </w:rPr>
      </w:pPr>
      <w:r>
        <w:rPr>
          <w:rFonts w:hint="eastAsia" w:ascii="宋体" w:hAnsi="宋体" w:cs="宋体"/>
          <w:b/>
          <w:bCs/>
        </w:rPr>
        <w:t>2.4.7.3 局部通风</w:t>
      </w:r>
    </w:p>
    <w:p w14:paraId="7FD5D109">
      <w:pPr>
        <w:snapToGrid w:val="0"/>
        <w:spacing w:line="520" w:lineRule="atLeast"/>
        <w:ind w:firstLine="560"/>
        <w:rPr>
          <w:rFonts w:ascii="宋体" w:hAnsi="宋体" w:cs="宋体"/>
          <w:szCs w:val="28"/>
          <w:highlight w:val="black"/>
        </w:rPr>
      </w:pPr>
      <w:r>
        <w:rPr>
          <w:rFonts w:hint="eastAsia" w:ascii="宋体" w:hAnsi="宋体" w:cs="宋体"/>
          <w:szCs w:val="28"/>
          <w:highlight w:val="black"/>
        </w:rPr>
        <w:t>该矿采用抽出式通风系统，大部分采场和巷道可利用矿井通风系统的风量和风压形成贯穿风流。矿井在通风不畅的地段需采用局扇来进行加强通风，在矿井生产期间，使用加强和辅助通风地点有：开拓、探矿巷道掘进工作面，采准、切割工作面以及其他需要临时加强通风的地点。</w:t>
      </w:r>
    </w:p>
    <w:p w14:paraId="48C13D2E">
      <w:pPr>
        <w:spacing w:line="520" w:lineRule="atLeast"/>
        <w:ind w:firstLine="560" w:firstLineChars="0"/>
        <w:rPr>
          <w:rFonts w:ascii="宋体" w:hAnsi="宋体" w:cs="宋体"/>
          <w:szCs w:val="28"/>
          <w:highlight w:val="black"/>
        </w:rPr>
      </w:pPr>
      <w:bookmarkStart w:id="184" w:name="_Hlk54012731"/>
      <w:r>
        <w:rPr>
          <w:rFonts w:hint="eastAsia" w:ascii="宋体" w:hAnsi="宋体" w:cs="宋体"/>
          <w:szCs w:val="28"/>
          <w:highlight w:val="black"/>
        </w:rPr>
        <w:t>局扇风量的确定</w:t>
      </w:r>
    </w:p>
    <w:p w14:paraId="3854F1BE">
      <w:pPr>
        <w:spacing w:line="520" w:lineRule="atLeast"/>
        <w:ind w:firstLine="560" w:firstLineChars="0"/>
        <w:jc w:val="center"/>
        <w:rPr>
          <w:rFonts w:ascii="宋体" w:hAnsi="宋体" w:cs="宋体"/>
          <w:szCs w:val="28"/>
          <w:highlight w:val="black"/>
        </w:rPr>
      </w:pPr>
      <w:r>
        <w:rPr>
          <w:rFonts w:hint="eastAsia" w:ascii="宋体" w:hAnsi="宋体" w:cs="宋体"/>
          <w:szCs w:val="28"/>
          <w:highlight w:val="black"/>
        </w:rPr>
        <w:t>Q</w:t>
      </w:r>
      <w:r>
        <w:rPr>
          <w:rFonts w:hint="eastAsia" w:ascii="宋体" w:hAnsi="宋体" w:cs="宋体"/>
          <w:szCs w:val="28"/>
          <w:highlight w:val="black"/>
          <w:vertAlign w:val="subscript"/>
        </w:rPr>
        <w:t>f</w:t>
      </w:r>
      <w:r>
        <w:rPr>
          <w:rFonts w:hint="eastAsia" w:ascii="宋体" w:hAnsi="宋体" w:cs="宋体"/>
          <w:szCs w:val="28"/>
          <w:highlight w:val="black"/>
        </w:rPr>
        <w:t>=ΦQ=1.15×3.8=4.37m</w:t>
      </w:r>
      <w:r>
        <w:rPr>
          <w:rFonts w:hint="eastAsia" w:ascii="宋体" w:hAnsi="宋体" w:cs="宋体"/>
          <w:szCs w:val="28"/>
          <w:highlight w:val="black"/>
          <w:vertAlign w:val="superscript"/>
        </w:rPr>
        <w:t>3</w:t>
      </w:r>
      <w:r>
        <w:rPr>
          <w:rFonts w:hint="eastAsia" w:ascii="宋体" w:hAnsi="宋体" w:cs="宋体"/>
          <w:szCs w:val="28"/>
          <w:highlight w:val="black"/>
        </w:rPr>
        <w:t>/s</w:t>
      </w:r>
    </w:p>
    <w:p w14:paraId="2DCACC4F">
      <w:pPr>
        <w:spacing w:line="520" w:lineRule="atLeast"/>
        <w:ind w:firstLine="560"/>
        <w:rPr>
          <w:rFonts w:ascii="宋体" w:hAnsi="宋体" w:cs="宋体"/>
          <w:szCs w:val="28"/>
          <w:highlight w:val="black"/>
        </w:rPr>
      </w:pPr>
      <w:r>
        <w:rPr>
          <w:rFonts w:hint="eastAsia" w:ascii="宋体" w:hAnsi="宋体" w:cs="宋体"/>
          <w:szCs w:val="28"/>
          <w:highlight w:val="black"/>
        </w:rPr>
        <w:t>式中：Q</w:t>
      </w:r>
      <w:r>
        <w:rPr>
          <w:rFonts w:hint="eastAsia" w:ascii="宋体" w:hAnsi="宋体" w:cs="宋体"/>
          <w:szCs w:val="28"/>
          <w:highlight w:val="black"/>
          <w:vertAlign w:val="subscript"/>
        </w:rPr>
        <w:t>f</w:t>
      </w:r>
      <w:r>
        <w:rPr>
          <w:rFonts w:hint="eastAsia" w:ascii="宋体" w:hAnsi="宋体" w:cs="宋体"/>
          <w:szCs w:val="28"/>
          <w:highlight w:val="black"/>
        </w:rPr>
        <w:t>—局扇的吸风量，m</w:t>
      </w:r>
      <w:r>
        <w:rPr>
          <w:rFonts w:hint="eastAsia" w:ascii="宋体" w:hAnsi="宋体" w:cs="宋体"/>
          <w:szCs w:val="28"/>
          <w:highlight w:val="black"/>
          <w:vertAlign w:val="superscript"/>
        </w:rPr>
        <w:t>3</w:t>
      </w:r>
      <w:r>
        <w:rPr>
          <w:rFonts w:hint="eastAsia" w:ascii="宋体" w:hAnsi="宋体" w:cs="宋体"/>
          <w:szCs w:val="28"/>
          <w:highlight w:val="black"/>
        </w:rPr>
        <w:t>/s；</w:t>
      </w:r>
    </w:p>
    <w:p w14:paraId="580CB4B6">
      <w:pPr>
        <w:spacing w:line="520" w:lineRule="atLeast"/>
        <w:ind w:firstLine="1430" w:firstLineChars="511"/>
        <w:rPr>
          <w:rFonts w:ascii="宋体" w:hAnsi="宋体" w:cs="宋体"/>
          <w:szCs w:val="28"/>
          <w:highlight w:val="black"/>
        </w:rPr>
      </w:pPr>
      <w:r>
        <w:rPr>
          <w:rFonts w:hint="eastAsia" w:ascii="宋体" w:hAnsi="宋体" w:cs="宋体"/>
          <w:position w:val="-4"/>
          <w:szCs w:val="28"/>
          <w:highlight w:val="black"/>
        </w:rPr>
        <w:object>
          <v:shape id="_x0000_i1034" o:spt="75" type="#_x0000_t75" style="height:11.45pt;width:14.75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3" r:id="rId45">
            <o:LockedField>false</o:LockedField>
          </o:OLEObject>
        </w:object>
      </w:r>
      <w:r>
        <w:rPr>
          <w:rFonts w:hint="eastAsia" w:ascii="宋体" w:hAnsi="宋体" w:cs="宋体"/>
          <w:szCs w:val="28"/>
          <w:highlight w:val="black"/>
        </w:rPr>
        <w:t>—风筒漏风备用系数，取1.15；</w:t>
      </w:r>
    </w:p>
    <w:p w14:paraId="7A7D84ED">
      <w:pPr>
        <w:spacing w:line="520" w:lineRule="atLeast"/>
        <w:ind w:firstLine="1430" w:firstLineChars="511"/>
        <w:rPr>
          <w:rFonts w:ascii="宋体" w:hAnsi="宋体" w:cs="宋体"/>
          <w:szCs w:val="28"/>
          <w:highlight w:val="black"/>
        </w:rPr>
      </w:pPr>
      <w:r>
        <w:rPr>
          <w:rFonts w:hint="eastAsia" w:ascii="宋体" w:hAnsi="宋体" w:cs="宋体"/>
          <w:position w:val="-10"/>
          <w:szCs w:val="28"/>
          <w:highlight w:val="black"/>
        </w:rPr>
        <w:object>
          <v:shape id="_x0000_i1035" o:spt="75" type="#_x0000_t75" style="height:14.75pt;width:11.45pt;" o:ole="t" filled="f" o:preferrelative="t" stroked="f" coordsize="21600,21600">
            <v:path/>
            <v:fill on="f" focussize="0,0"/>
            <v:stroke on="f" joinstyle="miter"/>
            <v:imagedata r:id="rId48" o:title=""/>
            <o:lock v:ext="edit" aspectratio="t"/>
            <w10:wrap type="none"/>
            <w10:anchorlock/>
          </v:shape>
          <o:OLEObject Type="Embed" ProgID="Equation.3" ShapeID="_x0000_i1035" DrawAspect="Content" ObjectID="_1468075734" r:id="rId47">
            <o:LockedField>false</o:LockedField>
          </o:OLEObject>
        </w:object>
      </w:r>
      <w:r>
        <w:rPr>
          <w:rFonts w:hint="eastAsia" w:ascii="宋体" w:hAnsi="宋体" w:cs="宋体"/>
          <w:szCs w:val="28"/>
          <w:highlight w:val="black"/>
        </w:rPr>
        <w:t>—风筒的末端风量，3.8m</w:t>
      </w:r>
      <w:r>
        <w:rPr>
          <w:rFonts w:hint="eastAsia" w:ascii="宋体" w:hAnsi="宋体" w:cs="宋体"/>
          <w:szCs w:val="28"/>
          <w:highlight w:val="black"/>
          <w:vertAlign w:val="superscript"/>
        </w:rPr>
        <w:t>3</w:t>
      </w:r>
      <w:r>
        <w:rPr>
          <w:rFonts w:hint="eastAsia" w:ascii="宋体" w:hAnsi="宋体" w:cs="宋体"/>
          <w:szCs w:val="28"/>
          <w:highlight w:val="black"/>
        </w:rPr>
        <w:t>/s。</w:t>
      </w:r>
    </w:p>
    <w:p w14:paraId="3C617DFF">
      <w:pPr>
        <w:spacing w:line="520" w:lineRule="atLeast"/>
        <w:ind w:firstLine="560" w:firstLineChars="0"/>
        <w:rPr>
          <w:rFonts w:ascii="宋体" w:hAnsi="宋体" w:cs="宋体"/>
          <w:szCs w:val="28"/>
          <w:highlight w:val="black"/>
        </w:rPr>
      </w:pPr>
      <w:r>
        <w:rPr>
          <w:rFonts w:hint="eastAsia" w:ascii="宋体" w:hAnsi="宋体" w:cs="宋体"/>
          <w:szCs w:val="28"/>
          <w:highlight w:val="black"/>
        </w:rPr>
        <w:t>局扇风压的确定</w:t>
      </w:r>
    </w:p>
    <w:p w14:paraId="032B69E5">
      <w:pPr>
        <w:spacing w:before="156" w:beforeLines="50" w:after="156" w:afterLines="50" w:line="520" w:lineRule="atLeast"/>
        <w:ind w:firstLine="560"/>
        <w:jc w:val="center"/>
        <w:rPr>
          <w:rFonts w:ascii="宋体" w:hAnsi="宋体" w:cs="宋体"/>
          <w:szCs w:val="28"/>
          <w:highlight w:val="black"/>
        </w:rPr>
      </w:pPr>
      <w:r>
        <w:rPr>
          <w:rFonts w:hint="eastAsia" w:ascii="宋体" w:hAnsi="宋体" w:cs="宋体"/>
          <w:position w:val="-24"/>
          <w:szCs w:val="28"/>
          <w:highlight w:val="black"/>
        </w:rPr>
        <w:object>
          <v:shape id="_x0000_i1036" o:spt="75" type="#_x0000_t75" style="height:30.55pt;width:253.65pt;" o:ole="t" filled="f" o:preferrelative="t" stroked="f" coordsize="21600,21600">
            <v:path/>
            <v:fill on="f" focussize="0,0"/>
            <v:stroke on="f" joinstyle="miter"/>
            <v:imagedata r:id="rId50" o:title=""/>
            <o:lock v:ext="edit" aspectratio="t"/>
            <w10:wrap type="none"/>
            <w10:anchorlock/>
          </v:shape>
          <o:OLEObject Type="Embed" ProgID="Equation.DSMT4" ShapeID="_x0000_i1036" DrawAspect="Content" ObjectID="_1468075735" r:id="rId49">
            <o:LockedField>false</o:LockedField>
          </o:OLEObject>
        </w:object>
      </w:r>
    </w:p>
    <w:p w14:paraId="338A29E5">
      <w:pPr>
        <w:snapToGrid w:val="0"/>
        <w:spacing w:line="520" w:lineRule="atLeast"/>
        <w:ind w:firstLine="560"/>
        <w:rPr>
          <w:rFonts w:ascii="宋体" w:hAnsi="宋体" w:cs="宋体"/>
          <w:szCs w:val="28"/>
          <w:highlight w:val="black"/>
        </w:rPr>
      </w:pPr>
      <w:r>
        <w:rPr>
          <w:rFonts w:hint="eastAsia" w:ascii="宋体" w:hAnsi="宋体" w:cs="宋体"/>
          <w:szCs w:val="28"/>
          <w:highlight w:val="black"/>
        </w:rPr>
        <w:t>式中：H</w:t>
      </w:r>
      <w:r>
        <w:rPr>
          <w:rFonts w:hint="eastAsia" w:ascii="宋体" w:hAnsi="宋体" w:cs="宋体"/>
          <w:szCs w:val="28"/>
          <w:highlight w:val="black"/>
          <w:vertAlign w:val="subscript"/>
        </w:rPr>
        <w:t>f</w:t>
      </w:r>
      <w:r>
        <w:rPr>
          <w:rFonts w:hint="eastAsia" w:ascii="宋体" w:hAnsi="宋体" w:cs="宋体"/>
          <w:szCs w:val="28"/>
          <w:highlight w:val="black"/>
        </w:rPr>
        <w:t>—局扇的风压，Pa；</w:t>
      </w:r>
    </w:p>
    <w:p w14:paraId="5675F668">
      <w:pPr>
        <w:snapToGrid w:val="0"/>
        <w:spacing w:line="520" w:lineRule="atLeast"/>
        <w:ind w:firstLine="1416" w:firstLineChars="506"/>
        <w:rPr>
          <w:rFonts w:ascii="宋体" w:hAnsi="宋体" w:cs="宋体"/>
          <w:szCs w:val="28"/>
          <w:highlight w:val="black"/>
        </w:rPr>
      </w:pPr>
      <w:r>
        <w:rPr>
          <w:rFonts w:hint="eastAsia" w:ascii="宋体" w:hAnsi="宋体" w:cs="宋体"/>
          <w:szCs w:val="28"/>
          <w:highlight w:val="black"/>
        </w:rPr>
        <w:t>S—风筒的通风断面面积，直径为0.5m，0.2m</w:t>
      </w:r>
      <w:r>
        <w:rPr>
          <w:rFonts w:hint="eastAsia" w:ascii="宋体" w:hAnsi="宋体" w:cs="宋体"/>
          <w:szCs w:val="28"/>
          <w:highlight w:val="black"/>
          <w:vertAlign w:val="superscript"/>
        </w:rPr>
        <w:t>2</w:t>
      </w:r>
      <w:r>
        <w:rPr>
          <w:rFonts w:hint="eastAsia" w:ascii="宋体" w:hAnsi="宋体" w:cs="宋体"/>
          <w:szCs w:val="28"/>
          <w:highlight w:val="black"/>
        </w:rPr>
        <w:t>；</w:t>
      </w:r>
    </w:p>
    <w:p w14:paraId="067AD7D0">
      <w:pPr>
        <w:snapToGrid w:val="0"/>
        <w:spacing w:line="520" w:lineRule="atLeast"/>
        <w:ind w:firstLine="1416" w:firstLineChars="506"/>
        <w:rPr>
          <w:rFonts w:ascii="宋体" w:hAnsi="宋体" w:cs="宋体"/>
          <w:szCs w:val="28"/>
          <w:highlight w:val="black"/>
        </w:rPr>
      </w:pPr>
      <w:r>
        <w:rPr>
          <w:rFonts w:hint="eastAsia" w:ascii="宋体" w:hAnsi="宋体" w:cs="宋体"/>
          <w:szCs w:val="28"/>
          <w:highlight w:val="black"/>
        </w:rPr>
        <w:t>P—风筒断面的周边边长，1.57m；</w:t>
      </w:r>
    </w:p>
    <w:p w14:paraId="31B60CD9">
      <w:pPr>
        <w:snapToGrid w:val="0"/>
        <w:spacing w:line="520" w:lineRule="atLeast"/>
        <w:ind w:firstLine="1416" w:firstLineChars="506"/>
        <w:rPr>
          <w:rFonts w:ascii="宋体" w:hAnsi="宋体" w:cs="宋体"/>
          <w:szCs w:val="28"/>
          <w:highlight w:val="black"/>
        </w:rPr>
      </w:pPr>
      <w:r>
        <w:rPr>
          <w:rFonts w:hint="eastAsia" w:ascii="宋体" w:hAnsi="宋体" w:cs="宋体"/>
          <w:szCs w:val="28"/>
          <w:highlight w:val="black"/>
        </w:rPr>
        <w:t>L—风筒的长度，200m；</w:t>
      </w:r>
    </w:p>
    <w:p w14:paraId="3017A2D8">
      <w:pPr>
        <w:snapToGrid w:val="0"/>
        <w:spacing w:line="520" w:lineRule="atLeast"/>
        <w:ind w:firstLine="1416" w:firstLineChars="506"/>
        <w:rPr>
          <w:rFonts w:ascii="宋体" w:hAnsi="宋体" w:cs="宋体"/>
          <w:szCs w:val="28"/>
          <w:highlight w:val="black"/>
        </w:rPr>
      </w:pPr>
      <w:r>
        <w:rPr>
          <w:rFonts w:hint="eastAsia" w:ascii="宋体" w:hAnsi="宋体" w:cs="宋体"/>
          <w:szCs w:val="28"/>
          <w:highlight w:val="black"/>
        </w:rPr>
        <w:t>α—风筒的摩擦阻力系数，取0.0032。</w:t>
      </w:r>
    </w:p>
    <w:p w14:paraId="15CF1349">
      <w:pPr>
        <w:spacing w:line="520" w:lineRule="atLeast"/>
        <w:ind w:firstLine="560" w:firstLineChars="0"/>
        <w:rPr>
          <w:rFonts w:ascii="宋体" w:hAnsi="宋体" w:cs="宋体"/>
          <w:szCs w:val="28"/>
          <w:highlight w:val="black"/>
        </w:rPr>
      </w:pPr>
      <w:r>
        <w:rPr>
          <w:rFonts w:hint="eastAsia" w:ascii="宋体" w:hAnsi="宋体" w:cs="宋体"/>
          <w:szCs w:val="28"/>
          <w:highlight w:val="black"/>
        </w:rPr>
        <w:t>计算局扇风量为4.37m</w:t>
      </w:r>
      <w:r>
        <w:rPr>
          <w:rFonts w:hint="eastAsia" w:ascii="宋体" w:hAnsi="宋体" w:cs="宋体"/>
          <w:szCs w:val="28"/>
          <w:highlight w:val="black"/>
          <w:vertAlign w:val="superscript"/>
        </w:rPr>
        <w:t>3</w:t>
      </w:r>
      <w:r>
        <w:rPr>
          <w:rFonts w:hint="eastAsia" w:ascii="宋体" w:hAnsi="宋体" w:cs="宋体"/>
          <w:szCs w:val="28"/>
          <w:highlight w:val="black"/>
        </w:rPr>
        <w:t>/s，局扇风压为2399Pa。设计选择FK№4.5/11（Ⅰ）型局扇8台（另备用2台）。如探矿独头巷过长、风压增大，则应增大局扇选型</w:t>
      </w:r>
      <w:bookmarkEnd w:id="184"/>
      <w:r>
        <w:rPr>
          <w:rFonts w:hint="eastAsia" w:ascii="宋体" w:hAnsi="宋体" w:cs="宋体"/>
          <w:szCs w:val="28"/>
          <w:highlight w:val="black"/>
        </w:rPr>
        <w:t>。</w:t>
      </w:r>
    </w:p>
    <w:p w14:paraId="442390B1">
      <w:pPr>
        <w:spacing w:line="520" w:lineRule="atLeast"/>
        <w:ind w:firstLine="560"/>
        <w:rPr>
          <w:rFonts w:ascii="宋体" w:hAnsi="宋体" w:cs="宋体"/>
          <w:szCs w:val="28"/>
          <w:highlight w:val="black"/>
        </w:rPr>
      </w:pPr>
      <w:r>
        <w:rPr>
          <w:rFonts w:hint="eastAsia" w:ascii="宋体" w:hAnsi="宋体" w:cs="宋体"/>
          <w:szCs w:val="28"/>
          <w:highlight w:val="black"/>
        </w:rPr>
        <w:t>局部通风方式可根据开拓工程、采场开采工程及采准切割工程的施工路线长短，选择局部通风方式图所示各种通风方式。</w:t>
      </w:r>
    </w:p>
    <w:p w14:paraId="2372A07B">
      <w:pPr>
        <w:spacing w:line="520" w:lineRule="atLeast"/>
        <w:ind w:firstLine="560"/>
        <w:rPr>
          <w:rFonts w:ascii="宋体" w:hAnsi="宋体" w:cs="宋体"/>
          <w:szCs w:val="28"/>
          <w:highlight w:val="black"/>
        </w:rPr>
      </w:pPr>
      <w:r>
        <w:rPr>
          <w:rFonts w:hint="eastAsia" w:ascii="宋体" w:hAnsi="宋体" w:cs="宋体"/>
          <w:szCs w:val="28"/>
          <w:highlight w:val="black"/>
        </w:rPr>
        <w:t>对于独头掘进、通风线路较长的工作面，选用压抽混合式比较适宜。</w:t>
      </w:r>
    </w:p>
    <w:p w14:paraId="7F8361C7">
      <w:pPr>
        <w:spacing w:line="520" w:lineRule="atLeast"/>
        <w:ind w:firstLine="560" w:firstLineChars="0"/>
        <w:rPr>
          <w:rFonts w:ascii="宋体" w:hAnsi="宋体" w:cs="宋体"/>
          <w:szCs w:val="28"/>
          <w:highlight w:val="black"/>
        </w:rPr>
      </w:pPr>
      <w:bookmarkStart w:id="185" w:name="_Hlk54012715"/>
      <w:r>
        <w:rPr>
          <w:rFonts w:hint="eastAsia" w:ascii="宋体" w:hAnsi="宋体" w:cs="宋体"/>
          <w:szCs w:val="28"/>
          <w:highlight w:val="black"/>
        </w:rPr>
        <w:t>FK№4.5/11（Ⅰ）型局扇主要技术参数：</w:t>
      </w:r>
    </w:p>
    <w:p w14:paraId="6E4AF9FD">
      <w:pPr>
        <w:snapToGrid w:val="0"/>
        <w:spacing w:line="240" w:lineRule="auto"/>
        <w:ind w:firstLine="0" w:firstLineChars="0"/>
        <w:jc w:val="center"/>
        <w:rPr>
          <w:bCs/>
          <w:sz w:val="21"/>
          <w:szCs w:val="21"/>
          <w:highlight w:val="black"/>
        </w:rPr>
      </w:pPr>
      <w:r>
        <w:rPr>
          <w:b/>
          <w:sz w:val="21"/>
          <w:szCs w:val="21"/>
          <w:highlight w:val="black"/>
        </w:rPr>
        <w:t>表</w:t>
      </w:r>
      <w:r>
        <w:rPr>
          <w:rFonts w:hint="eastAsia"/>
          <w:b/>
          <w:sz w:val="21"/>
          <w:szCs w:val="21"/>
          <w:highlight w:val="black"/>
        </w:rPr>
        <w:t>2-18</w:t>
      </w:r>
      <w:r>
        <w:rPr>
          <w:b/>
          <w:sz w:val="21"/>
          <w:szCs w:val="21"/>
          <w:highlight w:val="black"/>
        </w:rPr>
        <w:t>局扇风机配置表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76"/>
        <w:gridCol w:w="998"/>
        <w:gridCol w:w="1434"/>
        <w:gridCol w:w="1434"/>
        <w:gridCol w:w="1147"/>
        <w:gridCol w:w="1082"/>
      </w:tblGrid>
      <w:tr w14:paraId="0F68C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11" w:type="pct"/>
            <w:tcBorders>
              <w:tl2br w:val="nil"/>
              <w:tr2bl w:val="nil"/>
            </w:tcBorders>
            <w:shd w:val="clear" w:color="auto" w:fill="auto"/>
            <w:vAlign w:val="center"/>
          </w:tcPr>
          <w:p w14:paraId="4D6551E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序号</w:t>
            </w:r>
          </w:p>
        </w:tc>
        <w:tc>
          <w:tcPr>
            <w:tcW w:w="856" w:type="pct"/>
            <w:tcBorders>
              <w:tl2br w:val="nil"/>
              <w:tr2bl w:val="nil"/>
            </w:tcBorders>
            <w:shd w:val="clear" w:color="auto" w:fill="auto"/>
            <w:vAlign w:val="center"/>
          </w:tcPr>
          <w:p w14:paraId="4304C40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井巷名称</w:t>
            </w:r>
          </w:p>
        </w:tc>
        <w:tc>
          <w:tcPr>
            <w:tcW w:w="597" w:type="pct"/>
            <w:tcBorders>
              <w:tl2br w:val="nil"/>
              <w:tr2bl w:val="nil"/>
            </w:tcBorders>
            <w:shd w:val="clear" w:color="auto" w:fill="auto"/>
            <w:vAlign w:val="center"/>
          </w:tcPr>
          <w:p w14:paraId="28E1B6C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台数</w:t>
            </w:r>
          </w:p>
        </w:tc>
        <w:tc>
          <w:tcPr>
            <w:tcW w:w="853" w:type="pct"/>
            <w:tcBorders>
              <w:tl2br w:val="nil"/>
              <w:tr2bl w:val="nil"/>
            </w:tcBorders>
            <w:shd w:val="clear" w:color="auto" w:fill="auto"/>
            <w:vAlign w:val="center"/>
          </w:tcPr>
          <w:p w14:paraId="762D055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风量</w:t>
            </w:r>
            <w:r>
              <w:rPr>
                <w:rFonts w:hint="eastAsia"/>
                <w:kern w:val="0"/>
                <w:sz w:val="21"/>
                <w:szCs w:val="21"/>
                <w:highlight w:val="black"/>
              </w:rPr>
              <w:t>（</w:t>
            </w:r>
            <w:r>
              <w:rPr>
                <w:sz w:val="21"/>
                <w:szCs w:val="21"/>
                <w:highlight w:val="black"/>
              </w:rPr>
              <w:t>m</w:t>
            </w:r>
            <w:r>
              <w:rPr>
                <w:sz w:val="21"/>
                <w:szCs w:val="21"/>
                <w:highlight w:val="black"/>
                <w:vertAlign w:val="superscript"/>
              </w:rPr>
              <w:t>3</w:t>
            </w:r>
            <w:r>
              <w:rPr>
                <w:sz w:val="21"/>
                <w:szCs w:val="21"/>
                <w:highlight w:val="black"/>
              </w:rPr>
              <w:t>/s</w:t>
            </w:r>
            <w:r>
              <w:rPr>
                <w:rFonts w:hint="eastAsia"/>
                <w:sz w:val="21"/>
                <w:szCs w:val="21"/>
                <w:highlight w:val="black"/>
              </w:rPr>
              <w:t>）</w:t>
            </w:r>
          </w:p>
        </w:tc>
        <w:tc>
          <w:tcPr>
            <w:tcW w:w="853" w:type="pct"/>
            <w:tcBorders>
              <w:tl2br w:val="nil"/>
              <w:tr2bl w:val="nil"/>
            </w:tcBorders>
            <w:vAlign w:val="center"/>
          </w:tcPr>
          <w:p w14:paraId="3833DFA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负压</w:t>
            </w:r>
            <w:r>
              <w:rPr>
                <w:rFonts w:hint="eastAsia"/>
                <w:kern w:val="0"/>
                <w:sz w:val="21"/>
                <w:szCs w:val="21"/>
                <w:highlight w:val="black"/>
              </w:rPr>
              <w:t>（</w:t>
            </w:r>
            <w:r>
              <w:rPr>
                <w:sz w:val="21"/>
                <w:szCs w:val="21"/>
                <w:highlight w:val="black"/>
              </w:rPr>
              <w:t>Pa</w:t>
            </w:r>
            <w:r>
              <w:rPr>
                <w:rFonts w:hint="eastAsia"/>
                <w:sz w:val="21"/>
                <w:szCs w:val="21"/>
                <w:highlight w:val="black"/>
              </w:rPr>
              <w:t>）</w:t>
            </w:r>
          </w:p>
        </w:tc>
        <w:tc>
          <w:tcPr>
            <w:tcW w:w="684" w:type="pct"/>
            <w:tcBorders>
              <w:tl2br w:val="nil"/>
              <w:tr2bl w:val="nil"/>
            </w:tcBorders>
            <w:vAlign w:val="center"/>
          </w:tcPr>
          <w:p w14:paraId="391726B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功率</w:t>
            </w:r>
            <w:r>
              <w:rPr>
                <w:rFonts w:hint="eastAsia"/>
                <w:kern w:val="0"/>
                <w:sz w:val="21"/>
                <w:szCs w:val="21"/>
                <w:highlight w:val="black"/>
              </w:rPr>
              <w:t>（</w:t>
            </w:r>
            <w:r>
              <w:rPr>
                <w:kern w:val="0"/>
                <w:sz w:val="21"/>
                <w:szCs w:val="21"/>
                <w:highlight w:val="black"/>
              </w:rPr>
              <w:t>kW</w:t>
            </w:r>
            <w:r>
              <w:rPr>
                <w:rFonts w:hint="eastAsia"/>
                <w:kern w:val="0"/>
                <w:sz w:val="21"/>
                <w:szCs w:val="21"/>
                <w:highlight w:val="black"/>
              </w:rPr>
              <w:t>）</w:t>
            </w:r>
          </w:p>
        </w:tc>
        <w:tc>
          <w:tcPr>
            <w:tcW w:w="647" w:type="pct"/>
            <w:tcBorders>
              <w:tl2br w:val="nil"/>
              <w:tr2bl w:val="nil"/>
            </w:tcBorders>
            <w:shd w:val="clear" w:color="auto" w:fill="auto"/>
            <w:vAlign w:val="center"/>
          </w:tcPr>
          <w:p w14:paraId="483409C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备注</w:t>
            </w:r>
          </w:p>
        </w:tc>
      </w:tr>
      <w:tr w14:paraId="23618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tcBorders>
              <w:tl2br w:val="nil"/>
              <w:tr2bl w:val="nil"/>
            </w:tcBorders>
            <w:shd w:val="clear" w:color="auto" w:fill="auto"/>
            <w:vAlign w:val="center"/>
          </w:tcPr>
          <w:p w14:paraId="4252BE2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w:t>
            </w:r>
          </w:p>
        </w:tc>
        <w:tc>
          <w:tcPr>
            <w:tcW w:w="856" w:type="pct"/>
            <w:tcBorders>
              <w:tl2br w:val="nil"/>
              <w:tr2bl w:val="nil"/>
            </w:tcBorders>
            <w:shd w:val="clear" w:color="000000" w:fill="FFFFFF"/>
            <w:noWrap/>
            <w:vAlign w:val="center"/>
          </w:tcPr>
          <w:p w14:paraId="7B564FF5">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FK№4.5/11(Ⅰ)</w:t>
            </w:r>
          </w:p>
        </w:tc>
        <w:tc>
          <w:tcPr>
            <w:tcW w:w="597" w:type="pct"/>
            <w:tcBorders>
              <w:tl2br w:val="nil"/>
              <w:tr2bl w:val="nil"/>
            </w:tcBorders>
            <w:shd w:val="clear" w:color="000000" w:fill="FFFFFF"/>
            <w:vAlign w:val="center"/>
          </w:tcPr>
          <w:p w14:paraId="39467020">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10</w:t>
            </w:r>
          </w:p>
        </w:tc>
        <w:tc>
          <w:tcPr>
            <w:tcW w:w="853" w:type="pct"/>
            <w:tcBorders>
              <w:tl2br w:val="nil"/>
              <w:tr2bl w:val="nil"/>
            </w:tcBorders>
            <w:shd w:val="clear" w:color="000000" w:fill="FFFFFF"/>
            <w:vAlign w:val="center"/>
          </w:tcPr>
          <w:p w14:paraId="5E485ADB">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2.2</w:t>
            </w:r>
            <w:r>
              <w:rPr>
                <w:kern w:val="0"/>
                <w:sz w:val="21"/>
                <w:szCs w:val="21"/>
                <w:highlight w:val="black"/>
              </w:rPr>
              <w:t>～</w:t>
            </w:r>
            <w:r>
              <w:rPr>
                <w:rFonts w:hint="eastAsia"/>
                <w:kern w:val="0"/>
                <w:sz w:val="21"/>
                <w:szCs w:val="21"/>
                <w:highlight w:val="black"/>
              </w:rPr>
              <w:t>3.</w:t>
            </w:r>
            <w:r>
              <w:rPr>
                <w:kern w:val="0"/>
                <w:sz w:val="21"/>
                <w:szCs w:val="21"/>
                <w:highlight w:val="black"/>
              </w:rPr>
              <w:t>5</w:t>
            </w:r>
          </w:p>
        </w:tc>
        <w:tc>
          <w:tcPr>
            <w:tcW w:w="853" w:type="pct"/>
            <w:tcBorders>
              <w:tl2br w:val="nil"/>
              <w:tr2bl w:val="nil"/>
            </w:tcBorders>
            <w:shd w:val="clear" w:color="000000" w:fill="FFFFFF"/>
            <w:vAlign w:val="center"/>
          </w:tcPr>
          <w:p w14:paraId="18D27E98">
            <w:pPr>
              <w:widowControl/>
              <w:adjustRightInd w:val="0"/>
              <w:snapToGrid w:val="0"/>
              <w:spacing w:line="240" w:lineRule="atLeast"/>
              <w:ind w:firstLine="0" w:firstLineChars="0"/>
              <w:jc w:val="center"/>
              <w:rPr>
                <w:sz w:val="21"/>
                <w:szCs w:val="21"/>
                <w:highlight w:val="black"/>
              </w:rPr>
            </w:pPr>
            <w:r>
              <w:rPr>
                <w:sz w:val="21"/>
                <w:szCs w:val="21"/>
                <w:highlight w:val="black"/>
              </w:rPr>
              <w:t>1</w:t>
            </w:r>
            <w:r>
              <w:rPr>
                <w:rFonts w:hint="eastAsia"/>
                <w:sz w:val="21"/>
                <w:szCs w:val="21"/>
                <w:highlight w:val="black"/>
              </w:rPr>
              <w:t>811</w:t>
            </w:r>
            <w:r>
              <w:rPr>
                <w:sz w:val="21"/>
                <w:szCs w:val="21"/>
                <w:highlight w:val="black"/>
              </w:rPr>
              <w:t>～2</w:t>
            </w:r>
            <w:r>
              <w:rPr>
                <w:rFonts w:hint="eastAsia"/>
                <w:sz w:val="21"/>
                <w:szCs w:val="21"/>
                <w:highlight w:val="black"/>
              </w:rPr>
              <w:t>923</w:t>
            </w:r>
          </w:p>
        </w:tc>
        <w:tc>
          <w:tcPr>
            <w:tcW w:w="684" w:type="pct"/>
            <w:tcBorders>
              <w:tl2br w:val="nil"/>
              <w:tr2bl w:val="nil"/>
            </w:tcBorders>
            <w:shd w:val="clear" w:color="000000" w:fill="FFFFFF"/>
            <w:vAlign w:val="center"/>
          </w:tcPr>
          <w:p w14:paraId="5E4F4A6F">
            <w:pPr>
              <w:widowControl/>
              <w:adjustRightInd w:val="0"/>
              <w:snapToGrid w:val="0"/>
              <w:spacing w:line="240" w:lineRule="atLeast"/>
              <w:ind w:firstLine="0" w:firstLineChars="0"/>
              <w:jc w:val="center"/>
              <w:rPr>
                <w:sz w:val="21"/>
                <w:szCs w:val="21"/>
                <w:highlight w:val="black"/>
              </w:rPr>
            </w:pPr>
            <w:r>
              <w:rPr>
                <w:sz w:val="21"/>
                <w:szCs w:val="21"/>
                <w:highlight w:val="black"/>
              </w:rPr>
              <w:t>11</w:t>
            </w:r>
          </w:p>
        </w:tc>
        <w:tc>
          <w:tcPr>
            <w:tcW w:w="647" w:type="pct"/>
            <w:tcBorders>
              <w:tl2br w:val="nil"/>
              <w:tr2bl w:val="nil"/>
            </w:tcBorders>
            <w:shd w:val="clear" w:color="000000" w:fill="FFFFFF"/>
            <w:vAlign w:val="center"/>
          </w:tcPr>
          <w:p w14:paraId="22E76D87">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8</w:t>
            </w:r>
            <w:r>
              <w:rPr>
                <w:kern w:val="0"/>
                <w:sz w:val="21"/>
                <w:szCs w:val="21"/>
                <w:highlight w:val="black"/>
              </w:rPr>
              <w:t>用</w:t>
            </w:r>
            <w:r>
              <w:rPr>
                <w:rFonts w:hint="eastAsia"/>
                <w:kern w:val="0"/>
                <w:sz w:val="21"/>
                <w:szCs w:val="21"/>
                <w:highlight w:val="black"/>
              </w:rPr>
              <w:t>2</w:t>
            </w:r>
            <w:r>
              <w:rPr>
                <w:kern w:val="0"/>
                <w:sz w:val="21"/>
                <w:szCs w:val="21"/>
                <w:highlight w:val="black"/>
              </w:rPr>
              <w:t>备</w:t>
            </w:r>
          </w:p>
        </w:tc>
      </w:tr>
    </w:tbl>
    <w:p w14:paraId="6FBB496F">
      <w:pPr>
        <w:spacing w:line="520" w:lineRule="atLeast"/>
        <w:ind w:firstLine="560" w:firstLineChars="0"/>
        <w:rPr>
          <w:rFonts w:ascii="宋体" w:hAnsi="宋体" w:cs="宋体"/>
          <w:szCs w:val="28"/>
          <w:highlight w:val="black"/>
        </w:rPr>
      </w:pPr>
      <w:r>
        <w:rPr>
          <w:rFonts w:hint="eastAsia" w:ascii="宋体" w:hAnsi="宋体" w:cs="宋体"/>
          <w:szCs w:val="28"/>
          <w:highlight w:val="black"/>
        </w:rPr>
        <w:t>（1）局部通风应采用阻燃风筒，风筒口与工作面的距离：压入式通风不应超过10m；抽出式通风不应超过5m；混合式通风，压入风筒的出口不应超过10m，抽出风筒入口应滞后压入风筒出口5m以上。</w:t>
      </w:r>
    </w:p>
    <w:p w14:paraId="7EFD1BFC">
      <w:pPr>
        <w:spacing w:line="520" w:lineRule="atLeast"/>
        <w:ind w:firstLine="560" w:firstLineChars="0"/>
        <w:rPr>
          <w:rFonts w:ascii="宋体" w:hAnsi="宋体" w:cs="宋体"/>
          <w:szCs w:val="28"/>
          <w:highlight w:val="black"/>
        </w:rPr>
      </w:pPr>
      <w:r>
        <w:rPr>
          <w:rFonts w:hint="eastAsia" w:ascii="宋体" w:hAnsi="宋体" w:cs="宋体"/>
          <w:szCs w:val="28"/>
          <w:highlight w:val="black"/>
        </w:rPr>
        <w:t>（2）人员进入独头工作面之前，应启动局部通风机通风，确保空气质量满足作业要求，较长时间无人进入的工作面还应进行空气质量检测。独头工作面有人作业时，通风机应连续运转。</w:t>
      </w:r>
    </w:p>
    <w:p w14:paraId="4F278BB5">
      <w:pPr>
        <w:spacing w:line="520" w:lineRule="atLeast"/>
        <w:ind w:firstLine="560" w:firstLineChars="0"/>
        <w:rPr>
          <w:rFonts w:ascii="宋体" w:hAnsi="宋体" w:cs="宋体"/>
          <w:szCs w:val="28"/>
          <w:highlight w:val="black"/>
        </w:rPr>
      </w:pPr>
      <w:r>
        <w:rPr>
          <w:rFonts w:hint="eastAsia" w:ascii="宋体" w:hAnsi="宋体" w:cs="宋体"/>
          <w:szCs w:val="28"/>
          <w:highlight w:val="black"/>
        </w:rPr>
        <w:t>（3）停止作业且无贯穿风流的采场、独头巷道，应设栅栏和警示标志，防止人员进入。重新进入前，应进行通风并检测空气成分，确认安全后方准进入。</w:t>
      </w:r>
    </w:p>
    <w:p w14:paraId="3B276DA7">
      <w:pPr>
        <w:spacing w:line="520" w:lineRule="atLeast"/>
        <w:ind w:firstLine="560" w:firstLineChars="0"/>
        <w:rPr>
          <w:rFonts w:ascii="宋体" w:hAnsi="宋体" w:cs="宋体"/>
          <w:szCs w:val="28"/>
          <w:highlight w:val="black"/>
        </w:rPr>
      </w:pPr>
      <w:r>
        <w:rPr>
          <w:rFonts w:hint="eastAsia" w:ascii="宋体" w:hAnsi="宋体" w:cs="宋体"/>
          <w:szCs w:val="28"/>
          <w:highlight w:val="black"/>
        </w:rPr>
        <w:t>（4）风筒应吊挂平直、牢固，接头严密，避免车碰和炮崩，并应经常维护，以减少漏风，降低阻力。</w:t>
      </w:r>
    </w:p>
    <w:bookmarkEnd w:id="185"/>
    <w:p w14:paraId="72A683C5">
      <w:pPr>
        <w:ind w:firstLine="0" w:firstLineChars="0"/>
        <w:rPr>
          <w:rFonts w:ascii="宋体" w:hAnsi="宋体" w:cs="宋体"/>
          <w:b/>
          <w:bCs/>
        </w:rPr>
      </w:pPr>
      <w:r>
        <w:rPr>
          <w:rFonts w:hint="eastAsia" w:ascii="宋体" w:hAnsi="宋体" w:cs="宋体"/>
          <w:b/>
          <w:bCs/>
        </w:rPr>
        <w:t>2.4.7.4 通风构筑物</w:t>
      </w:r>
    </w:p>
    <w:p w14:paraId="791A102D">
      <w:pPr>
        <w:snapToGrid w:val="0"/>
        <w:spacing w:line="520" w:lineRule="atLeast"/>
        <w:ind w:firstLine="560"/>
        <w:rPr>
          <w:rFonts w:asciiTheme="minorEastAsia" w:hAnsiTheme="minorEastAsia" w:eastAsiaTheme="minorEastAsia" w:cstheme="minorEastAsia"/>
          <w:szCs w:val="28"/>
          <w:highlight w:val="black"/>
        </w:rPr>
      </w:pPr>
      <w:bookmarkStart w:id="186" w:name="_Hlk153968216"/>
      <w:r>
        <w:rPr>
          <w:rFonts w:hint="eastAsia" w:asciiTheme="minorEastAsia" w:hAnsiTheme="minorEastAsia" w:eastAsiaTheme="minorEastAsia" w:cstheme="minorEastAsia"/>
          <w:szCs w:val="28"/>
          <w:highlight w:val="black"/>
        </w:rPr>
        <w:t>随着生产进行，采掘工作面改变，回采结束的中段需要封闭与通风网络的联通，主要是在中段石门与中段的联络道上设风墙或风门密闭。</w:t>
      </w:r>
    </w:p>
    <w:p w14:paraId="77EB9909">
      <w:pPr>
        <w:snapToGrid w:val="0"/>
        <w:spacing w:line="520" w:lineRule="atLeast"/>
        <w:ind w:left="20" w:firstLine="560"/>
        <w:rPr>
          <w:rFonts w:asciiTheme="minorEastAsia" w:hAnsiTheme="minorEastAsia" w:eastAsiaTheme="minorEastAsia" w:cstheme="minorEastAsia"/>
          <w:szCs w:val="28"/>
          <w:highlight w:val="black"/>
        </w:rPr>
      </w:pPr>
      <w:r>
        <w:rPr>
          <w:rFonts w:hint="eastAsia" w:asciiTheme="minorEastAsia" w:hAnsiTheme="minorEastAsia" w:eastAsiaTheme="minorEastAsia" w:cstheme="minorEastAsia"/>
          <w:szCs w:val="28"/>
          <w:highlight w:val="black"/>
        </w:rPr>
        <w:t>因为本矿山进回风路较为简单，但是因为井下同时开采矿块较多，为了达到分区供风以及避免井下跑风、风流串联、风流循环等现象，井下需设置相应手动或自动风门以确保通风系统顺畅。分区供风主要通过设置调节风门控制矿井风流，保证各工作面的需风量。密闭风门由建设单位按设计要求加工或采购，安装在巷道中砖混结构墙上，能有效阻断风流，安全可靠。手动风门采用钢结构，封严不漏风，逆风开启顺风关闭，并向关门方向倾斜80°～85°。为防止漏风和保持风流稳定，根据矿山反风需要，在井下主要运输巷道控制风流地点均需设置两道连锁的风门，其间距应大于一列车的长度。风门应有专人负责检查、维修，保持完好严密状态。对于回采结束的采场应进行封闭处理，避免漏风和风流短路。生产过程中应结合采矿作业面的变化，根据实际通风情况对调整通风构筑物的布设，并加强通风管理。</w:t>
      </w:r>
    </w:p>
    <w:p w14:paraId="245AF6DE">
      <w:pPr>
        <w:snapToGrid w:val="0"/>
        <w:spacing w:line="520" w:lineRule="atLeast"/>
        <w:ind w:firstLine="560"/>
        <w:rPr>
          <w:kern w:val="0"/>
          <w:sz w:val="26"/>
          <w:szCs w:val="26"/>
          <w:highlight w:val="black"/>
        </w:rPr>
      </w:pPr>
      <w:r>
        <w:rPr>
          <w:rFonts w:hint="eastAsia" w:asciiTheme="minorEastAsia" w:hAnsiTheme="minorEastAsia" w:eastAsiaTheme="minorEastAsia" w:cstheme="minorEastAsia"/>
          <w:kern w:val="0"/>
          <w:szCs w:val="28"/>
          <w:highlight w:val="black"/>
        </w:rPr>
        <w:t>人行通风天井内的梯子间和回风井井口设置安全护栏，安全护栏采用金属网材质，坚固不易活动。风机进出风口均应设置金属安全防护网，安全防护网需将风井入风口全部密闭，采用金属网材质。</w:t>
      </w:r>
    </w:p>
    <w:p w14:paraId="50BD5B38">
      <w:pPr>
        <w:snapToGrid w:val="0"/>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2-19</w:t>
      </w:r>
      <w:r>
        <w:rPr>
          <w:b/>
          <w:sz w:val="21"/>
          <w:szCs w:val="21"/>
          <w:highlight w:val="black"/>
        </w:rPr>
        <w:t xml:space="preserve"> 井下通风构筑物</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338"/>
        <w:gridCol w:w="1309"/>
        <w:gridCol w:w="4365"/>
        <w:gridCol w:w="815"/>
      </w:tblGrid>
      <w:tr w14:paraId="546D7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8" w:type="pct"/>
            <w:tcBorders>
              <w:tl2br w:val="nil"/>
              <w:tr2bl w:val="nil"/>
            </w:tcBorders>
            <w:shd w:val="clear" w:color="auto" w:fill="auto"/>
            <w:vAlign w:val="center"/>
          </w:tcPr>
          <w:p w14:paraId="0B61528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序号</w:t>
            </w:r>
          </w:p>
        </w:tc>
        <w:tc>
          <w:tcPr>
            <w:tcW w:w="785" w:type="pct"/>
            <w:tcBorders>
              <w:tl2br w:val="nil"/>
              <w:tr2bl w:val="nil"/>
            </w:tcBorders>
            <w:shd w:val="clear" w:color="auto" w:fill="auto"/>
            <w:vAlign w:val="center"/>
          </w:tcPr>
          <w:p w14:paraId="2FA6EC9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工程名称</w:t>
            </w:r>
          </w:p>
        </w:tc>
        <w:tc>
          <w:tcPr>
            <w:tcW w:w="768" w:type="pct"/>
            <w:tcBorders>
              <w:tl2br w:val="nil"/>
              <w:tr2bl w:val="nil"/>
            </w:tcBorders>
            <w:shd w:val="clear" w:color="auto" w:fill="auto"/>
            <w:vAlign w:val="center"/>
          </w:tcPr>
          <w:p w14:paraId="31CE380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通风构筑物</w:t>
            </w:r>
          </w:p>
        </w:tc>
        <w:tc>
          <w:tcPr>
            <w:tcW w:w="2561" w:type="pct"/>
            <w:tcBorders>
              <w:tl2br w:val="nil"/>
              <w:tr2bl w:val="nil"/>
            </w:tcBorders>
            <w:shd w:val="clear" w:color="auto" w:fill="auto"/>
            <w:vAlign w:val="center"/>
          </w:tcPr>
          <w:p w14:paraId="4F47B3E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位置</w:t>
            </w:r>
          </w:p>
        </w:tc>
        <w:tc>
          <w:tcPr>
            <w:tcW w:w="478" w:type="pct"/>
            <w:tcBorders>
              <w:tl2br w:val="nil"/>
              <w:tr2bl w:val="nil"/>
            </w:tcBorders>
            <w:shd w:val="clear" w:color="auto" w:fill="auto"/>
            <w:vAlign w:val="center"/>
          </w:tcPr>
          <w:p w14:paraId="0CCDF64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数量</w:t>
            </w:r>
          </w:p>
        </w:tc>
      </w:tr>
      <w:tr w14:paraId="6E96B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8" w:type="pct"/>
            <w:tcBorders>
              <w:tl2br w:val="nil"/>
              <w:tr2bl w:val="nil"/>
            </w:tcBorders>
            <w:shd w:val="clear" w:color="auto" w:fill="auto"/>
            <w:vAlign w:val="center"/>
          </w:tcPr>
          <w:p w14:paraId="07360CC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w:t>
            </w:r>
          </w:p>
        </w:tc>
        <w:tc>
          <w:tcPr>
            <w:tcW w:w="785" w:type="pct"/>
            <w:tcBorders>
              <w:tl2br w:val="nil"/>
              <w:tr2bl w:val="nil"/>
            </w:tcBorders>
            <w:shd w:val="clear" w:color="auto" w:fill="auto"/>
            <w:vAlign w:val="center"/>
          </w:tcPr>
          <w:p w14:paraId="3F95F8C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运输联络巷</w:t>
            </w:r>
          </w:p>
        </w:tc>
        <w:tc>
          <w:tcPr>
            <w:tcW w:w="768" w:type="pct"/>
            <w:tcBorders>
              <w:tl2br w:val="nil"/>
              <w:tr2bl w:val="nil"/>
            </w:tcBorders>
            <w:shd w:val="clear" w:color="auto" w:fill="auto"/>
            <w:vAlign w:val="center"/>
          </w:tcPr>
          <w:p w14:paraId="7776B2A0">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调节</w:t>
            </w:r>
            <w:r>
              <w:rPr>
                <w:kern w:val="0"/>
                <w:sz w:val="21"/>
                <w:szCs w:val="21"/>
                <w:highlight w:val="black"/>
              </w:rPr>
              <w:t>风门</w:t>
            </w:r>
          </w:p>
        </w:tc>
        <w:tc>
          <w:tcPr>
            <w:tcW w:w="2561" w:type="pct"/>
            <w:tcBorders>
              <w:tl2br w:val="nil"/>
              <w:tr2bl w:val="nil"/>
            </w:tcBorders>
            <w:shd w:val="clear" w:color="auto" w:fill="auto"/>
            <w:vAlign w:val="center"/>
          </w:tcPr>
          <w:p w14:paraId="1FAFA262">
            <w:pPr>
              <w:widowControl/>
              <w:adjustRightInd w:val="0"/>
              <w:snapToGrid w:val="0"/>
              <w:spacing w:line="240" w:lineRule="atLeast"/>
              <w:ind w:firstLine="0" w:firstLineChars="0"/>
              <w:rPr>
                <w:kern w:val="0"/>
                <w:sz w:val="21"/>
                <w:szCs w:val="21"/>
                <w:highlight w:val="black"/>
              </w:rPr>
            </w:pPr>
            <w:r>
              <w:rPr>
                <w:kern w:val="0"/>
                <w:sz w:val="21"/>
                <w:szCs w:val="21"/>
                <w:highlight w:val="black"/>
              </w:rPr>
              <w:t>各中段运输联络道。</w:t>
            </w:r>
          </w:p>
        </w:tc>
        <w:tc>
          <w:tcPr>
            <w:tcW w:w="478" w:type="pct"/>
            <w:tcBorders>
              <w:tl2br w:val="nil"/>
              <w:tr2bl w:val="nil"/>
            </w:tcBorders>
            <w:shd w:val="clear" w:color="auto" w:fill="auto"/>
            <w:vAlign w:val="center"/>
          </w:tcPr>
          <w:p w14:paraId="2FF53FA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w:t>
            </w:r>
          </w:p>
        </w:tc>
      </w:tr>
      <w:tr w14:paraId="339D2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8" w:type="pct"/>
            <w:tcBorders>
              <w:tl2br w:val="nil"/>
              <w:tr2bl w:val="nil"/>
            </w:tcBorders>
            <w:shd w:val="clear" w:color="auto" w:fill="auto"/>
            <w:vAlign w:val="center"/>
          </w:tcPr>
          <w:p w14:paraId="26BF55D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w:t>
            </w:r>
          </w:p>
        </w:tc>
        <w:tc>
          <w:tcPr>
            <w:tcW w:w="785" w:type="pct"/>
            <w:tcBorders>
              <w:tl2br w:val="nil"/>
              <w:tr2bl w:val="nil"/>
            </w:tcBorders>
            <w:shd w:val="clear" w:color="auto" w:fill="auto"/>
            <w:vAlign w:val="center"/>
          </w:tcPr>
          <w:p w14:paraId="154DB3F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中段巷道</w:t>
            </w:r>
          </w:p>
        </w:tc>
        <w:tc>
          <w:tcPr>
            <w:tcW w:w="768" w:type="pct"/>
            <w:tcBorders>
              <w:tl2br w:val="nil"/>
              <w:tr2bl w:val="nil"/>
            </w:tcBorders>
            <w:shd w:val="clear" w:color="auto" w:fill="auto"/>
            <w:vAlign w:val="center"/>
          </w:tcPr>
          <w:p w14:paraId="60FDB27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密闭风门</w:t>
            </w:r>
          </w:p>
        </w:tc>
        <w:tc>
          <w:tcPr>
            <w:tcW w:w="2561" w:type="pct"/>
            <w:tcBorders>
              <w:tl2br w:val="nil"/>
              <w:tr2bl w:val="nil"/>
            </w:tcBorders>
            <w:shd w:val="clear" w:color="auto" w:fill="auto"/>
            <w:vAlign w:val="center"/>
          </w:tcPr>
          <w:p w14:paraId="7FB37D3A">
            <w:pPr>
              <w:widowControl/>
              <w:adjustRightInd w:val="0"/>
              <w:snapToGrid w:val="0"/>
              <w:spacing w:line="240" w:lineRule="atLeast"/>
              <w:ind w:firstLine="0" w:firstLineChars="0"/>
              <w:rPr>
                <w:kern w:val="0"/>
                <w:sz w:val="21"/>
                <w:szCs w:val="21"/>
                <w:highlight w:val="black"/>
              </w:rPr>
            </w:pPr>
            <w:r>
              <w:rPr>
                <w:kern w:val="0"/>
                <w:sz w:val="21"/>
                <w:szCs w:val="21"/>
                <w:highlight w:val="black"/>
              </w:rPr>
              <w:t>各生产中段运输巷道石门。</w:t>
            </w:r>
          </w:p>
        </w:tc>
        <w:tc>
          <w:tcPr>
            <w:tcW w:w="478" w:type="pct"/>
            <w:tcBorders>
              <w:tl2br w:val="nil"/>
              <w:tr2bl w:val="nil"/>
            </w:tcBorders>
            <w:shd w:val="clear" w:color="auto" w:fill="auto"/>
            <w:vAlign w:val="center"/>
          </w:tcPr>
          <w:p w14:paraId="23D814A8">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1</w:t>
            </w:r>
          </w:p>
        </w:tc>
      </w:tr>
      <w:tr w14:paraId="562E4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8" w:type="pct"/>
            <w:tcBorders>
              <w:tl2br w:val="nil"/>
              <w:tr2bl w:val="nil"/>
            </w:tcBorders>
            <w:shd w:val="clear" w:color="auto" w:fill="auto"/>
            <w:vAlign w:val="center"/>
          </w:tcPr>
          <w:p w14:paraId="2F7FD60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3</w:t>
            </w:r>
          </w:p>
        </w:tc>
        <w:tc>
          <w:tcPr>
            <w:tcW w:w="785" w:type="pct"/>
            <w:tcBorders>
              <w:tl2br w:val="nil"/>
              <w:tr2bl w:val="nil"/>
            </w:tcBorders>
            <w:shd w:val="clear" w:color="auto" w:fill="auto"/>
            <w:vAlign w:val="center"/>
          </w:tcPr>
          <w:p w14:paraId="5642EFC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回风石门</w:t>
            </w:r>
          </w:p>
        </w:tc>
        <w:tc>
          <w:tcPr>
            <w:tcW w:w="768" w:type="pct"/>
            <w:tcBorders>
              <w:tl2br w:val="nil"/>
              <w:tr2bl w:val="nil"/>
            </w:tcBorders>
            <w:shd w:val="clear" w:color="auto" w:fill="auto"/>
            <w:vAlign w:val="center"/>
          </w:tcPr>
          <w:p w14:paraId="60F4D32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密闭风门</w:t>
            </w:r>
          </w:p>
        </w:tc>
        <w:tc>
          <w:tcPr>
            <w:tcW w:w="2561" w:type="pct"/>
            <w:tcBorders>
              <w:tl2br w:val="nil"/>
              <w:tr2bl w:val="nil"/>
            </w:tcBorders>
            <w:shd w:val="clear" w:color="auto" w:fill="auto"/>
            <w:vAlign w:val="center"/>
          </w:tcPr>
          <w:p w14:paraId="2B5615D4">
            <w:pPr>
              <w:widowControl/>
              <w:adjustRightInd w:val="0"/>
              <w:snapToGrid w:val="0"/>
              <w:spacing w:line="240" w:lineRule="atLeast"/>
              <w:ind w:firstLine="0" w:firstLineChars="0"/>
              <w:rPr>
                <w:kern w:val="0"/>
                <w:sz w:val="21"/>
                <w:szCs w:val="21"/>
                <w:highlight w:val="black"/>
              </w:rPr>
            </w:pPr>
            <w:r>
              <w:rPr>
                <w:kern w:val="0"/>
                <w:sz w:val="21"/>
                <w:szCs w:val="21"/>
                <w:highlight w:val="black"/>
              </w:rPr>
              <w:t>各倒段回风天井联络巷、回风井石门处。</w:t>
            </w:r>
          </w:p>
        </w:tc>
        <w:tc>
          <w:tcPr>
            <w:tcW w:w="478" w:type="pct"/>
            <w:tcBorders>
              <w:tl2br w:val="nil"/>
              <w:tr2bl w:val="nil"/>
            </w:tcBorders>
            <w:shd w:val="clear" w:color="auto" w:fill="auto"/>
            <w:vAlign w:val="center"/>
          </w:tcPr>
          <w:p w14:paraId="20902D80">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2</w:t>
            </w:r>
          </w:p>
        </w:tc>
      </w:tr>
      <w:tr w14:paraId="33F98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8" w:type="pct"/>
            <w:tcBorders>
              <w:tl2br w:val="nil"/>
              <w:tr2bl w:val="nil"/>
            </w:tcBorders>
            <w:shd w:val="clear" w:color="auto" w:fill="auto"/>
            <w:vAlign w:val="center"/>
          </w:tcPr>
          <w:p w14:paraId="483D079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4</w:t>
            </w:r>
          </w:p>
        </w:tc>
        <w:tc>
          <w:tcPr>
            <w:tcW w:w="785" w:type="pct"/>
            <w:tcBorders>
              <w:tl2br w:val="nil"/>
              <w:tr2bl w:val="nil"/>
            </w:tcBorders>
            <w:shd w:val="clear" w:color="auto" w:fill="auto"/>
            <w:vAlign w:val="center"/>
          </w:tcPr>
          <w:p w14:paraId="6859D13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回风巷道</w:t>
            </w:r>
          </w:p>
        </w:tc>
        <w:tc>
          <w:tcPr>
            <w:tcW w:w="768" w:type="pct"/>
            <w:tcBorders>
              <w:tl2br w:val="nil"/>
              <w:tr2bl w:val="nil"/>
            </w:tcBorders>
            <w:shd w:val="clear" w:color="auto" w:fill="auto"/>
            <w:vAlign w:val="center"/>
          </w:tcPr>
          <w:p w14:paraId="58BB701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密闭风门</w:t>
            </w:r>
          </w:p>
        </w:tc>
        <w:tc>
          <w:tcPr>
            <w:tcW w:w="2561" w:type="pct"/>
            <w:tcBorders>
              <w:tl2br w:val="nil"/>
              <w:tr2bl w:val="nil"/>
            </w:tcBorders>
            <w:shd w:val="clear" w:color="auto" w:fill="auto"/>
            <w:vAlign w:val="center"/>
          </w:tcPr>
          <w:p w14:paraId="29C7DEAD">
            <w:pPr>
              <w:widowControl/>
              <w:adjustRightInd w:val="0"/>
              <w:snapToGrid w:val="0"/>
              <w:spacing w:line="240" w:lineRule="atLeast"/>
              <w:ind w:firstLine="0" w:firstLineChars="0"/>
              <w:rPr>
                <w:kern w:val="0"/>
                <w:sz w:val="21"/>
                <w:szCs w:val="21"/>
                <w:highlight w:val="black"/>
              </w:rPr>
            </w:pPr>
            <w:r>
              <w:rPr>
                <w:rFonts w:hint="eastAsia"/>
                <w:kern w:val="0"/>
                <w:sz w:val="21"/>
                <w:szCs w:val="21"/>
                <w:highlight w:val="black"/>
              </w:rPr>
              <w:t>回风井</w:t>
            </w:r>
            <w:r>
              <w:rPr>
                <w:kern w:val="0"/>
                <w:sz w:val="21"/>
                <w:szCs w:val="21"/>
                <w:highlight w:val="black"/>
              </w:rPr>
              <w:t>与回风中段连接石门处。</w:t>
            </w:r>
          </w:p>
        </w:tc>
        <w:tc>
          <w:tcPr>
            <w:tcW w:w="478" w:type="pct"/>
            <w:tcBorders>
              <w:tl2br w:val="nil"/>
              <w:tr2bl w:val="nil"/>
            </w:tcBorders>
            <w:shd w:val="clear" w:color="auto" w:fill="auto"/>
            <w:vAlign w:val="center"/>
          </w:tcPr>
          <w:p w14:paraId="73B64ECA">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2</w:t>
            </w:r>
          </w:p>
        </w:tc>
      </w:tr>
      <w:bookmarkEnd w:id="186"/>
    </w:tbl>
    <w:p w14:paraId="05DEC8C4">
      <w:pPr>
        <w:ind w:firstLine="0" w:firstLineChars="0"/>
        <w:rPr>
          <w:rFonts w:ascii="宋体" w:hAnsi="宋体" w:cs="宋体"/>
          <w:b/>
          <w:bCs/>
        </w:rPr>
      </w:pPr>
      <w:r>
        <w:rPr>
          <w:rFonts w:hint="eastAsia" w:ascii="宋体" w:hAnsi="宋体" w:cs="宋体"/>
          <w:b/>
          <w:bCs/>
        </w:rPr>
        <w:t>2.4.7.5 通风设施</w:t>
      </w:r>
    </w:p>
    <w:p w14:paraId="4EC8BA01">
      <w:pPr>
        <w:spacing w:line="520" w:lineRule="atLeast"/>
        <w:ind w:firstLine="560"/>
        <w:rPr>
          <w:rFonts w:ascii="宋体" w:hAnsi="宋体" w:cs="宋体"/>
          <w:szCs w:val="28"/>
          <w:highlight w:val="black"/>
        </w:rPr>
      </w:pPr>
      <w:bookmarkStart w:id="187" w:name="_Hlk192977475"/>
      <w:r>
        <w:rPr>
          <w:rFonts w:hint="eastAsia" w:ascii="宋体" w:hAnsi="宋体" w:cs="宋体"/>
          <w:szCs w:val="28"/>
          <w:highlight w:val="black"/>
        </w:rPr>
        <w:t>矿山通风采用侧翼对角抽出式通风系统。为了保证井下获得稳定的连续风流，矿井通风工作采用连续工作制。</w:t>
      </w:r>
    </w:p>
    <w:p w14:paraId="0594980D">
      <w:pPr>
        <w:spacing w:line="520" w:lineRule="atLeast"/>
        <w:ind w:firstLine="560"/>
        <w:rPr>
          <w:rFonts w:ascii="宋体" w:hAnsi="宋体" w:cs="宋体"/>
          <w:szCs w:val="28"/>
          <w:highlight w:val="black"/>
        </w:rPr>
      </w:pPr>
      <w:r>
        <w:rPr>
          <w:rFonts w:hint="eastAsia" w:ascii="宋体" w:hAnsi="宋体" w:cs="宋体"/>
          <w:szCs w:val="28"/>
          <w:highlight w:val="black"/>
        </w:rPr>
        <w:t>矿山开采时新鲜风流经斜坡道进入，通过中段运输巷道进入井下中段采场，冲洗工作面后，污风经各中段回风天井，最后经回风井抽至地表。</w:t>
      </w:r>
    </w:p>
    <w:p w14:paraId="3099DC7A">
      <w:pPr>
        <w:spacing w:line="520" w:lineRule="atLeast"/>
        <w:ind w:firstLine="520" w:firstLineChars="0"/>
        <w:rPr>
          <w:rFonts w:ascii="宋体" w:hAnsi="宋体" w:cs="宋体"/>
          <w:szCs w:val="28"/>
          <w:highlight w:val="black"/>
        </w:rPr>
      </w:pPr>
      <w:r>
        <w:rPr>
          <w:rFonts w:hint="eastAsia" w:ascii="宋体" w:hAnsi="宋体" w:cs="宋体"/>
          <w:szCs w:val="28"/>
          <w:highlight w:val="black"/>
        </w:rPr>
        <w:t>（1）风机的计算风量：</w:t>
      </w:r>
    </w:p>
    <w:p w14:paraId="19ABFF2D">
      <w:pPr>
        <w:snapToGrid w:val="0"/>
        <w:spacing w:line="520" w:lineRule="atLeast"/>
        <w:ind w:firstLine="2800" w:firstLineChars="1000"/>
        <w:rPr>
          <w:rFonts w:ascii="宋体" w:hAnsi="宋体" w:cs="宋体"/>
          <w:iCs/>
          <w:szCs w:val="28"/>
          <w:highlight w:val="black"/>
        </w:rPr>
      </w:pPr>
      <w:r>
        <w:rPr>
          <w:rFonts w:hint="eastAsia" w:ascii="宋体" w:hAnsi="宋体" w:cs="宋体"/>
          <w:iCs/>
          <w:position w:val="-14"/>
          <w:szCs w:val="28"/>
          <w:highlight w:val="black"/>
        </w:rPr>
        <w:drawing>
          <wp:inline distT="0" distB="0" distL="114300" distR="114300">
            <wp:extent cx="624205" cy="238125"/>
            <wp:effectExtent l="0" t="0" r="635" b="4445"/>
            <wp:docPr id="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pic:cNvPicPr>
                      <a:picLocks noChangeAspect="1"/>
                    </pic:cNvPicPr>
                  </pic:nvPicPr>
                  <pic:blipFill>
                    <a:blip r:embed="rId51"/>
                    <a:stretch>
                      <a:fillRect/>
                    </a:stretch>
                  </pic:blipFill>
                  <pic:spPr>
                    <a:xfrm>
                      <a:off x="0" y="0"/>
                      <a:ext cx="624205" cy="238125"/>
                    </a:xfrm>
                    <a:prstGeom prst="rect">
                      <a:avLst/>
                    </a:prstGeom>
                    <a:noFill/>
                    <a:ln w="9525">
                      <a:noFill/>
                    </a:ln>
                  </pic:spPr>
                </pic:pic>
              </a:graphicData>
            </a:graphic>
          </wp:inline>
        </w:drawing>
      </w:r>
      <w:r>
        <w:rPr>
          <w:rFonts w:hint="eastAsia" w:ascii="宋体" w:hAnsi="宋体" w:cs="宋体"/>
          <w:iCs/>
          <w:szCs w:val="28"/>
          <w:highlight w:val="black"/>
        </w:rPr>
        <w:t>=1.15×68.3=78.5m</w:t>
      </w:r>
      <w:r>
        <w:rPr>
          <w:rFonts w:hint="eastAsia" w:ascii="宋体" w:hAnsi="宋体" w:cs="宋体"/>
          <w:iCs/>
          <w:szCs w:val="28"/>
          <w:highlight w:val="black"/>
          <w:vertAlign w:val="superscript"/>
        </w:rPr>
        <w:t>3</w:t>
      </w:r>
      <w:r>
        <w:rPr>
          <w:rFonts w:hint="eastAsia" w:ascii="宋体" w:hAnsi="宋体" w:cs="宋体"/>
          <w:iCs/>
          <w:szCs w:val="28"/>
          <w:highlight w:val="black"/>
        </w:rPr>
        <w:t>/s</w:t>
      </w:r>
    </w:p>
    <w:p w14:paraId="7669266E">
      <w:pPr>
        <w:spacing w:line="520" w:lineRule="atLeast"/>
        <w:ind w:firstLine="520" w:firstLineChars="0"/>
        <w:rPr>
          <w:rFonts w:ascii="宋体" w:hAnsi="宋体" w:cs="宋体"/>
          <w:szCs w:val="28"/>
          <w:highlight w:val="black"/>
        </w:rPr>
      </w:pPr>
      <w:r>
        <w:rPr>
          <w:rFonts w:hint="eastAsia" w:ascii="宋体" w:hAnsi="宋体" w:cs="宋体"/>
          <w:szCs w:val="28"/>
          <w:highlight w:val="black"/>
        </w:rPr>
        <w:t>式中：Q</w:t>
      </w:r>
      <w:r>
        <w:rPr>
          <w:rFonts w:hint="eastAsia" w:ascii="宋体" w:hAnsi="宋体" w:cs="宋体"/>
          <w:szCs w:val="28"/>
          <w:highlight w:val="black"/>
          <w:vertAlign w:val="subscript"/>
        </w:rPr>
        <w:t>j</w:t>
      </w:r>
      <w:r>
        <w:rPr>
          <w:rFonts w:hint="eastAsia" w:ascii="宋体" w:hAnsi="宋体" w:cs="宋体"/>
          <w:szCs w:val="28"/>
          <w:highlight w:val="black"/>
        </w:rPr>
        <w:t>—风机的计算风量，m</w:t>
      </w:r>
      <w:r>
        <w:rPr>
          <w:rFonts w:hint="eastAsia" w:ascii="宋体" w:hAnsi="宋体" w:cs="宋体"/>
          <w:szCs w:val="28"/>
          <w:highlight w:val="black"/>
          <w:vertAlign w:val="superscript"/>
        </w:rPr>
        <w:t>3</w:t>
      </w:r>
      <w:r>
        <w:rPr>
          <w:rFonts w:hint="eastAsia" w:ascii="宋体" w:hAnsi="宋体" w:cs="宋体"/>
          <w:szCs w:val="28"/>
          <w:highlight w:val="black"/>
        </w:rPr>
        <w:t>/s；</w:t>
      </w:r>
    </w:p>
    <w:p w14:paraId="3AF435EF">
      <w:pPr>
        <w:spacing w:line="520" w:lineRule="atLeast"/>
        <w:ind w:firstLine="1400" w:firstLineChars="500"/>
        <w:rPr>
          <w:rFonts w:ascii="宋体" w:hAnsi="宋体" w:cs="宋体"/>
          <w:szCs w:val="28"/>
          <w:highlight w:val="black"/>
        </w:rPr>
      </w:pPr>
      <w:r>
        <w:rPr>
          <w:rFonts w:hint="eastAsia" w:ascii="宋体" w:hAnsi="宋体" w:cs="宋体"/>
          <w:szCs w:val="28"/>
          <w:highlight w:val="black"/>
        </w:rPr>
        <w:t>K—通风装置的漏风系数，取1.15；</w:t>
      </w:r>
    </w:p>
    <w:p w14:paraId="45C5E1EC">
      <w:pPr>
        <w:spacing w:line="520" w:lineRule="atLeast"/>
        <w:ind w:firstLine="1400" w:firstLineChars="500"/>
        <w:rPr>
          <w:rFonts w:ascii="宋体" w:hAnsi="宋体" w:cs="宋体"/>
          <w:szCs w:val="28"/>
          <w:highlight w:val="black"/>
        </w:rPr>
      </w:pPr>
      <w:r>
        <w:rPr>
          <w:rFonts w:hint="eastAsia" w:ascii="宋体" w:hAnsi="宋体" w:cs="宋体"/>
          <w:szCs w:val="28"/>
          <w:highlight w:val="black"/>
        </w:rPr>
        <w:t>Q—矿井所需的风量，m</w:t>
      </w:r>
      <w:r>
        <w:rPr>
          <w:rFonts w:hint="eastAsia" w:ascii="宋体" w:hAnsi="宋体" w:cs="宋体"/>
          <w:szCs w:val="28"/>
          <w:highlight w:val="black"/>
          <w:vertAlign w:val="superscript"/>
        </w:rPr>
        <w:t>3</w:t>
      </w:r>
      <w:r>
        <w:rPr>
          <w:rFonts w:hint="eastAsia" w:ascii="宋体" w:hAnsi="宋体" w:cs="宋体"/>
          <w:szCs w:val="28"/>
          <w:highlight w:val="black"/>
        </w:rPr>
        <w:t>/s。</w:t>
      </w:r>
    </w:p>
    <w:p w14:paraId="5378FB3E">
      <w:pPr>
        <w:spacing w:line="520" w:lineRule="atLeast"/>
        <w:ind w:firstLine="520" w:firstLineChars="0"/>
        <w:rPr>
          <w:rFonts w:ascii="宋体" w:hAnsi="宋体" w:cs="宋体"/>
          <w:szCs w:val="28"/>
          <w:highlight w:val="black"/>
        </w:rPr>
      </w:pPr>
      <w:r>
        <w:rPr>
          <w:rFonts w:hint="eastAsia" w:ascii="宋体" w:hAnsi="宋体" w:cs="宋体"/>
          <w:szCs w:val="28"/>
          <w:highlight w:val="black"/>
        </w:rPr>
        <w:t>（2）风机的计算风压</w:t>
      </w:r>
    </w:p>
    <w:p w14:paraId="634B5190">
      <w:pPr>
        <w:spacing w:line="520" w:lineRule="atLeast"/>
        <w:ind w:firstLine="520" w:firstLineChars="0"/>
        <w:rPr>
          <w:rFonts w:ascii="宋体" w:hAnsi="宋体" w:cs="宋体"/>
          <w:szCs w:val="28"/>
          <w:highlight w:val="black"/>
        </w:rPr>
      </w:pPr>
      <w:r>
        <w:rPr>
          <w:rFonts w:hint="eastAsia" w:ascii="宋体" w:hAnsi="宋体" w:cs="宋体"/>
          <w:szCs w:val="28"/>
          <w:highlight w:val="black"/>
        </w:rPr>
        <w:t>容易时期</w:t>
      </w:r>
    </w:p>
    <w:p w14:paraId="5B84EB8F">
      <w:pPr>
        <w:spacing w:line="520" w:lineRule="atLeast"/>
        <w:ind w:firstLine="0" w:firstLineChars="0"/>
        <w:jc w:val="center"/>
        <w:rPr>
          <w:rFonts w:ascii="宋体" w:hAnsi="宋体" w:cs="宋体"/>
          <w:szCs w:val="28"/>
          <w:highlight w:val="black"/>
        </w:rPr>
      </w:pPr>
      <w:r>
        <w:rPr>
          <w:rFonts w:hint="eastAsia" w:ascii="宋体" w:hAnsi="宋体" w:cs="宋体"/>
          <w:szCs w:val="28"/>
          <w:highlight w:val="black"/>
        </w:rPr>
        <w:t>H</w:t>
      </w:r>
      <w:r>
        <w:rPr>
          <w:rFonts w:hint="eastAsia" w:ascii="宋体" w:hAnsi="宋体" w:cs="宋体"/>
          <w:szCs w:val="28"/>
          <w:highlight w:val="black"/>
          <w:vertAlign w:val="subscript"/>
        </w:rPr>
        <w:t>j</w:t>
      </w:r>
      <w:r>
        <w:rPr>
          <w:rFonts w:hint="eastAsia" w:ascii="宋体" w:hAnsi="宋体" w:cs="宋体"/>
          <w:szCs w:val="28"/>
          <w:highlight w:val="black"/>
        </w:rPr>
        <w:t>=h</w:t>
      </w:r>
      <w:r>
        <w:rPr>
          <w:rFonts w:hint="eastAsia" w:ascii="宋体" w:hAnsi="宋体" w:cs="宋体"/>
          <w:szCs w:val="28"/>
          <w:highlight w:val="black"/>
          <w:vertAlign w:val="subscript"/>
        </w:rPr>
        <w:t>k</w:t>
      </w:r>
      <w:r>
        <w:rPr>
          <w:rFonts w:hint="eastAsia" w:ascii="宋体" w:hAnsi="宋体" w:cs="宋体"/>
          <w:szCs w:val="28"/>
          <w:highlight w:val="black"/>
        </w:rPr>
        <w:t>+△h+H</w:t>
      </w:r>
      <w:r>
        <w:rPr>
          <w:rFonts w:hint="eastAsia" w:ascii="宋体" w:hAnsi="宋体" w:cs="宋体"/>
          <w:szCs w:val="28"/>
          <w:highlight w:val="black"/>
          <w:vertAlign w:val="subscript"/>
        </w:rPr>
        <w:t>d</w:t>
      </w:r>
      <w:r>
        <w:rPr>
          <w:rFonts w:hint="eastAsia" w:ascii="宋体" w:hAnsi="宋体" w:cs="宋体"/>
          <w:szCs w:val="28"/>
          <w:highlight w:val="black"/>
        </w:rPr>
        <w:t>=1078+250+50=1378Pa</w:t>
      </w:r>
    </w:p>
    <w:p w14:paraId="154DBC85">
      <w:pPr>
        <w:spacing w:line="520" w:lineRule="atLeast"/>
        <w:ind w:firstLine="520" w:firstLineChars="0"/>
        <w:rPr>
          <w:rFonts w:ascii="宋体" w:hAnsi="宋体" w:cs="宋体"/>
          <w:szCs w:val="28"/>
          <w:highlight w:val="black"/>
        </w:rPr>
      </w:pPr>
      <w:r>
        <w:rPr>
          <w:rFonts w:hint="eastAsia" w:ascii="宋体" w:hAnsi="宋体" w:cs="宋体"/>
          <w:szCs w:val="28"/>
          <w:highlight w:val="black"/>
        </w:rPr>
        <w:t>困难时期</w:t>
      </w:r>
    </w:p>
    <w:p w14:paraId="6245FF8C">
      <w:pPr>
        <w:spacing w:line="520" w:lineRule="atLeast"/>
        <w:ind w:firstLine="0" w:firstLineChars="0"/>
        <w:jc w:val="center"/>
        <w:rPr>
          <w:rFonts w:ascii="宋体" w:hAnsi="宋体" w:cs="宋体"/>
          <w:szCs w:val="28"/>
          <w:highlight w:val="black"/>
        </w:rPr>
      </w:pPr>
      <w:r>
        <w:rPr>
          <w:rFonts w:hint="eastAsia" w:ascii="宋体" w:hAnsi="宋体" w:cs="宋体"/>
          <w:szCs w:val="28"/>
          <w:highlight w:val="black"/>
        </w:rPr>
        <w:t>H</w:t>
      </w:r>
      <w:r>
        <w:rPr>
          <w:rFonts w:hint="eastAsia" w:ascii="宋体" w:hAnsi="宋体" w:cs="宋体"/>
          <w:szCs w:val="28"/>
          <w:highlight w:val="black"/>
          <w:vertAlign w:val="subscript"/>
        </w:rPr>
        <w:t>j</w:t>
      </w:r>
      <w:r>
        <w:rPr>
          <w:rFonts w:hint="eastAsia" w:ascii="宋体" w:hAnsi="宋体" w:cs="宋体"/>
          <w:szCs w:val="28"/>
          <w:highlight w:val="black"/>
        </w:rPr>
        <w:t>=h</w:t>
      </w:r>
      <w:r>
        <w:rPr>
          <w:rFonts w:hint="eastAsia" w:ascii="宋体" w:hAnsi="宋体" w:cs="宋体"/>
          <w:szCs w:val="28"/>
          <w:highlight w:val="black"/>
          <w:vertAlign w:val="subscript"/>
        </w:rPr>
        <w:t>k</w:t>
      </w:r>
      <w:r>
        <w:rPr>
          <w:rFonts w:hint="eastAsia" w:ascii="宋体" w:hAnsi="宋体" w:cs="宋体"/>
          <w:szCs w:val="28"/>
          <w:highlight w:val="black"/>
        </w:rPr>
        <w:t>+△h+H</w:t>
      </w:r>
      <w:r>
        <w:rPr>
          <w:rFonts w:hint="eastAsia" w:ascii="宋体" w:hAnsi="宋体" w:cs="宋体"/>
          <w:szCs w:val="28"/>
          <w:highlight w:val="black"/>
          <w:vertAlign w:val="subscript"/>
        </w:rPr>
        <w:t>d</w:t>
      </w:r>
      <w:r>
        <w:rPr>
          <w:rFonts w:hint="eastAsia" w:ascii="宋体" w:hAnsi="宋体" w:cs="宋体"/>
          <w:szCs w:val="28"/>
          <w:highlight w:val="black"/>
        </w:rPr>
        <w:t>=1879+250+50=2179Pa</w:t>
      </w:r>
    </w:p>
    <w:p w14:paraId="326997C5">
      <w:pPr>
        <w:spacing w:line="520" w:lineRule="atLeast"/>
        <w:ind w:firstLine="520" w:firstLineChars="0"/>
        <w:rPr>
          <w:rFonts w:ascii="宋体" w:hAnsi="宋体" w:cs="宋体"/>
          <w:szCs w:val="28"/>
          <w:highlight w:val="black"/>
        </w:rPr>
      </w:pPr>
      <w:r>
        <w:rPr>
          <w:rFonts w:hint="eastAsia" w:ascii="宋体" w:hAnsi="宋体" w:cs="宋体"/>
          <w:szCs w:val="28"/>
          <w:highlight w:val="black"/>
        </w:rPr>
        <w:t>式中：h</w:t>
      </w:r>
      <w:r>
        <w:rPr>
          <w:rFonts w:hint="eastAsia" w:ascii="宋体" w:hAnsi="宋体" w:cs="宋体"/>
          <w:szCs w:val="28"/>
          <w:highlight w:val="black"/>
          <w:vertAlign w:val="subscript"/>
        </w:rPr>
        <w:t>k</w:t>
      </w:r>
      <w:r>
        <w:rPr>
          <w:rFonts w:hint="eastAsia" w:ascii="宋体" w:hAnsi="宋体" w:cs="宋体"/>
          <w:szCs w:val="28"/>
          <w:highlight w:val="black"/>
        </w:rPr>
        <w:t>—矿井通风阻力，Pa；</w:t>
      </w:r>
    </w:p>
    <w:p w14:paraId="17F0285A">
      <w:pPr>
        <w:spacing w:line="520" w:lineRule="atLeast"/>
        <w:ind w:firstLine="1372" w:firstLineChars="490"/>
        <w:rPr>
          <w:rFonts w:ascii="宋体" w:hAnsi="宋体" w:cs="宋体"/>
          <w:szCs w:val="28"/>
          <w:highlight w:val="black"/>
        </w:rPr>
      </w:pPr>
      <w:r>
        <w:rPr>
          <w:rFonts w:hint="eastAsia" w:ascii="宋体" w:hAnsi="宋体" w:cs="宋体"/>
          <w:szCs w:val="28"/>
          <w:highlight w:val="black"/>
        </w:rPr>
        <w:t>△h—通风装置阻力，取250Pa；</w:t>
      </w:r>
    </w:p>
    <w:p w14:paraId="7348B89E">
      <w:pPr>
        <w:spacing w:line="520" w:lineRule="atLeast"/>
        <w:ind w:firstLine="1372" w:firstLineChars="490"/>
        <w:rPr>
          <w:rFonts w:ascii="宋体" w:hAnsi="宋体" w:cs="宋体"/>
          <w:szCs w:val="28"/>
          <w:highlight w:val="black"/>
        </w:rPr>
      </w:pPr>
      <w:r>
        <w:rPr>
          <w:rFonts w:hint="eastAsia" w:ascii="宋体" w:hAnsi="宋体" w:cs="宋体"/>
          <w:szCs w:val="28"/>
          <w:highlight w:val="black"/>
        </w:rPr>
        <w:t>H</w:t>
      </w:r>
      <w:r>
        <w:rPr>
          <w:rFonts w:hint="eastAsia" w:ascii="宋体" w:hAnsi="宋体" w:cs="宋体"/>
          <w:szCs w:val="28"/>
          <w:highlight w:val="black"/>
          <w:vertAlign w:val="subscript"/>
        </w:rPr>
        <w:t>d</w:t>
      </w:r>
      <w:r>
        <w:rPr>
          <w:rFonts w:hint="eastAsia" w:ascii="宋体" w:hAnsi="宋体" w:cs="宋体"/>
          <w:szCs w:val="28"/>
          <w:highlight w:val="black"/>
        </w:rPr>
        <w:t>—扩散器的动力损失，取50Pa。</w:t>
      </w:r>
    </w:p>
    <w:p w14:paraId="47DF80E1">
      <w:pPr>
        <w:spacing w:line="520" w:lineRule="atLeast"/>
        <w:ind w:firstLine="520" w:firstLineChars="0"/>
        <w:rPr>
          <w:rFonts w:ascii="宋体" w:hAnsi="宋体" w:cs="宋体"/>
          <w:szCs w:val="28"/>
          <w:highlight w:val="black"/>
        </w:rPr>
      </w:pPr>
      <w:r>
        <w:rPr>
          <w:rFonts w:hint="eastAsia" w:ascii="宋体" w:hAnsi="宋体" w:cs="宋体"/>
          <w:szCs w:val="28"/>
          <w:highlight w:val="black"/>
        </w:rPr>
        <w:t>由于入风井和回风井高差相差不大，自然风压很小，因此本次设计通风阻力计算不考虑自然风压的影响。</w:t>
      </w:r>
    </w:p>
    <w:p w14:paraId="64601EC3">
      <w:pPr>
        <w:spacing w:line="520" w:lineRule="atLeast"/>
        <w:ind w:firstLine="520" w:firstLineChars="0"/>
        <w:rPr>
          <w:rFonts w:ascii="宋体" w:hAnsi="宋体" w:cs="宋体"/>
          <w:szCs w:val="28"/>
          <w:highlight w:val="black"/>
        </w:rPr>
      </w:pPr>
      <w:r>
        <w:rPr>
          <w:rFonts w:hint="eastAsia" w:ascii="宋体" w:hAnsi="宋体" w:cs="宋体"/>
          <w:szCs w:val="28"/>
          <w:highlight w:val="black"/>
        </w:rPr>
        <w:t>（3）风机选型及运行工况点</w:t>
      </w:r>
    </w:p>
    <w:p w14:paraId="568915AD">
      <w:pPr>
        <w:spacing w:line="520" w:lineRule="atLeast"/>
        <w:ind w:firstLine="560" w:firstLineChars="0"/>
        <w:rPr>
          <w:rFonts w:ascii="宋体" w:hAnsi="宋体" w:cs="宋体"/>
          <w:szCs w:val="28"/>
          <w:highlight w:val="black"/>
        </w:rPr>
      </w:pPr>
      <w:bookmarkStart w:id="188" w:name="_Hlk185542900"/>
      <w:r>
        <w:rPr>
          <w:rFonts w:hint="eastAsia" w:ascii="宋体" w:hAnsi="宋体" w:cs="宋体"/>
          <w:szCs w:val="28"/>
          <w:highlight w:val="black"/>
        </w:rPr>
        <w:t>设计选择FBCDZ-6-№19B型轴流式节能风机1台，装于回风井井口，该型风机风量范围47.3～105m</w:t>
      </w:r>
      <w:r>
        <w:rPr>
          <w:rFonts w:hint="eastAsia" w:ascii="宋体" w:hAnsi="宋体" w:cs="宋体"/>
          <w:szCs w:val="28"/>
          <w:highlight w:val="black"/>
          <w:vertAlign w:val="superscript"/>
        </w:rPr>
        <w:t>3</w:t>
      </w:r>
      <w:r>
        <w:rPr>
          <w:rFonts w:hint="eastAsia" w:ascii="宋体" w:hAnsi="宋体" w:cs="宋体"/>
          <w:szCs w:val="28"/>
          <w:highlight w:val="black"/>
        </w:rPr>
        <w:t>/s，全压990~3740Pa</w:t>
      </w:r>
      <w:bookmarkEnd w:id="188"/>
      <w:r>
        <w:rPr>
          <w:rFonts w:hint="eastAsia" w:ascii="宋体" w:hAnsi="宋体" w:cs="宋体"/>
          <w:szCs w:val="28"/>
          <w:highlight w:val="black"/>
        </w:rPr>
        <w:t>。</w:t>
      </w:r>
    </w:p>
    <w:p w14:paraId="64116AD5">
      <w:pPr>
        <w:spacing w:line="520" w:lineRule="atLeast"/>
        <w:ind w:firstLine="520" w:firstLineChars="0"/>
        <w:rPr>
          <w:rFonts w:ascii="宋体" w:hAnsi="宋体" w:cs="宋体"/>
          <w:szCs w:val="28"/>
          <w:highlight w:val="black"/>
        </w:rPr>
      </w:pPr>
      <w:r>
        <w:rPr>
          <w:rFonts w:hint="eastAsia" w:ascii="宋体" w:hAnsi="宋体" w:cs="宋体"/>
          <w:szCs w:val="28"/>
          <w:highlight w:val="black"/>
        </w:rPr>
        <w:t>容易时期工况点</w:t>
      </w:r>
    </w:p>
    <w:p w14:paraId="0B3C572E">
      <w:pPr>
        <w:pStyle w:val="24"/>
        <w:ind w:firstLine="560"/>
        <w:rPr>
          <w:highlight w:val="black"/>
        </w:rPr>
      </w:pPr>
    </w:p>
    <w:p w14:paraId="24E94579">
      <w:pPr>
        <w:ind w:firstLine="560"/>
      </w:pPr>
    </w:p>
    <w:p w14:paraId="241AEA8E">
      <w:pPr>
        <w:pStyle w:val="24"/>
        <w:ind w:firstLine="560"/>
      </w:pPr>
    </w:p>
    <w:p w14:paraId="37A51AE2">
      <w:pPr>
        <w:ind w:firstLine="560"/>
      </w:pPr>
    </w:p>
    <w:p w14:paraId="54052D03">
      <w:pPr>
        <w:pStyle w:val="24"/>
        <w:ind w:firstLine="560"/>
      </w:pPr>
    </w:p>
    <w:p w14:paraId="659CAEEB">
      <w:pPr>
        <w:ind w:firstLine="0" w:firstLineChars="0"/>
        <w:jc w:val="center"/>
        <w:rPr>
          <w:b/>
          <w:sz w:val="21"/>
          <w:szCs w:val="21"/>
        </w:rPr>
      </w:pPr>
      <w:r>
        <w:rPr>
          <w:b/>
          <w:sz w:val="26"/>
        </w:rPr>
        <w:drawing>
          <wp:inline distT="0" distB="0" distL="114300" distR="114300">
            <wp:extent cx="5272405" cy="4031615"/>
            <wp:effectExtent l="0" t="0" r="635" b="6985"/>
            <wp:docPr id="5" name="图片 5" descr="174226607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2266076191"/>
                    <pic:cNvPicPr>
                      <a:picLocks noChangeAspect="1"/>
                    </pic:cNvPicPr>
                  </pic:nvPicPr>
                  <pic:blipFill>
                    <a:blip r:embed="rId52"/>
                    <a:stretch>
                      <a:fillRect/>
                    </a:stretch>
                  </pic:blipFill>
                  <pic:spPr>
                    <a:xfrm>
                      <a:off x="0" y="0"/>
                      <a:ext cx="5272405" cy="4031615"/>
                    </a:xfrm>
                    <a:prstGeom prst="rect">
                      <a:avLst/>
                    </a:prstGeom>
                  </pic:spPr>
                </pic:pic>
              </a:graphicData>
            </a:graphic>
          </wp:inline>
        </w:drawing>
      </w:r>
      <w:r>
        <w:rPr>
          <w:b/>
          <w:sz w:val="21"/>
          <w:szCs w:val="21"/>
        </w:rPr>
        <w:t>图</w:t>
      </w:r>
      <w:r>
        <w:rPr>
          <w:rFonts w:hint="eastAsia"/>
          <w:b/>
          <w:sz w:val="21"/>
          <w:szCs w:val="21"/>
        </w:rPr>
        <w:t>2-5 容易</w:t>
      </w:r>
      <w:r>
        <w:rPr>
          <w:b/>
          <w:sz w:val="21"/>
          <w:szCs w:val="21"/>
        </w:rPr>
        <w:t>开采时期工况点</w:t>
      </w:r>
    </w:p>
    <w:p w14:paraId="46EF5D9D">
      <w:pPr>
        <w:spacing w:line="520" w:lineRule="atLeast"/>
        <w:ind w:firstLine="520" w:firstLineChars="0"/>
        <w:rPr>
          <w:rFonts w:ascii="宋体" w:hAnsi="宋体" w:cs="宋体"/>
          <w:szCs w:val="28"/>
          <w:highlight w:val="black"/>
        </w:rPr>
      </w:pPr>
      <w:r>
        <w:rPr>
          <w:rFonts w:hint="eastAsia" w:ascii="宋体" w:hAnsi="宋体" w:cs="宋体"/>
          <w:szCs w:val="28"/>
          <w:highlight w:val="black"/>
        </w:rPr>
        <w:t>根据以上计算风机的风量及风压，求得</w:t>
      </w:r>
    </w:p>
    <w:p w14:paraId="67E72D9E">
      <w:pPr>
        <w:spacing w:line="520" w:lineRule="atLeast"/>
        <w:ind w:firstLine="520" w:firstLineChars="0"/>
        <w:jc w:val="center"/>
        <w:rPr>
          <w:rFonts w:ascii="宋体" w:hAnsi="宋体" w:cs="宋体"/>
          <w:szCs w:val="28"/>
          <w:highlight w:val="black"/>
        </w:rPr>
      </w:pPr>
      <w:r>
        <w:rPr>
          <w:rFonts w:hint="eastAsia" w:ascii="宋体" w:hAnsi="宋体" w:cs="宋体"/>
          <w:position w:val="-12"/>
          <w:szCs w:val="28"/>
          <w:highlight w:val="black"/>
        </w:rPr>
        <w:object>
          <v:shape id="_x0000_i1037" o:spt="75" type="#_x0000_t75" style="height:18.55pt;width:185.45pt;" o:ole="t" filled="f" o:preferrelative="t" stroked="f" coordsize="21600,21600">
            <v:path/>
            <v:fill on="f" focussize="0,0"/>
            <v:stroke on="f" joinstyle="miter"/>
            <v:imagedata r:id="rId54" o:title=""/>
            <o:lock v:ext="edit" aspectratio="t"/>
            <w10:wrap type="none"/>
            <w10:anchorlock/>
          </v:shape>
          <o:OLEObject Type="Embed" ProgID="Equation.DSMT4" ShapeID="_x0000_i1037" DrawAspect="Content" ObjectID="_1468075736" r:id="rId53">
            <o:LockedField>false</o:LockedField>
          </o:OLEObject>
        </w:object>
      </w:r>
    </w:p>
    <w:p w14:paraId="2ACE0195">
      <w:pPr>
        <w:spacing w:line="520" w:lineRule="atLeast"/>
        <w:ind w:firstLine="520" w:firstLineChars="0"/>
        <w:rPr>
          <w:rFonts w:ascii="宋体" w:hAnsi="宋体" w:cs="宋体"/>
          <w:szCs w:val="28"/>
          <w:highlight w:val="black"/>
        </w:rPr>
      </w:pPr>
      <w:r>
        <w:rPr>
          <w:rFonts w:hint="eastAsia" w:ascii="宋体" w:hAnsi="宋体" w:cs="宋体"/>
          <w:szCs w:val="28"/>
          <w:highlight w:val="black"/>
        </w:rPr>
        <w:t>绘制H=0.22Q</w:t>
      </w:r>
      <w:r>
        <w:rPr>
          <w:rFonts w:hint="eastAsia" w:ascii="宋体" w:hAnsi="宋体" w:cs="宋体"/>
          <w:szCs w:val="28"/>
          <w:highlight w:val="black"/>
          <w:vertAlign w:val="superscript"/>
        </w:rPr>
        <w:t>2</w:t>
      </w:r>
      <w:r>
        <w:rPr>
          <w:rFonts w:hint="eastAsia" w:ascii="宋体" w:hAnsi="宋体" w:cs="宋体"/>
          <w:szCs w:val="28"/>
          <w:highlight w:val="black"/>
        </w:rPr>
        <w:t>曲线，图解法求得工况点如下：</w:t>
      </w:r>
    </w:p>
    <w:p w14:paraId="3C1F7C48">
      <w:pPr>
        <w:spacing w:line="520" w:lineRule="atLeast"/>
        <w:ind w:firstLine="520" w:firstLineChars="0"/>
        <w:rPr>
          <w:rFonts w:ascii="宋体" w:hAnsi="宋体" w:cs="宋体"/>
          <w:szCs w:val="28"/>
          <w:highlight w:val="black"/>
        </w:rPr>
      </w:pPr>
      <w:r>
        <w:rPr>
          <w:rFonts w:hint="eastAsia" w:ascii="宋体" w:hAnsi="宋体" w:cs="宋体"/>
          <w:szCs w:val="28"/>
          <w:highlight w:val="black"/>
        </w:rPr>
        <w:t>风压H</w:t>
      </w:r>
      <w:r>
        <w:rPr>
          <w:rFonts w:hint="eastAsia" w:ascii="宋体" w:hAnsi="宋体" w:cs="宋体"/>
          <w:szCs w:val="28"/>
          <w:highlight w:val="black"/>
          <w:vertAlign w:val="subscript"/>
        </w:rPr>
        <w:t>f</w:t>
      </w:r>
      <w:r>
        <w:rPr>
          <w:rFonts w:hint="eastAsia" w:ascii="宋体" w:hAnsi="宋体" w:cs="宋体"/>
          <w:szCs w:val="28"/>
          <w:highlight w:val="black"/>
        </w:rPr>
        <w:t>=1452Pa，风量Q</w:t>
      </w:r>
      <w:r>
        <w:rPr>
          <w:rFonts w:hint="eastAsia" w:ascii="宋体" w:hAnsi="宋体" w:cs="宋体"/>
          <w:szCs w:val="28"/>
          <w:highlight w:val="black"/>
          <w:vertAlign w:val="subscript"/>
        </w:rPr>
        <w:t>f</w:t>
      </w:r>
      <w:r>
        <w:rPr>
          <w:rFonts w:hint="eastAsia" w:ascii="宋体" w:hAnsi="宋体" w:cs="宋体"/>
          <w:szCs w:val="28"/>
          <w:highlight w:val="black"/>
        </w:rPr>
        <w:t>=79.9m</w:t>
      </w:r>
      <w:r>
        <w:rPr>
          <w:rFonts w:hint="eastAsia" w:ascii="宋体" w:hAnsi="宋体" w:cs="宋体"/>
          <w:szCs w:val="28"/>
          <w:highlight w:val="black"/>
          <w:vertAlign w:val="superscript"/>
        </w:rPr>
        <w:t>3</w:t>
      </w:r>
      <w:r>
        <w:rPr>
          <w:rFonts w:hint="eastAsia" w:ascii="宋体" w:hAnsi="宋体" w:cs="宋体"/>
          <w:szCs w:val="28"/>
          <w:highlight w:val="black"/>
        </w:rPr>
        <w:t>/s，效率η</w:t>
      </w:r>
      <w:r>
        <w:rPr>
          <w:rFonts w:hint="eastAsia" w:ascii="宋体" w:hAnsi="宋体" w:cs="宋体"/>
          <w:szCs w:val="28"/>
          <w:highlight w:val="black"/>
          <w:vertAlign w:val="subscript"/>
        </w:rPr>
        <w:t>f</w:t>
      </w:r>
      <w:r>
        <w:rPr>
          <w:rFonts w:hint="eastAsia" w:ascii="宋体" w:hAnsi="宋体" w:cs="宋体"/>
          <w:szCs w:val="28"/>
          <w:highlight w:val="black"/>
        </w:rPr>
        <w:t>=0.68，叶轮转角为46°。</w:t>
      </w:r>
    </w:p>
    <w:p w14:paraId="1EEFB71E">
      <w:pPr>
        <w:spacing w:line="520" w:lineRule="atLeast"/>
        <w:ind w:firstLine="520" w:firstLineChars="0"/>
        <w:rPr>
          <w:rFonts w:ascii="宋体" w:hAnsi="宋体" w:cs="宋体"/>
          <w:szCs w:val="28"/>
          <w:highlight w:val="black"/>
        </w:rPr>
      </w:pPr>
      <w:r>
        <w:rPr>
          <w:rFonts w:hint="eastAsia" w:ascii="宋体" w:hAnsi="宋体" w:cs="宋体"/>
          <w:szCs w:val="28"/>
          <w:highlight w:val="black"/>
        </w:rPr>
        <w:t>困难时期工况点</w:t>
      </w:r>
    </w:p>
    <w:p w14:paraId="6D50AF05">
      <w:pPr>
        <w:ind w:firstLine="0" w:firstLineChars="0"/>
        <w:jc w:val="center"/>
        <w:rPr>
          <w:b/>
          <w:sz w:val="26"/>
        </w:rPr>
      </w:pPr>
    </w:p>
    <w:p w14:paraId="4B574AB4">
      <w:pPr>
        <w:ind w:firstLine="0" w:firstLineChars="0"/>
        <w:jc w:val="center"/>
        <w:rPr>
          <w:b/>
          <w:sz w:val="26"/>
        </w:rPr>
      </w:pPr>
    </w:p>
    <w:p w14:paraId="6ED9A6D7">
      <w:pPr>
        <w:ind w:firstLine="0" w:firstLineChars="0"/>
        <w:jc w:val="center"/>
        <w:rPr>
          <w:b/>
          <w:sz w:val="26"/>
        </w:rPr>
      </w:pPr>
    </w:p>
    <w:p w14:paraId="2EE282F0">
      <w:pPr>
        <w:ind w:firstLine="0" w:firstLineChars="0"/>
        <w:jc w:val="center"/>
        <w:rPr>
          <w:b/>
          <w:sz w:val="26"/>
        </w:rPr>
      </w:pPr>
    </w:p>
    <w:p w14:paraId="42C5FC57">
      <w:pPr>
        <w:ind w:firstLine="0" w:firstLineChars="0"/>
        <w:jc w:val="center"/>
        <w:rPr>
          <w:b/>
          <w:sz w:val="26"/>
        </w:rPr>
      </w:pPr>
    </w:p>
    <w:p w14:paraId="406E7690">
      <w:pPr>
        <w:ind w:firstLine="0" w:firstLineChars="0"/>
        <w:jc w:val="center"/>
        <w:rPr>
          <w:b/>
          <w:sz w:val="26"/>
        </w:rPr>
      </w:pPr>
    </w:p>
    <w:p w14:paraId="68C74DCC">
      <w:pPr>
        <w:ind w:firstLine="0" w:firstLineChars="0"/>
        <w:jc w:val="center"/>
        <w:rPr>
          <w:b/>
          <w:sz w:val="26"/>
        </w:rPr>
      </w:pPr>
    </w:p>
    <w:p w14:paraId="410082FF">
      <w:pPr>
        <w:ind w:firstLine="0" w:firstLineChars="0"/>
        <w:jc w:val="center"/>
        <w:rPr>
          <w:b/>
          <w:sz w:val="21"/>
          <w:szCs w:val="21"/>
        </w:rPr>
      </w:pPr>
      <w:r>
        <w:rPr>
          <w:b/>
          <w:sz w:val="26"/>
        </w:rPr>
        <w:drawing>
          <wp:inline distT="0" distB="0" distL="114300" distR="114300">
            <wp:extent cx="5273675" cy="3985260"/>
            <wp:effectExtent l="0" t="0" r="14605" b="7620"/>
            <wp:docPr id="6" name="图片 6" descr="174226613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2266131491"/>
                    <pic:cNvPicPr>
                      <a:picLocks noChangeAspect="1"/>
                    </pic:cNvPicPr>
                  </pic:nvPicPr>
                  <pic:blipFill>
                    <a:blip r:embed="rId55"/>
                    <a:stretch>
                      <a:fillRect/>
                    </a:stretch>
                  </pic:blipFill>
                  <pic:spPr>
                    <a:xfrm>
                      <a:off x="0" y="0"/>
                      <a:ext cx="5273675" cy="3985260"/>
                    </a:xfrm>
                    <a:prstGeom prst="rect">
                      <a:avLst/>
                    </a:prstGeom>
                  </pic:spPr>
                </pic:pic>
              </a:graphicData>
            </a:graphic>
          </wp:inline>
        </w:drawing>
      </w:r>
      <w:r>
        <w:rPr>
          <w:b/>
          <w:sz w:val="21"/>
          <w:szCs w:val="21"/>
        </w:rPr>
        <w:t>图</w:t>
      </w:r>
      <w:r>
        <w:rPr>
          <w:rFonts w:hint="eastAsia"/>
          <w:b/>
          <w:sz w:val="21"/>
          <w:szCs w:val="21"/>
        </w:rPr>
        <w:t>2-6</w:t>
      </w:r>
      <w:r>
        <w:rPr>
          <w:b/>
          <w:sz w:val="21"/>
          <w:szCs w:val="21"/>
        </w:rPr>
        <w:t xml:space="preserve"> </w:t>
      </w:r>
      <w:r>
        <w:rPr>
          <w:rFonts w:hint="eastAsia"/>
          <w:b/>
          <w:sz w:val="21"/>
          <w:szCs w:val="21"/>
        </w:rPr>
        <w:t>困难</w:t>
      </w:r>
      <w:r>
        <w:rPr>
          <w:b/>
          <w:sz w:val="21"/>
          <w:szCs w:val="21"/>
        </w:rPr>
        <w:t>开采时期工况点</w:t>
      </w:r>
    </w:p>
    <w:p w14:paraId="4BAE3C17">
      <w:pPr>
        <w:spacing w:line="520" w:lineRule="atLeast"/>
        <w:ind w:firstLine="520" w:firstLineChars="0"/>
        <w:rPr>
          <w:rFonts w:ascii="宋体" w:hAnsi="宋体" w:cs="宋体"/>
          <w:szCs w:val="28"/>
          <w:highlight w:val="black"/>
        </w:rPr>
      </w:pPr>
      <w:r>
        <w:rPr>
          <w:rFonts w:hint="eastAsia" w:ascii="宋体" w:hAnsi="宋体" w:cs="宋体"/>
          <w:szCs w:val="28"/>
          <w:highlight w:val="black"/>
        </w:rPr>
        <w:t>根据以上计算风机的风量及风压，求得</w:t>
      </w:r>
    </w:p>
    <w:p w14:paraId="764414D2">
      <w:pPr>
        <w:spacing w:line="520" w:lineRule="atLeast"/>
        <w:ind w:firstLine="520" w:firstLineChars="0"/>
        <w:jc w:val="center"/>
        <w:rPr>
          <w:rFonts w:ascii="宋体" w:hAnsi="宋体" w:cs="宋体"/>
          <w:szCs w:val="28"/>
          <w:highlight w:val="black"/>
        </w:rPr>
      </w:pPr>
      <w:r>
        <w:rPr>
          <w:rFonts w:hint="eastAsia" w:ascii="宋体" w:hAnsi="宋体" w:cs="宋体"/>
          <w:position w:val="-12"/>
          <w:szCs w:val="28"/>
          <w:highlight w:val="black"/>
        </w:rPr>
        <w:object>
          <v:shape id="_x0000_i1038" o:spt="75" type="#_x0000_t75" style="height:18.55pt;width:185.45pt;" o:ole="t" filled="f" o:preferrelative="t" stroked="f" coordsize="21600,21600">
            <v:path/>
            <v:fill on="f" focussize="0,0"/>
            <v:stroke on="f" joinstyle="miter"/>
            <v:imagedata r:id="rId57" o:title=""/>
            <o:lock v:ext="edit" aspectratio="t"/>
            <w10:wrap type="none"/>
            <w10:anchorlock/>
          </v:shape>
          <o:OLEObject Type="Embed" ProgID="Equation.DSMT4" ShapeID="_x0000_i1038" DrawAspect="Content" ObjectID="_1468075737" r:id="rId56">
            <o:LockedField>false</o:LockedField>
          </o:OLEObject>
        </w:object>
      </w:r>
    </w:p>
    <w:p w14:paraId="2CDFADA8">
      <w:pPr>
        <w:spacing w:line="520" w:lineRule="atLeast"/>
        <w:ind w:firstLine="520" w:firstLineChars="0"/>
        <w:rPr>
          <w:rFonts w:ascii="宋体" w:hAnsi="宋体" w:cs="宋体"/>
          <w:szCs w:val="28"/>
          <w:highlight w:val="black"/>
        </w:rPr>
      </w:pPr>
      <w:r>
        <w:rPr>
          <w:rFonts w:hint="eastAsia" w:ascii="宋体" w:hAnsi="宋体" w:cs="宋体"/>
          <w:szCs w:val="28"/>
          <w:highlight w:val="black"/>
        </w:rPr>
        <w:t>绘制H=0.35Q</w:t>
      </w:r>
      <w:r>
        <w:rPr>
          <w:rFonts w:hint="eastAsia" w:ascii="宋体" w:hAnsi="宋体" w:cs="宋体"/>
          <w:szCs w:val="28"/>
          <w:highlight w:val="black"/>
          <w:vertAlign w:val="superscript"/>
        </w:rPr>
        <w:t>2</w:t>
      </w:r>
      <w:r>
        <w:rPr>
          <w:rFonts w:hint="eastAsia" w:ascii="宋体" w:hAnsi="宋体" w:cs="宋体"/>
          <w:szCs w:val="28"/>
          <w:highlight w:val="black"/>
        </w:rPr>
        <w:t>曲线，图解法求得工况点如下：</w:t>
      </w:r>
    </w:p>
    <w:p w14:paraId="1C15D921">
      <w:pPr>
        <w:adjustRightInd w:val="0"/>
        <w:snapToGrid w:val="0"/>
        <w:spacing w:line="520" w:lineRule="atLeast"/>
        <w:ind w:firstLine="560"/>
        <w:rPr>
          <w:rFonts w:ascii="宋体" w:hAnsi="宋体" w:cs="宋体"/>
          <w:szCs w:val="28"/>
          <w:highlight w:val="black"/>
        </w:rPr>
      </w:pPr>
      <w:r>
        <w:rPr>
          <w:rFonts w:hint="eastAsia" w:ascii="宋体" w:hAnsi="宋体" w:cs="宋体"/>
          <w:szCs w:val="28"/>
          <w:highlight w:val="black"/>
        </w:rPr>
        <w:t>风压H</w:t>
      </w:r>
      <w:r>
        <w:rPr>
          <w:rFonts w:hint="eastAsia" w:ascii="宋体" w:hAnsi="宋体" w:cs="宋体"/>
          <w:szCs w:val="28"/>
          <w:highlight w:val="black"/>
          <w:vertAlign w:val="subscript"/>
        </w:rPr>
        <w:t>f</w:t>
      </w:r>
      <w:r>
        <w:rPr>
          <w:rFonts w:hint="eastAsia" w:ascii="宋体" w:hAnsi="宋体" w:cs="宋体"/>
          <w:szCs w:val="28"/>
          <w:highlight w:val="black"/>
        </w:rPr>
        <w:t>=2277Pa，风量Q</w:t>
      </w:r>
      <w:r>
        <w:rPr>
          <w:rFonts w:hint="eastAsia" w:ascii="宋体" w:hAnsi="宋体" w:cs="宋体"/>
          <w:szCs w:val="28"/>
          <w:highlight w:val="black"/>
          <w:vertAlign w:val="subscript"/>
        </w:rPr>
        <w:t>f</w:t>
      </w:r>
      <w:r>
        <w:rPr>
          <w:rFonts w:hint="eastAsia" w:ascii="宋体" w:hAnsi="宋体" w:cs="宋体"/>
          <w:szCs w:val="28"/>
          <w:highlight w:val="black"/>
        </w:rPr>
        <w:t>=78.5m</w:t>
      </w:r>
      <w:r>
        <w:rPr>
          <w:rFonts w:hint="eastAsia" w:ascii="宋体" w:hAnsi="宋体" w:cs="宋体"/>
          <w:szCs w:val="28"/>
          <w:highlight w:val="black"/>
          <w:vertAlign w:val="superscript"/>
        </w:rPr>
        <w:t>3</w:t>
      </w:r>
      <w:r>
        <w:rPr>
          <w:rFonts w:hint="eastAsia" w:ascii="宋体" w:hAnsi="宋体" w:cs="宋体"/>
          <w:szCs w:val="28"/>
          <w:highlight w:val="black"/>
        </w:rPr>
        <w:t>/s，效率η</w:t>
      </w:r>
      <w:r>
        <w:rPr>
          <w:rFonts w:hint="eastAsia" w:ascii="宋体" w:hAnsi="宋体" w:cs="宋体"/>
          <w:szCs w:val="28"/>
          <w:highlight w:val="black"/>
          <w:vertAlign w:val="subscript"/>
        </w:rPr>
        <w:t>f</w:t>
      </w:r>
      <w:r>
        <w:rPr>
          <w:rFonts w:hint="eastAsia" w:ascii="宋体" w:hAnsi="宋体" w:cs="宋体"/>
          <w:szCs w:val="28"/>
          <w:highlight w:val="black"/>
        </w:rPr>
        <w:t>=0.79，叶轮转角为49°。</w:t>
      </w:r>
    </w:p>
    <w:p w14:paraId="0D378B54">
      <w:pPr>
        <w:spacing w:line="520" w:lineRule="atLeast"/>
        <w:ind w:firstLine="520" w:firstLineChars="0"/>
        <w:rPr>
          <w:rFonts w:ascii="宋体" w:hAnsi="宋体" w:cs="宋体"/>
          <w:szCs w:val="28"/>
          <w:highlight w:val="black"/>
        </w:rPr>
      </w:pPr>
      <w:r>
        <w:rPr>
          <w:rFonts w:hint="eastAsia" w:ascii="宋体" w:hAnsi="宋体" w:cs="宋体"/>
          <w:szCs w:val="28"/>
          <w:highlight w:val="black"/>
        </w:rPr>
        <w:t>（4）电动机选型</w:t>
      </w:r>
    </w:p>
    <w:p w14:paraId="26E8BBCE">
      <w:pPr>
        <w:spacing w:line="520" w:lineRule="atLeast"/>
        <w:ind w:firstLine="520" w:firstLineChars="0"/>
        <w:rPr>
          <w:rFonts w:ascii="宋体" w:hAnsi="宋体" w:cs="宋体"/>
          <w:szCs w:val="28"/>
          <w:highlight w:val="black"/>
        </w:rPr>
      </w:pPr>
      <w:r>
        <w:rPr>
          <w:rFonts w:hint="eastAsia" w:ascii="宋体" w:hAnsi="宋体" w:cs="宋体"/>
          <w:szCs w:val="28"/>
          <w:highlight w:val="black"/>
        </w:rPr>
        <w:t>1）风机的计算功率</w:t>
      </w:r>
    </w:p>
    <w:p w14:paraId="4979A0B5">
      <w:pPr>
        <w:snapToGrid w:val="0"/>
        <w:spacing w:after="156" w:afterLines="50" w:line="520" w:lineRule="atLeast"/>
        <w:ind w:firstLine="520" w:firstLineChars="0"/>
        <w:jc w:val="center"/>
        <w:rPr>
          <w:rFonts w:ascii="宋体" w:hAnsi="宋体" w:cs="宋体"/>
          <w:szCs w:val="28"/>
          <w:highlight w:val="black"/>
        </w:rPr>
      </w:pPr>
      <w:r>
        <w:rPr>
          <w:rFonts w:hint="eastAsia" w:ascii="宋体" w:hAnsi="宋体" w:cs="宋体"/>
          <w:position w:val="-30"/>
          <w:szCs w:val="28"/>
          <w:highlight w:val="black"/>
        </w:rPr>
        <w:object>
          <v:shape id="_x0000_i1039" o:spt="75" type="#_x0000_t75" style="height:34.35pt;width:109.65pt;" o:ole="t" filled="f" o:preferrelative="t" stroked="f" coordsize="21600,21600">
            <v:path/>
            <v:fill on="f" focussize="0,0"/>
            <v:stroke on="f" joinstyle="miter"/>
            <v:imagedata r:id="rId59" o:title=""/>
            <o:lock v:ext="edit" aspectratio="t"/>
            <w10:wrap type="none"/>
            <w10:anchorlock/>
          </v:shape>
          <o:OLEObject Type="Embed" ProgID="Equation.DSMT4" ShapeID="_x0000_i1039" DrawAspect="Content" ObjectID="_1468075738" r:id="rId58">
            <o:LockedField>false</o:LockedField>
          </o:OLEObject>
        </w:object>
      </w:r>
    </w:p>
    <w:p w14:paraId="5A17158C">
      <w:pPr>
        <w:spacing w:line="520" w:lineRule="atLeast"/>
        <w:ind w:firstLine="520" w:firstLineChars="0"/>
        <w:rPr>
          <w:rFonts w:ascii="宋体" w:hAnsi="宋体" w:cs="宋体"/>
          <w:szCs w:val="28"/>
          <w:highlight w:val="black"/>
        </w:rPr>
      </w:pPr>
      <w:r>
        <w:rPr>
          <w:rFonts w:hint="eastAsia" w:ascii="宋体" w:hAnsi="宋体" w:cs="宋体"/>
          <w:szCs w:val="28"/>
          <w:highlight w:val="black"/>
        </w:rPr>
        <w:t>式中：K—电机备用系数，取K=1.1；</w:t>
      </w:r>
    </w:p>
    <w:p w14:paraId="42A274E0">
      <w:pPr>
        <w:spacing w:line="520" w:lineRule="atLeast"/>
        <w:ind w:firstLine="1400" w:firstLineChars="500"/>
        <w:rPr>
          <w:rFonts w:ascii="宋体" w:hAnsi="宋体" w:cs="宋体"/>
          <w:szCs w:val="28"/>
          <w:highlight w:val="black"/>
        </w:rPr>
      </w:pPr>
      <w:r>
        <w:rPr>
          <w:rFonts w:hint="eastAsia" w:ascii="宋体" w:hAnsi="宋体" w:cs="宋体"/>
          <w:szCs w:val="28"/>
          <w:highlight w:val="black"/>
        </w:rPr>
        <w:t>H</w:t>
      </w:r>
      <w:r>
        <w:rPr>
          <w:rFonts w:hint="eastAsia" w:ascii="宋体" w:hAnsi="宋体" w:cs="宋体"/>
          <w:szCs w:val="28"/>
          <w:highlight w:val="black"/>
          <w:vertAlign w:val="subscript"/>
        </w:rPr>
        <w:t>f</w:t>
      </w:r>
      <w:r>
        <w:rPr>
          <w:rFonts w:hint="eastAsia" w:ascii="宋体" w:hAnsi="宋体" w:cs="宋体"/>
          <w:szCs w:val="28"/>
          <w:highlight w:val="black"/>
        </w:rPr>
        <w:t>—风机工况点风压，Pa；</w:t>
      </w:r>
    </w:p>
    <w:p w14:paraId="6D6A871F">
      <w:pPr>
        <w:spacing w:line="520" w:lineRule="atLeast"/>
        <w:ind w:firstLine="1400" w:firstLineChars="500"/>
        <w:rPr>
          <w:rFonts w:ascii="宋体" w:hAnsi="宋体" w:cs="宋体"/>
          <w:szCs w:val="28"/>
          <w:highlight w:val="black"/>
        </w:rPr>
      </w:pPr>
      <w:r>
        <w:rPr>
          <w:rFonts w:hint="eastAsia" w:ascii="宋体" w:hAnsi="宋体" w:cs="宋体"/>
          <w:szCs w:val="28"/>
          <w:highlight w:val="black"/>
        </w:rPr>
        <w:t>Q</w:t>
      </w:r>
      <w:r>
        <w:rPr>
          <w:rFonts w:hint="eastAsia" w:ascii="宋体" w:hAnsi="宋体" w:cs="宋体"/>
          <w:szCs w:val="28"/>
          <w:highlight w:val="black"/>
          <w:vertAlign w:val="subscript"/>
        </w:rPr>
        <w:t>f</w:t>
      </w:r>
      <w:r>
        <w:rPr>
          <w:rFonts w:hint="eastAsia" w:ascii="宋体" w:hAnsi="宋体" w:cs="宋体"/>
          <w:szCs w:val="28"/>
          <w:highlight w:val="black"/>
        </w:rPr>
        <w:t>—风机工况点风量，m</w:t>
      </w:r>
      <w:r>
        <w:rPr>
          <w:rFonts w:hint="eastAsia" w:ascii="宋体" w:hAnsi="宋体" w:cs="宋体"/>
          <w:szCs w:val="28"/>
          <w:highlight w:val="black"/>
          <w:vertAlign w:val="superscript"/>
        </w:rPr>
        <w:t>3</w:t>
      </w:r>
      <w:r>
        <w:rPr>
          <w:rFonts w:hint="eastAsia" w:ascii="宋体" w:hAnsi="宋体" w:cs="宋体"/>
          <w:szCs w:val="28"/>
          <w:highlight w:val="black"/>
        </w:rPr>
        <w:t>/s；</w:t>
      </w:r>
    </w:p>
    <w:p w14:paraId="2ACE909F">
      <w:pPr>
        <w:spacing w:line="520" w:lineRule="atLeast"/>
        <w:ind w:firstLine="1400" w:firstLineChars="500"/>
        <w:rPr>
          <w:rFonts w:ascii="宋体" w:hAnsi="宋体" w:cs="宋体"/>
          <w:szCs w:val="28"/>
          <w:highlight w:val="black"/>
        </w:rPr>
      </w:pPr>
      <w:r>
        <w:rPr>
          <w:rFonts w:hint="eastAsia" w:ascii="宋体" w:hAnsi="宋体" w:cs="宋体"/>
          <w:szCs w:val="28"/>
          <w:highlight w:val="black"/>
        </w:rPr>
        <w:t>η—机械传动效率，联轴器直联传动，取0.98；</w:t>
      </w:r>
    </w:p>
    <w:p w14:paraId="518EEE04">
      <w:pPr>
        <w:spacing w:line="520" w:lineRule="atLeast"/>
        <w:ind w:firstLine="1400" w:firstLineChars="500"/>
        <w:rPr>
          <w:rFonts w:ascii="宋体" w:hAnsi="宋体" w:cs="宋体"/>
          <w:szCs w:val="28"/>
          <w:highlight w:val="black"/>
        </w:rPr>
      </w:pPr>
      <w:r>
        <w:rPr>
          <w:rFonts w:hint="eastAsia" w:ascii="宋体" w:hAnsi="宋体" w:cs="宋体"/>
          <w:szCs w:val="28"/>
          <w:highlight w:val="black"/>
        </w:rPr>
        <w:t>η</w:t>
      </w:r>
      <w:r>
        <w:rPr>
          <w:rFonts w:hint="eastAsia" w:ascii="宋体" w:hAnsi="宋体" w:cs="宋体"/>
          <w:szCs w:val="28"/>
          <w:highlight w:val="black"/>
          <w:vertAlign w:val="subscript"/>
        </w:rPr>
        <w:t>m</w:t>
      </w:r>
      <w:r>
        <w:rPr>
          <w:rFonts w:hint="eastAsia" w:ascii="宋体" w:hAnsi="宋体" w:cs="宋体"/>
          <w:szCs w:val="28"/>
          <w:highlight w:val="black"/>
        </w:rPr>
        <w:t>—风机工况点效率。</w:t>
      </w:r>
    </w:p>
    <w:p w14:paraId="734DE984">
      <w:pPr>
        <w:spacing w:line="520" w:lineRule="atLeast"/>
        <w:ind w:firstLine="520" w:firstLineChars="0"/>
        <w:rPr>
          <w:rFonts w:ascii="宋体" w:hAnsi="宋体" w:cs="宋体"/>
          <w:szCs w:val="28"/>
          <w:highlight w:val="black"/>
        </w:rPr>
      </w:pPr>
      <w:r>
        <w:rPr>
          <w:rFonts w:hint="eastAsia" w:ascii="宋体" w:hAnsi="宋体" w:cs="宋体"/>
          <w:szCs w:val="28"/>
          <w:highlight w:val="black"/>
        </w:rPr>
        <w:t>容易时期：</w:t>
      </w:r>
    </w:p>
    <w:p w14:paraId="0F045389">
      <w:pPr>
        <w:snapToGrid w:val="0"/>
        <w:spacing w:line="520" w:lineRule="atLeast"/>
        <w:ind w:firstLine="520" w:firstLineChars="0"/>
        <w:jc w:val="center"/>
        <w:rPr>
          <w:rFonts w:ascii="宋体" w:hAnsi="宋体" w:cs="宋体"/>
          <w:szCs w:val="28"/>
          <w:highlight w:val="black"/>
        </w:rPr>
      </w:pPr>
      <w:r>
        <w:rPr>
          <w:rFonts w:hint="eastAsia" w:ascii="宋体" w:hAnsi="宋体" w:cs="宋体"/>
          <w:position w:val="-24"/>
          <w:szCs w:val="28"/>
          <w:highlight w:val="black"/>
        </w:rPr>
        <w:object>
          <v:shape id="_x0000_i1040" o:spt="75" type="#_x0000_t75" style="height:30.55pt;width:192.55pt;" o:ole="t" filled="f" o:preferrelative="t" stroked="f" coordsize="21600,21600">
            <v:path/>
            <v:fill on="f" focussize="0,0"/>
            <v:stroke on="f" joinstyle="miter"/>
            <v:imagedata r:id="rId61" o:title=""/>
            <o:lock v:ext="edit" aspectratio="t"/>
            <w10:wrap type="none"/>
            <w10:anchorlock/>
          </v:shape>
          <o:OLEObject Type="Embed" ProgID="Equation.DSMT4" ShapeID="_x0000_i1040" DrawAspect="Content" ObjectID="_1468075739" r:id="rId60">
            <o:LockedField>false</o:LockedField>
          </o:OLEObject>
        </w:object>
      </w:r>
    </w:p>
    <w:p w14:paraId="34055582">
      <w:pPr>
        <w:spacing w:line="520" w:lineRule="atLeast"/>
        <w:ind w:firstLine="520" w:firstLineChars="0"/>
        <w:rPr>
          <w:rFonts w:ascii="宋体" w:hAnsi="宋体" w:cs="宋体"/>
          <w:szCs w:val="28"/>
          <w:highlight w:val="black"/>
        </w:rPr>
      </w:pPr>
      <w:r>
        <w:rPr>
          <w:rFonts w:hint="eastAsia" w:ascii="宋体" w:hAnsi="宋体" w:cs="宋体"/>
          <w:szCs w:val="28"/>
          <w:highlight w:val="black"/>
        </w:rPr>
        <w:t>困难时期：</w:t>
      </w:r>
    </w:p>
    <w:p w14:paraId="4BAE328B">
      <w:pPr>
        <w:snapToGrid w:val="0"/>
        <w:spacing w:line="520" w:lineRule="atLeast"/>
        <w:ind w:firstLine="520" w:firstLineChars="0"/>
        <w:jc w:val="center"/>
        <w:rPr>
          <w:rFonts w:ascii="宋体" w:hAnsi="宋体" w:cs="宋体"/>
          <w:position w:val="-24"/>
          <w:szCs w:val="28"/>
          <w:highlight w:val="black"/>
        </w:rPr>
      </w:pPr>
      <w:r>
        <w:rPr>
          <w:rFonts w:hint="eastAsia" w:ascii="宋体" w:hAnsi="宋体" w:cs="宋体"/>
          <w:position w:val="-24"/>
          <w:szCs w:val="28"/>
          <w:highlight w:val="black"/>
        </w:rPr>
        <w:object>
          <v:shape id="_x0000_i1041" o:spt="75" type="#_x0000_t75" style="height:30.55pt;width:184.35pt;" o:ole="t" filled="f" o:preferrelative="t" stroked="f" coordsize="21600,21600">
            <v:path/>
            <v:fill on="f" focussize="0,0"/>
            <v:stroke on="f" joinstyle="miter"/>
            <v:imagedata r:id="rId63" o:title=""/>
            <o:lock v:ext="edit" aspectratio="t"/>
            <w10:wrap type="none"/>
            <w10:anchorlock/>
          </v:shape>
          <o:OLEObject Type="Embed" ProgID="Equation.DSMT4" ShapeID="_x0000_i1041" DrawAspect="Content" ObjectID="_1468075740" r:id="rId62">
            <o:LockedField>false</o:LockedField>
          </o:OLEObject>
        </w:object>
      </w:r>
    </w:p>
    <w:p w14:paraId="74D5E1EC">
      <w:pPr>
        <w:spacing w:line="520" w:lineRule="atLeast"/>
        <w:ind w:firstLine="520" w:firstLineChars="0"/>
        <w:rPr>
          <w:rFonts w:ascii="宋体" w:hAnsi="宋体" w:cs="宋体"/>
          <w:kern w:val="0"/>
          <w:szCs w:val="28"/>
          <w:highlight w:val="black"/>
        </w:rPr>
      </w:pPr>
      <w:r>
        <w:rPr>
          <w:rFonts w:hint="eastAsia" w:ascii="宋体" w:hAnsi="宋体" w:cs="宋体"/>
          <w:szCs w:val="28"/>
          <w:highlight w:val="black"/>
        </w:rPr>
        <w:t>根据以上计算，按电机转速750r/min，</w:t>
      </w:r>
      <w:r>
        <w:rPr>
          <w:rFonts w:hint="eastAsia" w:ascii="宋体" w:hAnsi="宋体" w:cs="宋体"/>
          <w:kern w:val="0"/>
          <w:szCs w:val="28"/>
          <w:highlight w:val="black"/>
        </w:rPr>
        <w:t>配备电机如下：</w:t>
      </w:r>
    </w:p>
    <w:p w14:paraId="4C491C5C">
      <w:pPr>
        <w:spacing w:line="520" w:lineRule="atLeast"/>
        <w:ind w:firstLine="520" w:firstLineChars="0"/>
        <w:rPr>
          <w:rFonts w:ascii="宋体" w:hAnsi="宋体" w:cs="宋体"/>
          <w:szCs w:val="28"/>
          <w:highlight w:val="black"/>
        </w:rPr>
      </w:pPr>
      <w:bookmarkStart w:id="189" w:name="_Hlk185542910"/>
      <w:r>
        <w:rPr>
          <w:rFonts w:hint="eastAsia" w:ascii="宋体" w:hAnsi="宋体" w:cs="宋体"/>
          <w:szCs w:val="28"/>
          <w:highlight w:val="black"/>
        </w:rPr>
        <w:t>配套YBFe355L</w:t>
      </w:r>
      <w:r>
        <w:rPr>
          <w:rFonts w:hint="eastAsia" w:ascii="宋体" w:hAnsi="宋体" w:cs="宋体"/>
          <w:szCs w:val="28"/>
          <w:highlight w:val="black"/>
          <w:vertAlign w:val="subscript"/>
        </w:rPr>
        <w:t>1</w:t>
      </w:r>
      <w:r>
        <w:rPr>
          <w:rFonts w:hint="eastAsia" w:ascii="宋体" w:hAnsi="宋体" w:cs="宋体"/>
          <w:szCs w:val="28"/>
          <w:highlight w:val="black"/>
        </w:rPr>
        <w:t>-6型电动机2台，单台电机额定功率185kW，总功率370kW，额定电压380V。要求有相同型号的备用电机2台，且有快速更换电机的装置</w:t>
      </w:r>
      <w:bookmarkEnd w:id="189"/>
      <w:r>
        <w:rPr>
          <w:rFonts w:hint="eastAsia" w:ascii="宋体" w:hAnsi="宋体" w:cs="宋体"/>
          <w:szCs w:val="28"/>
          <w:highlight w:val="black"/>
        </w:rPr>
        <w:t>。电机采用变频启动方式。</w:t>
      </w:r>
    </w:p>
    <w:p w14:paraId="2BD1D88E">
      <w:pPr>
        <w:spacing w:line="520" w:lineRule="atLeast"/>
        <w:ind w:firstLine="520" w:firstLineChars="0"/>
        <w:rPr>
          <w:rFonts w:ascii="宋体" w:hAnsi="宋体" w:cs="宋体"/>
          <w:szCs w:val="28"/>
          <w:highlight w:val="black"/>
        </w:rPr>
      </w:pPr>
      <w:r>
        <w:rPr>
          <w:rFonts w:hint="eastAsia" w:ascii="宋体" w:hAnsi="宋体" w:cs="宋体"/>
          <w:szCs w:val="28"/>
          <w:highlight w:val="black"/>
        </w:rPr>
        <w:t>2）风机监测设施配置</w:t>
      </w:r>
    </w:p>
    <w:p w14:paraId="2C6D7EFA">
      <w:pPr>
        <w:spacing w:line="520" w:lineRule="atLeast"/>
        <w:ind w:firstLine="520" w:firstLineChars="0"/>
        <w:rPr>
          <w:rFonts w:ascii="宋体" w:hAnsi="宋体" w:cs="宋体"/>
          <w:szCs w:val="28"/>
          <w:highlight w:val="black"/>
        </w:rPr>
      </w:pPr>
      <w:r>
        <w:rPr>
          <w:rFonts w:hint="eastAsia" w:ascii="宋体" w:hAnsi="宋体" w:cs="宋体"/>
          <w:szCs w:val="28"/>
          <w:highlight w:val="black"/>
        </w:rPr>
        <w:t>主扇风机应配备集中控制与辅助安全设施：风量、负压、温度、开停等测量仪表及其他安全报警装置。</w:t>
      </w:r>
    </w:p>
    <w:p w14:paraId="7FAD09EB">
      <w:pPr>
        <w:spacing w:line="520" w:lineRule="atLeast"/>
        <w:ind w:firstLine="520" w:firstLineChars="0"/>
        <w:rPr>
          <w:rFonts w:ascii="宋体" w:hAnsi="宋体" w:cs="宋体"/>
          <w:szCs w:val="28"/>
          <w:highlight w:val="black"/>
        </w:rPr>
      </w:pPr>
      <w:r>
        <w:rPr>
          <w:rFonts w:hint="eastAsia" w:ascii="宋体" w:hAnsi="宋体" w:cs="宋体"/>
          <w:szCs w:val="28"/>
          <w:highlight w:val="black"/>
        </w:rPr>
        <w:t>3）风机反转功能</w:t>
      </w:r>
    </w:p>
    <w:p w14:paraId="2C62790E">
      <w:pPr>
        <w:spacing w:line="520" w:lineRule="atLeast"/>
        <w:ind w:firstLine="520" w:firstLineChars="0"/>
        <w:rPr>
          <w:rFonts w:ascii="宋体" w:hAnsi="宋体" w:cs="宋体"/>
          <w:szCs w:val="28"/>
          <w:highlight w:val="black"/>
        </w:rPr>
      </w:pPr>
      <w:r>
        <w:rPr>
          <w:rFonts w:hint="eastAsia" w:ascii="宋体" w:hAnsi="宋体" w:cs="宋体"/>
          <w:szCs w:val="28"/>
          <w:highlight w:val="black"/>
        </w:rPr>
        <w:t>依据《中国采矿设备手册》（2007马鞍山院编）：选取的风机具有直接反转反风的性能，其反风量可达到正常运转时风量的60％以上，不需修筑反风道。</w:t>
      </w:r>
    </w:p>
    <w:p w14:paraId="58CACB27">
      <w:pPr>
        <w:spacing w:line="520" w:lineRule="atLeast"/>
        <w:ind w:firstLine="520" w:firstLineChars="0"/>
        <w:rPr>
          <w:rFonts w:ascii="宋体" w:hAnsi="宋体" w:cs="宋体"/>
          <w:szCs w:val="28"/>
          <w:highlight w:val="black"/>
        </w:rPr>
      </w:pPr>
      <w:r>
        <w:rPr>
          <w:rFonts w:hint="eastAsia" w:ascii="宋体" w:hAnsi="宋体" w:cs="宋体"/>
          <w:szCs w:val="28"/>
          <w:highlight w:val="black"/>
        </w:rPr>
        <w:t>每年至少进行一次反风试验，并测定主要风路反风后的风量。主扇或通风系统反风，应按照事故应急预案执行</w:t>
      </w:r>
      <w:bookmarkEnd w:id="187"/>
      <w:r>
        <w:rPr>
          <w:rFonts w:hint="eastAsia" w:ascii="宋体" w:hAnsi="宋体" w:cs="宋体"/>
          <w:szCs w:val="28"/>
          <w:highlight w:val="black"/>
        </w:rPr>
        <w:t>。</w:t>
      </w:r>
    </w:p>
    <w:p w14:paraId="76E0726D">
      <w:pPr>
        <w:keepNext/>
        <w:keepLines/>
        <w:numPr>
          <w:ilvl w:val="2"/>
          <w:numId w:val="0"/>
        </w:numPr>
        <w:tabs>
          <w:tab w:val="left" w:pos="0"/>
          <w:tab w:val="left" w:pos="284"/>
        </w:tabs>
        <w:snapToGrid w:val="0"/>
        <w:spacing w:line="520" w:lineRule="atLeast"/>
        <w:outlineLvl w:val="2"/>
        <w:rPr>
          <w:sz w:val="26"/>
          <w:lang w:val="zh-TW"/>
        </w:rPr>
      </w:pPr>
      <w:r>
        <w:rPr>
          <w:rFonts w:hint="eastAsia" w:ascii="宋体" w:hAnsi="宋体" w:cs="宋体"/>
          <w:b/>
          <w:bCs/>
        </w:rPr>
        <w:t xml:space="preserve">2.4.7.6 </w:t>
      </w:r>
      <w:r>
        <w:rPr>
          <w:rFonts w:hint="eastAsia" w:ascii="宋体" w:hAnsi="宋体" w:cs="宋体"/>
          <w:b/>
          <w:bCs/>
          <w:lang w:val="zh-TW"/>
        </w:rPr>
        <w:t>井口预热</w:t>
      </w:r>
    </w:p>
    <w:p w14:paraId="1B92C8F2">
      <w:pPr>
        <w:spacing w:line="520" w:lineRule="atLeast"/>
        <w:ind w:firstLine="520" w:firstLineChars="0"/>
        <w:rPr>
          <w:rFonts w:hint="eastAsia" w:ascii="宋体" w:hAnsi="宋体" w:cs="宋体"/>
          <w:szCs w:val="28"/>
          <w:highlight w:val="black"/>
        </w:rPr>
      </w:pPr>
      <w:bookmarkStart w:id="190" w:name="_Hlk169545811"/>
      <w:bookmarkStart w:id="191" w:name="_Hlk162008665"/>
      <w:r>
        <w:rPr>
          <w:rFonts w:hint="eastAsia" w:ascii="宋体" w:hAnsi="宋体" w:cs="宋体"/>
          <w:szCs w:val="28"/>
          <w:highlight w:val="black"/>
        </w:rPr>
        <w:t>根据《金属非金属矿山安全规程》（GB 16423-2020）第6.6.1.5条：“进风井巷空气温度应不低于2℃；低于2℃时，应有空气加热设施，不应采用明火直接加热进入矿井的空气。”该矿山地处北方，属北温带大陆性季风气候，冰冻期在当年的11月末至次年的3月初。为防止冬季管缆井井口结冰以及井下温度过低，对冬季进入井下的空气进行预热。</w:t>
      </w:r>
    </w:p>
    <w:p w14:paraId="69339D71">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采用HYRF1-600K/380V矿用远红外热风机组与空气压缩机余热混合加热来调节矿井进风的温度。管缆井总进风量78.5m³/s，室外极端最低温度-32℃，加热后进入井口的空气温度为40℃，冷、热空气混合后温度为2℃。混合空气由负压抽入竖井内，热媒介质为空气。</w:t>
      </w:r>
    </w:p>
    <w:p w14:paraId="7C2BD45C">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1) 矿井井口预热耗热量</w:t>
      </w:r>
    </w:p>
    <w:p w14:paraId="387EC53C">
      <w:pPr>
        <w:adjustRightInd w:val="0"/>
        <w:snapToGrid w:val="0"/>
        <w:spacing w:line="360" w:lineRule="auto"/>
        <w:ind w:firstLine="560"/>
        <w:rPr>
          <w:rFonts w:ascii="宋体" w:hAnsi="宋体" w:cs="宋体"/>
          <w:snapToGrid w:val="0"/>
          <w:kern w:val="0"/>
          <w:szCs w:val="28"/>
          <w:highlight w:val="black"/>
        </w:rPr>
      </w:pPr>
      <w:r>
        <w:rPr>
          <w:rFonts w:hint="eastAsia" w:ascii="宋体" w:hAnsi="宋体" w:cs="宋体"/>
          <w:snapToGrid w:val="0"/>
          <w:kern w:val="0"/>
          <w:szCs w:val="28"/>
          <w:highlight w:val="black"/>
        </w:rPr>
        <w:t>需要加热的风量为：G</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=G×(t</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-t)/(t</w:t>
      </w:r>
      <w:r>
        <w:rPr>
          <w:rFonts w:hint="eastAsia" w:ascii="宋体" w:hAnsi="宋体" w:cs="宋体"/>
          <w:snapToGrid w:val="0"/>
          <w:kern w:val="0"/>
          <w:szCs w:val="28"/>
          <w:highlight w:val="black"/>
          <w:vertAlign w:val="subscript"/>
        </w:rPr>
        <w:t>1</w:t>
      </w:r>
      <w:r>
        <w:rPr>
          <w:rFonts w:hint="eastAsia" w:ascii="宋体" w:hAnsi="宋体" w:cs="宋体"/>
          <w:snapToGrid w:val="0"/>
          <w:kern w:val="0"/>
          <w:szCs w:val="28"/>
          <w:highlight w:val="black"/>
        </w:rPr>
        <w:t>-t)</w:t>
      </w:r>
    </w:p>
    <w:p w14:paraId="7261535A">
      <w:pPr>
        <w:adjustRightInd w:val="0"/>
        <w:snapToGrid w:val="0"/>
        <w:spacing w:line="360" w:lineRule="auto"/>
        <w:ind w:firstLine="560"/>
        <w:rPr>
          <w:rFonts w:ascii="宋体" w:hAnsi="宋体" w:cs="宋体"/>
          <w:snapToGrid w:val="0"/>
          <w:kern w:val="0"/>
          <w:szCs w:val="28"/>
          <w:highlight w:val="black"/>
        </w:rPr>
      </w:pPr>
      <w:r>
        <w:rPr>
          <w:rFonts w:hint="eastAsia" w:ascii="宋体" w:hAnsi="宋体" w:cs="宋体"/>
          <w:snapToGrid w:val="0"/>
          <w:kern w:val="0"/>
          <w:szCs w:val="28"/>
          <w:highlight w:val="black"/>
        </w:rPr>
        <w:t>耗热量：Q</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=K</w:t>
      </w:r>
      <w:r>
        <w:rPr>
          <w:rFonts w:hint="eastAsia" w:ascii="宋体" w:hAnsi="宋体" w:cs="宋体"/>
          <w:snapToGrid w:val="0"/>
          <w:kern w:val="0"/>
          <w:szCs w:val="28"/>
          <w:highlight w:val="black"/>
          <w:vertAlign w:val="subscript"/>
        </w:rPr>
        <w:t>1</w:t>
      </w:r>
      <w:r>
        <w:rPr>
          <w:rFonts w:hint="eastAsia" w:ascii="宋体" w:hAnsi="宋体" w:cs="宋体"/>
          <w:snapToGrid w:val="0"/>
          <w:kern w:val="0"/>
          <w:szCs w:val="28"/>
          <w:highlight w:val="black"/>
        </w:rPr>
        <w:t>×G×P</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×c(2-t)</w:t>
      </w:r>
    </w:p>
    <w:p w14:paraId="1AC7AB9E">
      <w:pPr>
        <w:spacing w:line="360" w:lineRule="auto"/>
        <w:ind w:firstLine="520" w:firstLineChars="0"/>
        <w:rPr>
          <w:rFonts w:ascii="宋体" w:hAnsi="宋体" w:cs="宋体"/>
          <w:snapToGrid w:val="0"/>
          <w:kern w:val="0"/>
          <w:szCs w:val="28"/>
          <w:highlight w:val="black"/>
        </w:rPr>
      </w:pPr>
      <w:r>
        <w:rPr>
          <w:rFonts w:hint="eastAsia" w:ascii="宋体" w:hAnsi="宋体" w:cs="宋体"/>
          <w:snapToGrid w:val="0"/>
          <w:kern w:val="0"/>
          <w:szCs w:val="28"/>
          <w:highlight w:val="black"/>
        </w:rPr>
        <w:t>式中：G—井筒进风量，kg/s；</w:t>
      </w:r>
    </w:p>
    <w:p w14:paraId="790F930D">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Q</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—耗热量，kW；</w:t>
      </w:r>
    </w:p>
    <w:p w14:paraId="658964F0">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G</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—需要加热的风量，kg/s；</w:t>
      </w:r>
    </w:p>
    <w:p w14:paraId="62F237E8">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K</w:t>
      </w:r>
      <w:r>
        <w:rPr>
          <w:rFonts w:hint="eastAsia" w:ascii="宋体" w:hAnsi="宋体" w:cs="宋体"/>
          <w:snapToGrid w:val="0"/>
          <w:kern w:val="0"/>
          <w:szCs w:val="28"/>
          <w:highlight w:val="black"/>
          <w:vertAlign w:val="subscript"/>
        </w:rPr>
        <w:t>1</w:t>
      </w:r>
      <w:r>
        <w:rPr>
          <w:rFonts w:hint="eastAsia" w:ascii="宋体" w:hAnsi="宋体" w:cs="宋体"/>
          <w:snapToGrid w:val="0"/>
          <w:kern w:val="0"/>
          <w:szCs w:val="28"/>
          <w:highlight w:val="black"/>
        </w:rPr>
        <w:t>—附加热损耗系数，设置通风机方式时α＝1.05～1.10，不设置通风机方式时α＝1.10～1.15；</w:t>
      </w:r>
    </w:p>
    <w:p w14:paraId="0157AEA1">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t</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—冷、热风混合后空气温度，取2℃；</w:t>
      </w:r>
    </w:p>
    <w:p w14:paraId="1BD306D2">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t—室外冷风温度，℃；</w:t>
      </w:r>
    </w:p>
    <w:p w14:paraId="09B95FD7">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t</w:t>
      </w:r>
      <w:r>
        <w:rPr>
          <w:rFonts w:hint="eastAsia" w:ascii="宋体" w:hAnsi="宋体" w:cs="宋体"/>
          <w:snapToGrid w:val="0"/>
          <w:kern w:val="0"/>
          <w:szCs w:val="28"/>
          <w:highlight w:val="black"/>
          <w:vertAlign w:val="subscript"/>
        </w:rPr>
        <w:t>1</w:t>
      </w:r>
      <w:r>
        <w:rPr>
          <w:rFonts w:hint="eastAsia" w:ascii="宋体" w:hAnsi="宋体" w:cs="宋体"/>
          <w:snapToGrid w:val="0"/>
          <w:kern w:val="0"/>
          <w:szCs w:val="28"/>
          <w:highlight w:val="black"/>
        </w:rPr>
        <w:t>—热风温度，℃；</w:t>
      </w:r>
    </w:p>
    <w:p w14:paraId="279E66E7">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c—空气比热，1.0kJ/(kG·C)；</w:t>
      </w:r>
    </w:p>
    <w:p w14:paraId="02DE7910">
      <w:pPr>
        <w:adjustRightInd w:val="0"/>
        <w:snapToGrid w:val="0"/>
        <w:spacing w:line="360" w:lineRule="auto"/>
        <w:ind w:firstLine="1430" w:firstLineChars="511"/>
        <w:rPr>
          <w:rFonts w:ascii="宋体" w:hAnsi="宋体" w:cs="宋体"/>
          <w:snapToGrid w:val="0"/>
          <w:kern w:val="0"/>
          <w:szCs w:val="28"/>
          <w:highlight w:val="black"/>
        </w:rPr>
      </w:pPr>
      <w:r>
        <w:rPr>
          <w:rFonts w:hint="eastAsia" w:ascii="宋体" w:hAnsi="宋体" w:cs="宋体"/>
          <w:snapToGrid w:val="0"/>
          <w:kern w:val="0"/>
          <w:szCs w:val="28"/>
          <w:highlight w:val="black"/>
        </w:rPr>
        <w:t>P</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—饱和空气密度，P</w:t>
      </w:r>
      <w:r>
        <w:rPr>
          <w:rFonts w:hint="eastAsia" w:ascii="宋体" w:hAnsi="宋体" w:cs="宋体"/>
          <w:snapToGrid w:val="0"/>
          <w:kern w:val="0"/>
          <w:szCs w:val="28"/>
          <w:highlight w:val="black"/>
          <w:vertAlign w:val="subscript"/>
        </w:rPr>
        <w:t>2</w:t>
      </w:r>
      <w:r>
        <w:rPr>
          <w:rFonts w:hint="eastAsia" w:ascii="宋体" w:hAnsi="宋体" w:cs="宋体"/>
          <w:snapToGrid w:val="0"/>
          <w:kern w:val="0"/>
          <w:szCs w:val="28"/>
          <w:highlight w:val="black"/>
        </w:rPr>
        <w:t>＝1.284kg/m</w:t>
      </w:r>
      <w:r>
        <w:rPr>
          <w:rFonts w:hint="eastAsia" w:ascii="宋体" w:hAnsi="宋体" w:cs="宋体"/>
          <w:snapToGrid w:val="0"/>
          <w:kern w:val="0"/>
          <w:szCs w:val="28"/>
          <w:highlight w:val="black"/>
          <w:vertAlign w:val="superscript"/>
        </w:rPr>
        <w:t>3（</w:t>
      </w:r>
      <w:r>
        <w:rPr>
          <w:rFonts w:hint="eastAsia" w:ascii="宋体" w:hAnsi="宋体" w:cs="宋体"/>
          <w:snapToGrid w:val="0"/>
          <w:kern w:val="0"/>
          <w:szCs w:val="28"/>
          <w:highlight w:val="black"/>
        </w:rPr>
        <w:t>2°C时）。</w:t>
      </w:r>
    </w:p>
    <w:p w14:paraId="2BD6FB12">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根据《金属非金属矿山安全规程》（GB16423-2020）的要求，井口设保温措施进风巷冬季的设计送风温度为2℃。当室外温度低于2℃时进风需加热。</w:t>
      </w:r>
    </w:p>
    <w:p w14:paraId="716AAFBA">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该矿山最大进风量95.8m³/s，计算进风口需加热风量37.1kg/s，加热负荷约为1781kW。</w:t>
      </w:r>
    </w:p>
    <w:p w14:paraId="24E46506">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2) 螺杆空气压缩机供热量核算</w:t>
      </w:r>
    </w:p>
    <w:p w14:paraId="69046F5E">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螺杆式空压机工作过程中80%的输入电能转为热量，20%的电能转换为压缩空气动能，由此可见螺杆式空压机工作过程产生余热较多。通过高效热交换器实现供热，实现能量的回收利用，实现节能减排。采用空压机余热机组，当空压机加载率达到88%时，热回收制热COP为88%，余热回收系统运行过程中，应考虑输送管道和阀件等辐射热损失，经实际管道及阀件的设计，辐射热损失设计为6%。那么1台185kW空压机热回收制热量为：</w:t>
      </w:r>
    </w:p>
    <w:p w14:paraId="6A316155">
      <w:pPr>
        <w:adjustRightInd w:val="0"/>
        <w:snapToGrid w:val="0"/>
        <w:spacing w:line="520" w:lineRule="exact"/>
        <w:ind w:firstLine="560"/>
        <w:jc w:val="center"/>
        <w:rPr>
          <w:rFonts w:ascii="宋体" w:hAnsi="宋体" w:cs="宋体"/>
          <w:szCs w:val="28"/>
          <w:highlight w:val="black"/>
        </w:rPr>
      </w:pPr>
      <w:r>
        <w:rPr>
          <w:rFonts w:hint="eastAsia" w:ascii="宋体" w:hAnsi="宋体" w:cs="宋体"/>
          <w:position w:val="-10"/>
          <w:szCs w:val="28"/>
          <w:highlight w:val="black"/>
        </w:rPr>
        <w:object>
          <v:shape id="_x0000_i1042" o:spt="75" type="#_x0000_t75" style="height:16.35pt;width:166.35pt;" o:ole="t" filled="f" o:preferrelative="t" stroked="f" coordsize="21600,21600">
            <v:path/>
            <v:fill on="f" focussize="0,0"/>
            <v:stroke on="f" joinstyle="miter"/>
            <v:imagedata r:id="rId65" o:title=""/>
            <o:lock v:ext="edit" aspectratio="t"/>
            <w10:wrap type="none"/>
            <w10:anchorlock/>
          </v:shape>
          <o:OLEObject Type="Embed" ProgID="Equation.DSMT4" ShapeID="_x0000_i1042" DrawAspect="Content" ObjectID="_1468075741" r:id="rId64">
            <o:LockedField>false</o:LockedField>
          </o:OLEObject>
        </w:object>
      </w:r>
    </w:p>
    <w:p w14:paraId="036FE136">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3) 矿用远红外热风机组</w:t>
      </w:r>
    </w:p>
    <w:p w14:paraId="761F743C">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选用</w:t>
      </w:r>
      <w:bookmarkStart w:id="192" w:name="OLE_LINK41"/>
      <w:r>
        <w:rPr>
          <w:rFonts w:hint="eastAsia" w:ascii="宋体" w:hAnsi="宋体" w:cs="宋体"/>
          <w:szCs w:val="28"/>
          <w:highlight w:val="black"/>
        </w:rPr>
        <w:t>3套</w:t>
      </w:r>
      <w:bookmarkStart w:id="193" w:name="OLE_LINK42"/>
      <w:r>
        <w:rPr>
          <w:rFonts w:hint="eastAsia" w:ascii="宋体" w:hAnsi="宋体" w:cs="宋体"/>
          <w:szCs w:val="28"/>
          <w:highlight w:val="black"/>
        </w:rPr>
        <w:t>HYRF1-600K/380V矿用远红外热风机组</w:t>
      </w:r>
      <w:bookmarkEnd w:id="192"/>
      <w:bookmarkEnd w:id="193"/>
      <w:r>
        <w:rPr>
          <w:rFonts w:hint="eastAsia" w:ascii="宋体" w:hAnsi="宋体" w:cs="宋体"/>
          <w:szCs w:val="28"/>
          <w:highlight w:val="black"/>
        </w:rPr>
        <w:t>。HYRF1-600K/380V矿用远红外热风机组加热功率600kW，风机功率为22kW。</w:t>
      </w:r>
    </w:p>
    <w:p w14:paraId="2FBB14AA">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在空压机室内设置空压机余热机组，并在管缆井井口安装</w:t>
      </w:r>
      <w:bookmarkStart w:id="194" w:name="OLE_LINK43"/>
      <w:r>
        <w:rPr>
          <w:rFonts w:hint="eastAsia" w:ascii="宋体" w:hAnsi="宋体" w:cs="宋体"/>
          <w:szCs w:val="28"/>
          <w:highlight w:val="black"/>
        </w:rPr>
        <w:t>3套HYRF1-600K/380V矿用远红外热风机组</w:t>
      </w:r>
      <w:bookmarkEnd w:id="194"/>
      <w:r>
        <w:rPr>
          <w:rFonts w:hint="eastAsia" w:ascii="宋体" w:hAnsi="宋体" w:cs="宋体"/>
          <w:szCs w:val="28"/>
          <w:highlight w:val="black"/>
        </w:rPr>
        <w:t>，可提供1953kw的热量，可以满足井下空气预热的要求，并可有效防止井口冰冻情况发生。</w:t>
      </w:r>
      <w:bookmarkEnd w:id="190"/>
    </w:p>
    <w:bookmarkEnd w:id="191"/>
    <w:p w14:paraId="371482C5">
      <w:pPr>
        <w:spacing w:line="520" w:lineRule="atLeast"/>
        <w:ind w:left="0" w:leftChars="0" w:firstLine="0" w:firstLineChars="0"/>
        <w:rPr>
          <w:rFonts w:hint="eastAsia" w:ascii="宋体" w:hAnsi="宋体" w:cs="宋体"/>
          <w:b/>
          <w:bCs/>
          <w:szCs w:val="28"/>
          <w:lang w:val="zh-TW"/>
        </w:rPr>
      </w:pPr>
      <w:r>
        <w:rPr>
          <w:rFonts w:hint="eastAsia" w:ascii="宋体" w:hAnsi="宋体" w:cs="宋体"/>
          <w:b/>
          <w:bCs/>
          <w:szCs w:val="28"/>
        </w:rPr>
        <w:t xml:space="preserve">2.4.7.7 </w:t>
      </w:r>
      <w:r>
        <w:rPr>
          <w:rFonts w:hint="eastAsia" w:ascii="宋体" w:hAnsi="宋体" w:cs="宋体"/>
          <w:b/>
          <w:bCs/>
          <w:szCs w:val="28"/>
          <w:lang w:val="zh-TW"/>
        </w:rPr>
        <w:t>矿井风流和风量的控制方法</w:t>
      </w:r>
    </w:p>
    <w:p w14:paraId="28E97E35">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矿山在回风井井口设置一台主扇，使新鲜风流能到达各需风地点，井下需设置风门进行风流调节。除此之外，在粉尘较多的工作面须加强喷雾洒水工作，在生产中要经常进行风流效果的检测与测定，发现问题及时解决，以保证矿井的通风系统良好。</w:t>
      </w:r>
    </w:p>
    <w:p w14:paraId="209B8B67">
      <w:pPr>
        <w:spacing w:line="520" w:lineRule="atLeast"/>
        <w:ind w:firstLine="520" w:firstLineChars="0"/>
        <w:rPr>
          <w:rFonts w:hint="eastAsia" w:ascii="宋体" w:hAnsi="宋体" w:cs="宋体"/>
          <w:szCs w:val="28"/>
          <w:highlight w:val="black"/>
        </w:rPr>
      </w:pPr>
      <w:r>
        <w:rPr>
          <w:rFonts w:hint="eastAsia" w:ascii="宋体" w:hAnsi="宋体" w:cs="宋体"/>
          <w:szCs w:val="28"/>
          <w:highlight w:val="black"/>
        </w:rPr>
        <w:t>在采场或掘进掌子面，凿岩、支护、出矿（渣）等作业都在进行，产尘强度大，风速低，通风困难，很难利用全矿负压引起的网络流动来供风，故设计在这些部位采用局扇强制通风。生产中若因为局部措施工程引起通风网络改变，可利用空气幕来调整压力，控制风流走向满足生产需求。</w:t>
      </w:r>
    </w:p>
    <w:p w14:paraId="0A3FA139">
      <w:pPr>
        <w:pStyle w:val="4"/>
        <w:ind w:firstLine="0" w:firstLineChars="0"/>
      </w:pPr>
      <w:r>
        <w:t>2.4.</w:t>
      </w:r>
      <w:r>
        <w:rPr>
          <w:rFonts w:hint="eastAsia"/>
        </w:rPr>
        <w:t xml:space="preserve">8 </w:t>
      </w:r>
      <w:r>
        <w:t>矿山供配电设施</w:t>
      </w:r>
    </w:p>
    <w:p w14:paraId="4618C107">
      <w:pPr>
        <w:ind w:firstLine="0" w:firstLineChars="0"/>
        <w:rPr>
          <w:rFonts w:ascii="宋体" w:hAnsi="宋体" w:cs="宋体"/>
          <w:b/>
          <w:bCs/>
        </w:rPr>
      </w:pPr>
      <w:bookmarkStart w:id="195" w:name="_Toc528231074"/>
      <w:bookmarkStart w:id="196" w:name="_Toc21834"/>
      <w:r>
        <w:rPr>
          <w:rFonts w:hint="eastAsia" w:ascii="宋体" w:hAnsi="宋体" w:cs="宋体"/>
          <w:b/>
          <w:bCs/>
        </w:rPr>
        <w:t>2.4.8.1 供电电源</w:t>
      </w:r>
      <w:bookmarkEnd w:id="195"/>
      <w:bookmarkEnd w:id="196"/>
    </w:p>
    <w:p w14:paraId="3EB201A9">
      <w:pPr>
        <w:ind w:firstLine="560"/>
        <w:rPr>
          <w:highlight w:val="black"/>
        </w:rPr>
      </w:pPr>
      <w:bookmarkStart w:id="197" w:name="_Hlk185543149"/>
      <w:bookmarkStart w:id="198" w:name="_Toc30267"/>
      <w:r>
        <w:rPr>
          <w:rFonts w:hint="eastAsia"/>
          <w:highlight w:val="black"/>
        </w:rPr>
        <w:t>（1）电源拟引自本溪市高新技术产业开发区供电公司，电压10kV，采用LGJ-70型高压架空线，供电距离约3km，引至斜坡道硐口及回风竖井井口。一级负荷备用电源采用柴油发电机组供电。</w:t>
      </w:r>
    </w:p>
    <w:p w14:paraId="4DF67B3F">
      <w:pPr>
        <w:ind w:firstLine="560"/>
        <w:rPr>
          <w:highlight w:val="black"/>
        </w:rPr>
      </w:pPr>
      <w:r>
        <w:rPr>
          <w:rFonts w:hint="eastAsia"/>
          <w:highlight w:val="black"/>
        </w:rPr>
        <w:t>（2）矿井地表供电系统均采用单母线不分段接线方式，井下变电所采用单母线分段接线方式。供地面负荷和井下负荷变压器分别运行。正常运行时由外部电源供电，事故情况下，采用柴油发电机组向井下供电，发电机组中性点禁止直接接地。</w:t>
      </w:r>
    </w:p>
    <w:p w14:paraId="03E30B56">
      <w:pPr>
        <w:ind w:firstLine="560"/>
        <w:rPr>
          <w:highlight w:val="black"/>
        </w:rPr>
      </w:pPr>
      <w:r>
        <w:rPr>
          <w:rFonts w:hint="eastAsia"/>
          <w:highlight w:val="black"/>
        </w:rPr>
        <w:t>（3）毗邻水泵房设置井下中央变电所，分别给排水泵、中段采场、掘进工作面供电。</w:t>
      </w:r>
    </w:p>
    <w:p w14:paraId="3836A7DA">
      <w:pPr>
        <w:ind w:firstLine="560"/>
        <w:rPr>
          <w:highlight w:val="black"/>
        </w:rPr>
      </w:pPr>
      <w:r>
        <w:rPr>
          <w:rFonts w:hint="eastAsia"/>
          <w:highlight w:val="black"/>
        </w:rPr>
        <w:t>（4）地面供电系统变压器低压侧中性点采用直接接地方式，供井下负荷变压器中性点采用IT接地型式。</w:t>
      </w:r>
    </w:p>
    <w:p w14:paraId="23D22639">
      <w:pPr>
        <w:ind w:firstLine="560"/>
        <w:rPr>
          <w:highlight w:val="black"/>
        </w:rPr>
      </w:pPr>
      <w:r>
        <w:rPr>
          <w:rFonts w:hint="eastAsia"/>
          <w:highlight w:val="black"/>
        </w:rPr>
        <w:t>（5）矿山矿岩无毒无害，空气无爆炸风险，风机非一级负荷；本矿山无竖井及斜井人员提升系统，故本矿山一级负荷只有井下排水水泵，设计一级负荷采用双回路电源供电。根据</w:t>
      </w:r>
      <w:bookmarkStart w:id="199" w:name="_Hlk187704699"/>
      <w:r>
        <w:rPr>
          <w:rFonts w:hint="eastAsia"/>
          <w:highlight w:val="black"/>
        </w:rPr>
        <w:t>国网本溪市高新技术产业开发区供电公司</w:t>
      </w:r>
      <w:bookmarkEnd w:id="199"/>
      <w:r>
        <w:rPr>
          <w:rFonts w:hint="eastAsia"/>
          <w:highlight w:val="black"/>
        </w:rPr>
        <w:t>出具的《说明》（详见附件）；“按照该矿山用电地址，目前只能由10千伏歪堡1号线大柳峪分28左7号杆提供电源供电。”，故本次设计本矿山一路电源引自供电变压器，备用电源引自柴油发电机组。本矿一级负荷均为井下水泵用电负荷，最大功率为2×75kW（最大涌水时），设计采用1台XG-300GF低压柴油发电机组满足备用电源的要求，输出总功率300kW，输出电压380V，发电机组位于地表配电室内，中性点不接地</w:t>
      </w:r>
      <w:bookmarkEnd w:id="197"/>
      <w:r>
        <w:rPr>
          <w:rFonts w:hint="eastAsia"/>
          <w:highlight w:val="black"/>
        </w:rPr>
        <w:t>，另设置一台SG-315/0.4 0.4/10kV升压隔离变压器。</w:t>
      </w:r>
    </w:p>
    <w:p w14:paraId="50110BE2">
      <w:pPr>
        <w:snapToGrid w:val="0"/>
        <w:spacing w:line="240" w:lineRule="auto"/>
        <w:ind w:firstLine="198" w:firstLineChars="0"/>
        <w:jc w:val="center"/>
        <w:rPr>
          <w:rFonts w:ascii="宋体" w:hAnsi="宋体" w:cs="宋体"/>
          <w:b/>
          <w:sz w:val="21"/>
          <w:szCs w:val="21"/>
          <w:highlight w:val="black"/>
        </w:rPr>
      </w:pPr>
      <w:r>
        <w:rPr>
          <w:rFonts w:hint="eastAsia" w:ascii="宋体" w:hAnsi="宋体" w:cs="宋体"/>
          <w:b/>
          <w:sz w:val="21"/>
          <w:szCs w:val="21"/>
          <w:highlight w:val="black"/>
        </w:rPr>
        <w:t>表2-20 柴油发电机组选型计算表</w:t>
      </w:r>
    </w:p>
    <w:tbl>
      <w:tblPr>
        <w:tblStyle w:val="2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62"/>
        <w:gridCol w:w="4604"/>
        <w:gridCol w:w="683"/>
        <w:gridCol w:w="683"/>
        <w:gridCol w:w="687"/>
      </w:tblGrid>
      <w:tr w14:paraId="2059F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3901B944">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项目</w:t>
            </w:r>
          </w:p>
        </w:tc>
        <w:tc>
          <w:tcPr>
            <w:tcW w:w="2702" w:type="pct"/>
            <w:tcBorders>
              <w:tl2br w:val="nil"/>
              <w:tr2bl w:val="nil"/>
            </w:tcBorders>
            <w:shd w:val="clear" w:color="auto" w:fill="auto"/>
            <w:noWrap/>
            <w:vAlign w:val="center"/>
          </w:tcPr>
          <w:p w14:paraId="122D2937">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计算内容</w:t>
            </w:r>
          </w:p>
        </w:tc>
        <w:tc>
          <w:tcPr>
            <w:tcW w:w="401" w:type="pct"/>
            <w:tcBorders>
              <w:tl2br w:val="nil"/>
              <w:tr2bl w:val="nil"/>
            </w:tcBorders>
            <w:shd w:val="clear" w:color="auto" w:fill="auto"/>
            <w:noWrap/>
            <w:vAlign w:val="center"/>
          </w:tcPr>
          <w:p w14:paraId="6992EFB4">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单位</w:t>
            </w:r>
          </w:p>
        </w:tc>
        <w:tc>
          <w:tcPr>
            <w:tcW w:w="401" w:type="pct"/>
            <w:tcBorders>
              <w:tl2br w:val="nil"/>
              <w:tr2bl w:val="nil"/>
            </w:tcBorders>
            <w:shd w:val="clear" w:color="auto" w:fill="auto"/>
            <w:noWrap/>
            <w:vAlign w:val="center"/>
          </w:tcPr>
          <w:p w14:paraId="4502CC98">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计算</w:t>
            </w:r>
          </w:p>
          <w:p w14:paraId="176FB4E5">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结果</w:t>
            </w:r>
          </w:p>
        </w:tc>
        <w:tc>
          <w:tcPr>
            <w:tcW w:w="401" w:type="pct"/>
            <w:tcBorders>
              <w:tl2br w:val="nil"/>
              <w:tr2bl w:val="nil"/>
            </w:tcBorders>
            <w:shd w:val="clear" w:color="auto" w:fill="auto"/>
            <w:noWrap/>
            <w:vAlign w:val="center"/>
          </w:tcPr>
          <w:p w14:paraId="337B683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备注</w:t>
            </w:r>
          </w:p>
        </w:tc>
      </w:tr>
      <w:tr w14:paraId="7682F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5000" w:type="pct"/>
            <w:gridSpan w:val="5"/>
            <w:tcBorders>
              <w:tl2br w:val="nil"/>
              <w:tr2bl w:val="nil"/>
            </w:tcBorders>
            <w:shd w:val="clear" w:color="auto" w:fill="auto"/>
            <w:noWrap/>
            <w:vAlign w:val="center"/>
          </w:tcPr>
          <w:p w14:paraId="36EE7ECB">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按稳定负荷计算发电机容量</w:t>
            </w:r>
          </w:p>
        </w:tc>
      </w:tr>
      <w:tr w14:paraId="59990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1A4C831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负荷率</w:t>
            </w:r>
          </w:p>
        </w:tc>
        <w:tc>
          <w:tcPr>
            <w:tcW w:w="2702" w:type="pct"/>
            <w:tcBorders>
              <w:tl2br w:val="nil"/>
              <w:tr2bl w:val="nil"/>
            </w:tcBorders>
            <w:shd w:val="clear" w:color="auto" w:fill="auto"/>
            <w:noWrap/>
            <w:vAlign w:val="center"/>
          </w:tcPr>
          <w:p w14:paraId="044DDDF4">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α</w:t>
            </w:r>
          </w:p>
        </w:tc>
        <w:tc>
          <w:tcPr>
            <w:tcW w:w="401" w:type="pct"/>
            <w:tcBorders>
              <w:tl2br w:val="nil"/>
              <w:tr2bl w:val="nil"/>
            </w:tcBorders>
            <w:shd w:val="clear" w:color="auto" w:fill="auto"/>
            <w:noWrap/>
            <w:vAlign w:val="center"/>
          </w:tcPr>
          <w:p w14:paraId="3A488FE4">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0CC4E4CA">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0.8</w:t>
            </w:r>
          </w:p>
        </w:tc>
        <w:tc>
          <w:tcPr>
            <w:tcW w:w="401" w:type="pct"/>
            <w:tcBorders>
              <w:tl2br w:val="nil"/>
              <w:tr2bl w:val="nil"/>
            </w:tcBorders>
            <w:shd w:val="clear" w:color="auto" w:fill="auto"/>
            <w:noWrap/>
            <w:vAlign w:val="center"/>
          </w:tcPr>
          <w:p w14:paraId="7889CD61">
            <w:pPr>
              <w:widowControl/>
              <w:spacing w:line="400" w:lineRule="exact"/>
              <w:ind w:firstLine="0" w:firstLineChars="0"/>
              <w:jc w:val="center"/>
              <w:rPr>
                <w:rFonts w:ascii="宋体" w:hAnsi="宋体" w:cs="宋体"/>
                <w:sz w:val="21"/>
                <w:szCs w:val="21"/>
                <w:highlight w:val="black"/>
              </w:rPr>
            </w:pPr>
          </w:p>
        </w:tc>
      </w:tr>
      <w:tr w14:paraId="03A943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093" w:type="pct"/>
            <w:tcBorders>
              <w:tl2br w:val="nil"/>
              <w:tr2bl w:val="nil"/>
            </w:tcBorders>
            <w:shd w:val="clear" w:color="auto" w:fill="auto"/>
            <w:noWrap/>
            <w:vAlign w:val="center"/>
          </w:tcPr>
          <w:p w14:paraId="5E55B6EB">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总电荷</w:t>
            </w:r>
          </w:p>
          <w:p w14:paraId="19572D31">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计算效率</w:t>
            </w:r>
          </w:p>
        </w:tc>
        <w:tc>
          <w:tcPr>
            <w:tcW w:w="2702" w:type="pct"/>
            <w:tcBorders>
              <w:tl2br w:val="nil"/>
              <w:tr2bl w:val="nil"/>
            </w:tcBorders>
            <w:shd w:val="clear" w:color="auto" w:fill="auto"/>
            <w:noWrap/>
            <w:vAlign w:val="center"/>
          </w:tcPr>
          <w:p w14:paraId="406D5FC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η</w:t>
            </w:r>
            <w:r>
              <w:rPr>
                <w:rFonts w:hint="eastAsia" w:ascii="宋体" w:hAnsi="宋体" w:cs="宋体"/>
                <w:kern w:val="0"/>
                <w:sz w:val="21"/>
                <w:szCs w:val="21"/>
                <w:highlight w:val="black"/>
                <w:vertAlign w:val="subscript"/>
                <w:lang w:bidi="ar"/>
              </w:rPr>
              <w:t>Σ</w:t>
            </w:r>
          </w:p>
        </w:tc>
        <w:tc>
          <w:tcPr>
            <w:tcW w:w="401" w:type="pct"/>
            <w:tcBorders>
              <w:tl2br w:val="nil"/>
              <w:tr2bl w:val="nil"/>
            </w:tcBorders>
            <w:shd w:val="clear" w:color="auto" w:fill="auto"/>
            <w:noWrap/>
            <w:vAlign w:val="center"/>
          </w:tcPr>
          <w:p w14:paraId="3F00513A">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0A38E22F">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0.9</w:t>
            </w:r>
          </w:p>
        </w:tc>
        <w:tc>
          <w:tcPr>
            <w:tcW w:w="401" w:type="pct"/>
            <w:tcBorders>
              <w:tl2br w:val="nil"/>
              <w:tr2bl w:val="nil"/>
            </w:tcBorders>
            <w:shd w:val="clear" w:color="auto" w:fill="auto"/>
            <w:noWrap/>
            <w:vAlign w:val="center"/>
          </w:tcPr>
          <w:p w14:paraId="4349DCD2">
            <w:pPr>
              <w:widowControl/>
              <w:spacing w:line="400" w:lineRule="exact"/>
              <w:ind w:firstLine="0" w:firstLineChars="0"/>
              <w:jc w:val="center"/>
              <w:rPr>
                <w:rFonts w:ascii="宋体" w:hAnsi="宋体" w:cs="宋体"/>
                <w:sz w:val="21"/>
                <w:szCs w:val="21"/>
                <w:highlight w:val="black"/>
              </w:rPr>
            </w:pPr>
          </w:p>
        </w:tc>
      </w:tr>
      <w:tr w14:paraId="56ECD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0F90405A">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发电机额定</w:t>
            </w:r>
          </w:p>
          <w:p w14:paraId="2C0179EA">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功率因数</w:t>
            </w:r>
          </w:p>
        </w:tc>
        <w:tc>
          <w:tcPr>
            <w:tcW w:w="2702" w:type="pct"/>
            <w:tcBorders>
              <w:tl2br w:val="nil"/>
              <w:tr2bl w:val="nil"/>
            </w:tcBorders>
            <w:shd w:val="clear" w:color="auto" w:fill="auto"/>
            <w:noWrap/>
            <w:vAlign w:val="center"/>
          </w:tcPr>
          <w:p w14:paraId="4FAEC8D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cosϕm</w:t>
            </w:r>
          </w:p>
        </w:tc>
        <w:tc>
          <w:tcPr>
            <w:tcW w:w="401" w:type="pct"/>
            <w:tcBorders>
              <w:tl2br w:val="nil"/>
              <w:tr2bl w:val="nil"/>
            </w:tcBorders>
            <w:shd w:val="clear" w:color="auto" w:fill="auto"/>
            <w:noWrap/>
            <w:vAlign w:val="center"/>
          </w:tcPr>
          <w:p w14:paraId="7F5BE134">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02DB86D3">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0.8</w:t>
            </w:r>
          </w:p>
        </w:tc>
        <w:tc>
          <w:tcPr>
            <w:tcW w:w="401" w:type="pct"/>
            <w:tcBorders>
              <w:tl2br w:val="nil"/>
              <w:tr2bl w:val="nil"/>
            </w:tcBorders>
            <w:shd w:val="clear" w:color="auto" w:fill="auto"/>
            <w:noWrap/>
            <w:vAlign w:val="center"/>
          </w:tcPr>
          <w:p w14:paraId="3ACFF4BD">
            <w:pPr>
              <w:widowControl/>
              <w:spacing w:line="400" w:lineRule="exact"/>
              <w:ind w:firstLine="0" w:firstLineChars="0"/>
              <w:jc w:val="center"/>
              <w:rPr>
                <w:rFonts w:ascii="宋体" w:hAnsi="宋体" w:cs="宋体"/>
                <w:sz w:val="21"/>
                <w:szCs w:val="21"/>
                <w:highlight w:val="black"/>
              </w:rPr>
            </w:pPr>
          </w:p>
        </w:tc>
      </w:tr>
      <w:tr w14:paraId="77DDEF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093" w:type="pct"/>
            <w:tcBorders>
              <w:tl2br w:val="nil"/>
              <w:tr2bl w:val="nil"/>
            </w:tcBorders>
            <w:shd w:val="clear" w:color="auto" w:fill="auto"/>
            <w:noWrap/>
            <w:vAlign w:val="center"/>
          </w:tcPr>
          <w:p w14:paraId="570D3B6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总负荷</w:t>
            </w:r>
          </w:p>
        </w:tc>
        <w:tc>
          <w:tcPr>
            <w:tcW w:w="2702" w:type="pct"/>
            <w:tcBorders>
              <w:tl2br w:val="nil"/>
              <w:tr2bl w:val="nil"/>
            </w:tcBorders>
            <w:shd w:val="clear" w:color="auto" w:fill="auto"/>
            <w:noWrap/>
            <w:vAlign w:val="center"/>
          </w:tcPr>
          <w:p w14:paraId="31ACDDB9">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P</w:t>
            </w:r>
            <w:r>
              <w:rPr>
                <w:rFonts w:hint="eastAsia" w:ascii="宋体" w:hAnsi="宋体" w:cs="宋体"/>
                <w:kern w:val="0"/>
                <w:sz w:val="21"/>
                <w:szCs w:val="21"/>
                <w:highlight w:val="black"/>
                <w:vertAlign w:val="subscript"/>
                <w:lang w:bidi="ar"/>
              </w:rPr>
              <w:t>Σ</w:t>
            </w:r>
          </w:p>
        </w:tc>
        <w:tc>
          <w:tcPr>
            <w:tcW w:w="401" w:type="pct"/>
            <w:tcBorders>
              <w:tl2br w:val="nil"/>
              <w:tr2bl w:val="nil"/>
            </w:tcBorders>
            <w:shd w:val="clear" w:color="auto" w:fill="auto"/>
            <w:noWrap/>
            <w:vAlign w:val="center"/>
          </w:tcPr>
          <w:p w14:paraId="4FC2CCFC">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kW</w:t>
            </w:r>
          </w:p>
        </w:tc>
        <w:tc>
          <w:tcPr>
            <w:tcW w:w="401" w:type="pct"/>
            <w:tcBorders>
              <w:tl2br w:val="nil"/>
              <w:tr2bl w:val="nil"/>
            </w:tcBorders>
            <w:shd w:val="clear" w:color="auto" w:fill="auto"/>
            <w:noWrap/>
            <w:vAlign w:val="center"/>
          </w:tcPr>
          <w:p w14:paraId="7F3EC406">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150</w:t>
            </w:r>
          </w:p>
        </w:tc>
        <w:tc>
          <w:tcPr>
            <w:tcW w:w="401" w:type="pct"/>
            <w:tcBorders>
              <w:tl2br w:val="nil"/>
              <w:tr2bl w:val="nil"/>
            </w:tcBorders>
            <w:shd w:val="clear" w:color="auto" w:fill="auto"/>
            <w:noWrap/>
            <w:vAlign w:val="center"/>
          </w:tcPr>
          <w:p w14:paraId="25F30A46">
            <w:pPr>
              <w:widowControl/>
              <w:spacing w:line="400" w:lineRule="exact"/>
              <w:ind w:firstLine="0" w:firstLineChars="0"/>
              <w:jc w:val="center"/>
              <w:rPr>
                <w:rFonts w:ascii="宋体" w:hAnsi="宋体" w:cs="宋体"/>
                <w:sz w:val="21"/>
                <w:szCs w:val="21"/>
                <w:highlight w:val="black"/>
              </w:rPr>
            </w:pPr>
          </w:p>
        </w:tc>
      </w:tr>
      <w:tr w14:paraId="621D09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1829AF54">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发电机容量</w:t>
            </w:r>
          </w:p>
        </w:tc>
        <w:tc>
          <w:tcPr>
            <w:tcW w:w="2702" w:type="pct"/>
            <w:tcBorders>
              <w:tl2br w:val="nil"/>
              <w:tr2bl w:val="nil"/>
            </w:tcBorders>
            <w:shd w:val="clear" w:color="auto" w:fill="auto"/>
            <w:noWrap/>
            <w:vAlign w:val="center"/>
          </w:tcPr>
          <w:p w14:paraId="1237F413">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Sc1=α•PΣ/(ηΣ•cosϕm)</w:t>
            </w:r>
          </w:p>
        </w:tc>
        <w:tc>
          <w:tcPr>
            <w:tcW w:w="401" w:type="pct"/>
            <w:tcBorders>
              <w:tl2br w:val="nil"/>
              <w:tr2bl w:val="nil"/>
            </w:tcBorders>
            <w:shd w:val="clear" w:color="auto" w:fill="auto"/>
            <w:noWrap/>
            <w:vAlign w:val="center"/>
          </w:tcPr>
          <w:p w14:paraId="079B261E">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kVA</w:t>
            </w:r>
          </w:p>
        </w:tc>
        <w:tc>
          <w:tcPr>
            <w:tcW w:w="401" w:type="pct"/>
            <w:tcBorders>
              <w:tl2br w:val="nil"/>
              <w:tr2bl w:val="nil"/>
            </w:tcBorders>
            <w:shd w:val="clear" w:color="auto" w:fill="auto"/>
            <w:noWrap/>
            <w:vAlign w:val="center"/>
          </w:tcPr>
          <w:p w14:paraId="6611FCA0">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 xml:space="preserve">167 </w:t>
            </w:r>
          </w:p>
        </w:tc>
        <w:tc>
          <w:tcPr>
            <w:tcW w:w="401" w:type="pct"/>
            <w:tcBorders>
              <w:tl2br w:val="nil"/>
              <w:tr2bl w:val="nil"/>
            </w:tcBorders>
            <w:shd w:val="clear" w:color="auto" w:fill="auto"/>
            <w:noWrap/>
            <w:vAlign w:val="center"/>
          </w:tcPr>
          <w:p w14:paraId="5B157B03">
            <w:pPr>
              <w:widowControl/>
              <w:spacing w:line="400" w:lineRule="exact"/>
              <w:ind w:firstLine="0" w:firstLineChars="0"/>
              <w:jc w:val="center"/>
              <w:rPr>
                <w:rFonts w:ascii="宋体" w:hAnsi="宋体" w:cs="宋体"/>
                <w:sz w:val="21"/>
                <w:szCs w:val="21"/>
                <w:highlight w:val="black"/>
              </w:rPr>
            </w:pPr>
          </w:p>
        </w:tc>
      </w:tr>
      <w:tr w14:paraId="23C32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5000" w:type="pct"/>
            <w:gridSpan w:val="5"/>
            <w:tcBorders>
              <w:tl2br w:val="nil"/>
              <w:tr2bl w:val="nil"/>
            </w:tcBorders>
            <w:shd w:val="clear" w:color="auto" w:fill="auto"/>
            <w:noWrap/>
            <w:vAlign w:val="center"/>
          </w:tcPr>
          <w:p w14:paraId="0F0A9357">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按最大的单台电动机或成组电动机启动的需要计算发电机容量</w:t>
            </w:r>
          </w:p>
        </w:tc>
      </w:tr>
      <w:tr w14:paraId="5DE60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093" w:type="pct"/>
            <w:tcBorders>
              <w:tl2br w:val="nil"/>
              <w:tr2bl w:val="nil"/>
            </w:tcBorders>
            <w:shd w:val="clear" w:color="auto" w:fill="auto"/>
            <w:noWrap/>
            <w:vAlign w:val="center"/>
          </w:tcPr>
          <w:p w14:paraId="1193BC90">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最大电动机容量</w:t>
            </w:r>
          </w:p>
        </w:tc>
        <w:tc>
          <w:tcPr>
            <w:tcW w:w="2702" w:type="pct"/>
            <w:tcBorders>
              <w:tl2br w:val="nil"/>
              <w:tr2bl w:val="nil"/>
            </w:tcBorders>
            <w:shd w:val="clear" w:color="auto" w:fill="auto"/>
            <w:noWrap/>
            <w:vAlign w:val="center"/>
          </w:tcPr>
          <w:p w14:paraId="6BB589E5">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P</w:t>
            </w:r>
            <w:r>
              <w:rPr>
                <w:rFonts w:hint="eastAsia" w:ascii="宋体" w:hAnsi="宋体" w:cs="宋体"/>
                <w:kern w:val="0"/>
                <w:sz w:val="21"/>
                <w:szCs w:val="21"/>
                <w:highlight w:val="black"/>
                <w:vertAlign w:val="subscript"/>
                <w:lang w:bidi="ar"/>
              </w:rPr>
              <w:t>m</w:t>
            </w:r>
          </w:p>
        </w:tc>
        <w:tc>
          <w:tcPr>
            <w:tcW w:w="401" w:type="pct"/>
            <w:tcBorders>
              <w:tl2br w:val="nil"/>
              <w:tr2bl w:val="nil"/>
            </w:tcBorders>
            <w:shd w:val="clear" w:color="auto" w:fill="auto"/>
            <w:noWrap/>
            <w:vAlign w:val="center"/>
          </w:tcPr>
          <w:p w14:paraId="2E780F21">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kW</w:t>
            </w:r>
          </w:p>
        </w:tc>
        <w:tc>
          <w:tcPr>
            <w:tcW w:w="401" w:type="pct"/>
            <w:tcBorders>
              <w:tl2br w:val="nil"/>
              <w:tr2bl w:val="nil"/>
            </w:tcBorders>
            <w:shd w:val="clear" w:color="auto" w:fill="auto"/>
            <w:noWrap/>
            <w:vAlign w:val="center"/>
          </w:tcPr>
          <w:p w14:paraId="4EE91F0F">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75</w:t>
            </w:r>
          </w:p>
        </w:tc>
        <w:tc>
          <w:tcPr>
            <w:tcW w:w="401" w:type="pct"/>
            <w:tcBorders>
              <w:tl2br w:val="nil"/>
              <w:tr2bl w:val="nil"/>
            </w:tcBorders>
            <w:shd w:val="clear" w:color="auto" w:fill="auto"/>
            <w:noWrap/>
            <w:vAlign w:val="center"/>
          </w:tcPr>
          <w:p w14:paraId="60595385">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变频</w:t>
            </w:r>
          </w:p>
        </w:tc>
      </w:tr>
      <w:tr w14:paraId="05958D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5C283FC4">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电动机启动倍数</w:t>
            </w:r>
          </w:p>
        </w:tc>
        <w:tc>
          <w:tcPr>
            <w:tcW w:w="2702" w:type="pct"/>
            <w:tcBorders>
              <w:tl2br w:val="nil"/>
              <w:tr2bl w:val="nil"/>
            </w:tcBorders>
            <w:shd w:val="clear" w:color="auto" w:fill="auto"/>
            <w:noWrap/>
            <w:vAlign w:val="center"/>
          </w:tcPr>
          <w:p w14:paraId="0F233153">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w:t>
            </w:r>
          </w:p>
        </w:tc>
        <w:tc>
          <w:tcPr>
            <w:tcW w:w="401" w:type="pct"/>
            <w:tcBorders>
              <w:tl2br w:val="nil"/>
              <w:tr2bl w:val="nil"/>
            </w:tcBorders>
            <w:shd w:val="clear" w:color="auto" w:fill="auto"/>
            <w:noWrap/>
            <w:vAlign w:val="center"/>
          </w:tcPr>
          <w:p w14:paraId="5427FEF0">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1D6C2976">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3</w:t>
            </w:r>
          </w:p>
        </w:tc>
        <w:tc>
          <w:tcPr>
            <w:tcW w:w="401" w:type="pct"/>
            <w:tcBorders>
              <w:tl2br w:val="nil"/>
              <w:tr2bl w:val="nil"/>
            </w:tcBorders>
            <w:shd w:val="clear" w:color="auto" w:fill="auto"/>
            <w:noWrap/>
            <w:vAlign w:val="center"/>
          </w:tcPr>
          <w:p w14:paraId="597F5966">
            <w:pPr>
              <w:widowControl/>
              <w:spacing w:line="400" w:lineRule="exact"/>
              <w:ind w:firstLine="0" w:firstLineChars="0"/>
              <w:jc w:val="center"/>
              <w:rPr>
                <w:rFonts w:ascii="宋体" w:hAnsi="宋体" w:cs="宋体"/>
                <w:sz w:val="21"/>
                <w:szCs w:val="21"/>
                <w:highlight w:val="black"/>
              </w:rPr>
            </w:pPr>
          </w:p>
        </w:tc>
      </w:tr>
      <w:tr w14:paraId="6629D9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5561389E">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电动机启动系数</w:t>
            </w:r>
          </w:p>
        </w:tc>
        <w:tc>
          <w:tcPr>
            <w:tcW w:w="2702" w:type="pct"/>
            <w:tcBorders>
              <w:tl2br w:val="nil"/>
              <w:tr2bl w:val="nil"/>
            </w:tcBorders>
            <w:shd w:val="clear" w:color="auto" w:fill="auto"/>
            <w:noWrap/>
            <w:vAlign w:val="center"/>
          </w:tcPr>
          <w:p w14:paraId="0DC5E130">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C</w:t>
            </w:r>
          </w:p>
        </w:tc>
        <w:tc>
          <w:tcPr>
            <w:tcW w:w="401" w:type="pct"/>
            <w:tcBorders>
              <w:tl2br w:val="nil"/>
              <w:tr2bl w:val="nil"/>
            </w:tcBorders>
            <w:shd w:val="clear" w:color="auto" w:fill="auto"/>
            <w:noWrap/>
            <w:vAlign w:val="center"/>
          </w:tcPr>
          <w:p w14:paraId="7B5CB577">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2EAA9DED">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1</w:t>
            </w:r>
          </w:p>
        </w:tc>
        <w:tc>
          <w:tcPr>
            <w:tcW w:w="401" w:type="pct"/>
            <w:tcBorders>
              <w:tl2br w:val="nil"/>
              <w:tr2bl w:val="nil"/>
            </w:tcBorders>
            <w:shd w:val="clear" w:color="auto" w:fill="auto"/>
            <w:noWrap/>
            <w:vAlign w:val="center"/>
          </w:tcPr>
          <w:p w14:paraId="62796523">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全压</w:t>
            </w:r>
          </w:p>
        </w:tc>
      </w:tr>
      <w:tr w14:paraId="5BF976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6E9BA1EF">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电动机的</w:t>
            </w:r>
          </w:p>
          <w:p w14:paraId="63A0396B">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功率因数</w:t>
            </w:r>
          </w:p>
        </w:tc>
        <w:tc>
          <w:tcPr>
            <w:tcW w:w="2702" w:type="pct"/>
            <w:tcBorders>
              <w:tl2br w:val="nil"/>
              <w:tr2bl w:val="nil"/>
            </w:tcBorders>
            <w:shd w:val="clear" w:color="auto" w:fill="auto"/>
            <w:noWrap/>
            <w:vAlign w:val="center"/>
          </w:tcPr>
          <w:p w14:paraId="14C7B7C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cosϕ</w:t>
            </w:r>
          </w:p>
        </w:tc>
        <w:tc>
          <w:tcPr>
            <w:tcW w:w="401" w:type="pct"/>
            <w:tcBorders>
              <w:tl2br w:val="nil"/>
              <w:tr2bl w:val="nil"/>
            </w:tcBorders>
            <w:shd w:val="clear" w:color="auto" w:fill="auto"/>
            <w:noWrap/>
            <w:vAlign w:val="center"/>
          </w:tcPr>
          <w:p w14:paraId="4CE23B70">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1E0F11FA">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0.8</w:t>
            </w:r>
          </w:p>
        </w:tc>
        <w:tc>
          <w:tcPr>
            <w:tcW w:w="401" w:type="pct"/>
            <w:tcBorders>
              <w:tl2br w:val="nil"/>
              <w:tr2bl w:val="nil"/>
            </w:tcBorders>
            <w:shd w:val="clear" w:color="auto" w:fill="auto"/>
            <w:noWrap/>
            <w:vAlign w:val="center"/>
          </w:tcPr>
          <w:p w14:paraId="433178F0">
            <w:pPr>
              <w:widowControl/>
              <w:spacing w:line="400" w:lineRule="exact"/>
              <w:ind w:firstLine="0" w:firstLineChars="0"/>
              <w:jc w:val="center"/>
              <w:rPr>
                <w:rFonts w:ascii="宋体" w:hAnsi="宋体" w:cs="宋体"/>
                <w:sz w:val="21"/>
                <w:szCs w:val="21"/>
                <w:highlight w:val="black"/>
              </w:rPr>
            </w:pPr>
          </w:p>
        </w:tc>
      </w:tr>
      <w:tr w14:paraId="1A1B9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0C38EC75">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发电机启动</w:t>
            </w:r>
          </w:p>
          <w:p w14:paraId="7ED3FB20">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功率因数</w:t>
            </w:r>
          </w:p>
        </w:tc>
        <w:tc>
          <w:tcPr>
            <w:tcW w:w="2702" w:type="pct"/>
            <w:tcBorders>
              <w:tl2br w:val="nil"/>
              <w:tr2bl w:val="nil"/>
            </w:tcBorders>
            <w:shd w:val="clear" w:color="auto" w:fill="auto"/>
            <w:noWrap/>
            <w:vAlign w:val="center"/>
          </w:tcPr>
          <w:p w14:paraId="2555E46D">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cosϕm</w:t>
            </w:r>
          </w:p>
        </w:tc>
        <w:tc>
          <w:tcPr>
            <w:tcW w:w="401" w:type="pct"/>
            <w:tcBorders>
              <w:tl2br w:val="nil"/>
              <w:tr2bl w:val="nil"/>
            </w:tcBorders>
            <w:shd w:val="clear" w:color="auto" w:fill="auto"/>
            <w:noWrap/>
            <w:vAlign w:val="center"/>
          </w:tcPr>
          <w:p w14:paraId="6B28EF5B">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1C735405">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0.4</w:t>
            </w:r>
          </w:p>
        </w:tc>
        <w:tc>
          <w:tcPr>
            <w:tcW w:w="401" w:type="pct"/>
            <w:tcBorders>
              <w:tl2br w:val="nil"/>
              <w:tr2bl w:val="nil"/>
            </w:tcBorders>
            <w:shd w:val="clear" w:color="auto" w:fill="auto"/>
            <w:noWrap/>
            <w:vAlign w:val="center"/>
          </w:tcPr>
          <w:p w14:paraId="0F6B1544">
            <w:pPr>
              <w:widowControl/>
              <w:spacing w:line="400" w:lineRule="exact"/>
              <w:ind w:firstLine="0" w:firstLineChars="0"/>
              <w:jc w:val="center"/>
              <w:rPr>
                <w:rFonts w:ascii="宋体" w:hAnsi="宋体" w:cs="宋体"/>
                <w:sz w:val="21"/>
                <w:szCs w:val="21"/>
                <w:highlight w:val="black"/>
              </w:rPr>
            </w:pPr>
          </w:p>
        </w:tc>
      </w:tr>
      <w:tr w14:paraId="1104CC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2F5D8A07">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发电机容量</w:t>
            </w:r>
          </w:p>
        </w:tc>
        <w:tc>
          <w:tcPr>
            <w:tcW w:w="2702" w:type="pct"/>
            <w:tcBorders>
              <w:tl2br w:val="nil"/>
              <w:tr2bl w:val="nil"/>
            </w:tcBorders>
            <w:shd w:val="clear" w:color="auto" w:fill="auto"/>
            <w:noWrap/>
            <w:vAlign w:val="center"/>
          </w:tcPr>
          <w:p w14:paraId="3284F92C">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Sc2=[(PΣ-Pm)/ηΣ+Pm•K•C•cosϕm]/cosϕ</w:t>
            </w:r>
          </w:p>
        </w:tc>
        <w:tc>
          <w:tcPr>
            <w:tcW w:w="401" w:type="pct"/>
            <w:tcBorders>
              <w:tl2br w:val="nil"/>
              <w:tr2bl w:val="nil"/>
            </w:tcBorders>
            <w:shd w:val="clear" w:color="auto" w:fill="auto"/>
            <w:noWrap/>
            <w:vAlign w:val="center"/>
          </w:tcPr>
          <w:p w14:paraId="3257E387">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kVA</w:t>
            </w:r>
          </w:p>
        </w:tc>
        <w:tc>
          <w:tcPr>
            <w:tcW w:w="401" w:type="pct"/>
            <w:tcBorders>
              <w:tl2br w:val="nil"/>
              <w:tr2bl w:val="nil"/>
            </w:tcBorders>
            <w:shd w:val="clear" w:color="auto" w:fill="auto"/>
            <w:noWrap/>
            <w:vAlign w:val="center"/>
          </w:tcPr>
          <w:p w14:paraId="70C08403">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 xml:space="preserve">196 </w:t>
            </w:r>
          </w:p>
        </w:tc>
        <w:tc>
          <w:tcPr>
            <w:tcW w:w="401" w:type="pct"/>
            <w:tcBorders>
              <w:tl2br w:val="nil"/>
              <w:tr2bl w:val="nil"/>
            </w:tcBorders>
            <w:shd w:val="clear" w:color="auto" w:fill="auto"/>
            <w:noWrap/>
            <w:vAlign w:val="center"/>
          </w:tcPr>
          <w:p w14:paraId="24955C5B">
            <w:pPr>
              <w:widowControl/>
              <w:spacing w:line="400" w:lineRule="exact"/>
              <w:ind w:firstLine="0" w:firstLineChars="0"/>
              <w:jc w:val="center"/>
              <w:rPr>
                <w:rFonts w:ascii="宋体" w:hAnsi="宋体" w:cs="宋体"/>
                <w:sz w:val="21"/>
                <w:szCs w:val="21"/>
                <w:highlight w:val="black"/>
              </w:rPr>
            </w:pPr>
          </w:p>
        </w:tc>
      </w:tr>
      <w:tr w14:paraId="795C84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5000" w:type="pct"/>
            <w:gridSpan w:val="5"/>
            <w:tcBorders>
              <w:tl2br w:val="nil"/>
              <w:tr2bl w:val="nil"/>
            </w:tcBorders>
            <w:shd w:val="clear" w:color="auto" w:fill="auto"/>
            <w:noWrap/>
            <w:vAlign w:val="center"/>
          </w:tcPr>
          <w:p w14:paraId="00348199">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按启动电动机时母线容许电压降计算发电机容量</w:t>
            </w:r>
          </w:p>
        </w:tc>
      </w:tr>
      <w:tr w14:paraId="6B15D5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6D4E4C42">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电动机总容量</w:t>
            </w:r>
          </w:p>
        </w:tc>
        <w:tc>
          <w:tcPr>
            <w:tcW w:w="2702" w:type="pct"/>
            <w:tcBorders>
              <w:tl2br w:val="nil"/>
              <w:tr2bl w:val="nil"/>
            </w:tcBorders>
            <w:shd w:val="clear" w:color="auto" w:fill="auto"/>
            <w:noWrap/>
            <w:vAlign w:val="center"/>
          </w:tcPr>
          <w:p w14:paraId="6FD066DA">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Pn</w:t>
            </w:r>
          </w:p>
        </w:tc>
        <w:tc>
          <w:tcPr>
            <w:tcW w:w="401" w:type="pct"/>
            <w:tcBorders>
              <w:tl2br w:val="nil"/>
              <w:tr2bl w:val="nil"/>
            </w:tcBorders>
            <w:shd w:val="clear" w:color="auto" w:fill="auto"/>
            <w:noWrap/>
            <w:vAlign w:val="center"/>
          </w:tcPr>
          <w:p w14:paraId="2906A22C">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kW</w:t>
            </w:r>
          </w:p>
        </w:tc>
        <w:tc>
          <w:tcPr>
            <w:tcW w:w="401" w:type="pct"/>
            <w:tcBorders>
              <w:tl2br w:val="nil"/>
              <w:tr2bl w:val="nil"/>
            </w:tcBorders>
            <w:shd w:val="clear" w:color="auto" w:fill="auto"/>
            <w:noWrap/>
            <w:vAlign w:val="center"/>
          </w:tcPr>
          <w:p w14:paraId="7E8837E4">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150</w:t>
            </w:r>
          </w:p>
        </w:tc>
        <w:tc>
          <w:tcPr>
            <w:tcW w:w="401" w:type="pct"/>
            <w:tcBorders>
              <w:tl2br w:val="nil"/>
              <w:tr2bl w:val="nil"/>
            </w:tcBorders>
            <w:shd w:val="clear" w:color="auto" w:fill="auto"/>
            <w:noWrap/>
            <w:vAlign w:val="center"/>
          </w:tcPr>
          <w:p w14:paraId="4AD511B9">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变频</w:t>
            </w:r>
          </w:p>
        </w:tc>
      </w:tr>
      <w:tr w14:paraId="27D54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3FB138C9">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发电机暂态电抗</w:t>
            </w:r>
          </w:p>
        </w:tc>
        <w:tc>
          <w:tcPr>
            <w:tcW w:w="2702" w:type="pct"/>
            <w:tcBorders>
              <w:tl2br w:val="nil"/>
              <w:tr2bl w:val="nil"/>
            </w:tcBorders>
            <w:shd w:val="clear" w:color="auto" w:fill="auto"/>
            <w:noWrap/>
            <w:vAlign w:val="center"/>
          </w:tcPr>
          <w:p w14:paraId="0CDC52F6">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X''</w:t>
            </w:r>
          </w:p>
        </w:tc>
        <w:tc>
          <w:tcPr>
            <w:tcW w:w="401" w:type="pct"/>
            <w:tcBorders>
              <w:tl2br w:val="nil"/>
              <w:tr2bl w:val="nil"/>
            </w:tcBorders>
            <w:shd w:val="clear" w:color="auto" w:fill="auto"/>
            <w:noWrap/>
            <w:vAlign w:val="center"/>
          </w:tcPr>
          <w:p w14:paraId="7B6755F8">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465A0A8C">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0.25</w:t>
            </w:r>
          </w:p>
        </w:tc>
        <w:tc>
          <w:tcPr>
            <w:tcW w:w="401" w:type="pct"/>
            <w:tcBorders>
              <w:tl2br w:val="nil"/>
              <w:tr2bl w:val="nil"/>
            </w:tcBorders>
            <w:shd w:val="clear" w:color="auto" w:fill="auto"/>
            <w:noWrap/>
            <w:vAlign w:val="center"/>
          </w:tcPr>
          <w:p w14:paraId="075375A7">
            <w:pPr>
              <w:widowControl/>
              <w:spacing w:line="400" w:lineRule="exact"/>
              <w:ind w:firstLine="0" w:firstLineChars="0"/>
              <w:jc w:val="center"/>
              <w:rPr>
                <w:rFonts w:ascii="宋体" w:hAnsi="宋体" w:cs="宋体"/>
                <w:sz w:val="21"/>
                <w:szCs w:val="21"/>
                <w:highlight w:val="black"/>
              </w:rPr>
            </w:pPr>
          </w:p>
        </w:tc>
      </w:tr>
      <w:tr w14:paraId="11D5E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3BB21BF3">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母线容许</w:t>
            </w:r>
          </w:p>
          <w:p w14:paraId="3AE70242">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瞬时电压降</w:t>
            </w:r>
          </w:p>
        </w:tc>
        <w:tc>
          <w:tcPr>
            <w:tcW w:w="2702" w:type="pct"/>
            <w:tcBorders>
              <w:tl2br w:val="nil"/>
              <w:tr2bl w:val="nil"/>
            </w:tcBorders>
            <w:shd w:val="clear" w:color="auto" w:fill="auto"/>
            <w:noWrap/>
            <w:vAlign w:val="center"/>
          </w:tcPr>
          <w:p w14:paraId="4B4E74AB">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ΔE</w:t>
            </w:r>
          </w:p>
        </w:tc>
        <w:tc>
          <w:tcPr>
            <w:tcW w:w="401" w:type="pct"/>
            <w:tcBorders>
              <w:tl2br w:val="nil"/>
              <w:tr2bl w:val="nil"/>
            </w:tcBorders>
            <w:shd w:val="clear" w:color="auto" w:fill="auto"/>
            <w:noWrap/>
            <w:vAlign w:val="center"/>
          </w:tcPr>
          <w:p w14:paraId="1BDEA408">
            <w:pPr>
              <w:widowControl/>
              <w:spacing w:line="400" w:lineRule="exact"/>
              <w:ind w:firstLine="0" w:firstLineChars="0"/>
              <w:jc w:val="center"/>
              <w:rPr>
                <w:rFonts w:ascii="宋体" w:hAnsi="宋体" w:cs="宋体"/>
                <w:sz w:val="21"/>
                <w:szCs w:val="21"/>
                <w:highlight w:val="black"/>
              </w:rPr>
            </w:pPr>
          </w:p>
        </w:tc>
        <w:tc>
          <w:tcPr>
            <w:tcW w:w="401" w:type="pct"/>
            <w:tcBorders>
              <w:tl2br w:val="nil"/>
              <w:tr2bl w:val="nil"/>
            </w:tcBorders>
            <w:shd w:val="clear" w:color="auto" w:fill="auto"/>
            <w:noWrap/>
            <w:vAlign w:val="center"/>
          </w:tcPr>
          <w:p w14:paraId="47478D90">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0.3</w:t>
            </w:r>
          </w:p>
        </w:tc>
        <w:tc>
          <w:tcPr>
            <w:tcW w:w="401" w:type="pct"/>
            <w:tcBorders>
              <w:tl2br w:val="nil"/>
              <w:tr2bl w:val="nil"/>
            </w:tcBorders>
            <w:shd w:val="clear" w:color="auto" w:fill="auto"/>
            <w:noWrap/>
            <w:vAlign w:val="center"/>
          </w:tcPr>
          <w:p w14:paraId="1F0EB22B">
            <w:pPr>
              <w:widowControl/>
              <w:spacing w:line="400" w:lineRule="exact"/>
              <w:ind w:firstLine="0" w:firstLineChars="0"/>
              <w:jc w:val="center"/>
              <w:rPr>
                <w:rFonts w:ascii="宋体" w:hAnsi="宋体" w:cs="宋体"/>
                <w:sz w:val="21"/>
                <w:szCs w:val="21"/>
                <w:highlight w:val="black"/>
              </w:rPr>
            </w:pPr>
          </w:p>
        </w:tc>
      </w:tr>
      <w:tr w14:paraId="58393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93" w:type="pct"/>
            <w:tcBorders>
              <w:tl2br w:val="nil"/>
              <w:tr2bl w:val="nil"/>
            </w:tcBorders>
            <w:shd w:val="clear" w:color="auto" w:fill="auto"/>
            <w:noWrap/>
            <w:vAlign w:val="center"/>
          </w:tcPr>
          <w:p w14:paraId="5545636C">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发电机容量</w:t>
            </w:r>
          </w:p>
        </w:tc>
        <w:tc>
          <w:tcPr>
            <w:tcW w:w="2702" w:type="pct"/>
            <w:tcBorders>
              <w:tl2br w:val="nil"/>
              <w:tr2bl w:val="nil"/>
            </w:tcBorders>
            <w:shd w:val="clear" w:color="auto" w:fill="auto"/>
            <w:noWrap/>
            <w:vAlign w:val="center"/>
          </w:tcPr>
          <w:p w14:paraId="6204052B">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Sc3=Pn•K•C•X''(1/ΔE-1)</w:t>
            </w:r>
          </w:p>
        </w:tc>
        <w:tc>
          <w:tcPr>
            <w:tcW w:w="401" w:type="pct"/>
            <w:tcBorders>
              <w:tl2br w:val="nil"/>
              <w:tr2bl w:val="nil"/>
            </w:tcBorders>
            <w:shd w:val="clear" w:color="auto" w:fill="auto"/>
            <w:noWrap/>
            <w:vAlign w:val="center"/>
          </w:tcPr>
          <w:p w14:paraId="4F4721C8">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kVA</w:t>
            </w:r>
          </w:p>
        </w:tc>
        <w:tc>
          <w:tcPr>
            <w:tcW w:w="401" w:type="pct"/>
            <w:tcBorders>
              <w:tl2br w:val="nil"/>
              <w:tr2bl w:val="nil"/>
            </w:tcBorders>
            <w:shd w:val="clear" w:color="auto" w:fill="auto"/>
            <w:noWrap/>
            <w:vAlign w:val="center"/>
          </w:tcPr>
          <w:p w14:paraId="76E7C35B">
            <w:pPr>
              <w:widowControl/>
              <w:spacing w:line="40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 xml:space="preserve">263 </w:t>
            </w:r>
          </w:p>
        </w:tc>
        <w:tc>
          <w:tcPr>
            <w:tcW w:w="401" w:type="pct"/>
            <w:tcBorders>
              <w:tl2br w:val="nil"/>
              <w:tr2bl w:val="nil"/>
            </w:tcBorders>
            <w:shd w:val="clear" w:color="auto" w:fill="auto"/>
            <w:noWrap/>
            <w:vAlign w:val="center"/>
          </w:tcPr>
          <w:p w14:paraId="343E61C3">
            <w:pPr>
              <w:widowControl/>
              <w:spacing w:line="400" w:lineRule="exact"/>
              <w:ind w:firstLine="0" w:firstLineChars="0"/>
              <w:rPr>
                <w:rFonts w:ascii="宋体" w:hAnsi="宋体" w:cs="宋体"/>
                <w:sz w:val="21"/>
                <w:szCs w:val="21"/>
                <w:highlight w:val="black"/>
              </w:rPr>
            </w:pPr>
          </w:p>
        </w:tc>
      </w:tr>
    </w:tbl>
    <w:p w14:paraId="2631C03C">
      <w:pPr>
        <w:ind w:firstLine="0" w:firstLineChars="0"/>
        <w:rPr>
          <w:rFonts w:ascii="宋体" w:hAnsi="宋体" w:cs="宋体"/>
          <w:b/>
          <w:bCs/>
        </w:rPr>
      </w:pPr>
      <w:r>
        <w:rPr>
          <w:rFonts w:hint="eastAsia" w:ascii="宋体" w:hAnsi="宋体" w:cs="宋体"/>
          <w:b/>
          <w:bCs/>
        </w:rPr>
        <w:t xml:space="preserve">2.4.8.2 </w:t>
      </w:r>
      <w:bookmarkEnd w:id="198"/>
      <w:r>
        <w:rPr>
          <w:rFonts w:hint="eastAsia" w:ascii="宋体" w:hAnsi="宋体" w:cs="宋体"/>
          <w:b/>
          <w:bCs/>
        </w:rPr>
        <w:t>用电负荷</w:t>
      </w:r>
    </w:p>
    <w:p w14:paraId="5DA8849A">
      <w:pPr>
        <w:tabs>
          <w:tab w:val="left" w:pos="0"/>
        </w:tabs>
        <w:spacing w:line="506" w:lineRule="exact"/>
        <w:ind w:firstLine="560"/>
        <w:rPr>
          <w:rFonts w:ascii="宋体" w:hAnsi="宋体" w:cs="宋体"/>
          <w:szCs w:val="28"/>
          <w:highlight w:val="black"/>
        </w:rPr>
      </w:pPr>
      <w:bookmarkStart w:id="200" w:name="_Hlk185768833"/>
      <w:bookmarkStart w:id="201" w:name="_Hlk185768940"/>
      <w:bookmarkStart w:id="202" w:name="_Toc5406"/>
      <w:r>
        <w:rPr>
          <w:rFonts w:hint="eastAsia" w:ascii="宋体" w:hAnsi="宋体" w:cs="宋体"/>
          <w:szCs w:val="28"/>
          <w:highlight w:val="black"/>
        </w:rPr>
        <w:t>矿井用电负荷统计详见表2-21。</w:t>
      </w:r>
    </w:p>
    <w:p w14:paraId="6645000C">
      <w:pPr>
        <w:snapToGrid w:val="0"/>
        <w:spacing w:line="240" w:lineRule="auto"/>
        <w:ind w:firstLine="198" w:firstLineChars="0"/>
        <w:jc w:val="center"/>
        <w:rPr>
          <w:rFonts w:ascii="宋体" w:hAnsi="宋体" w:cs="宋体"/>
          <w:b/>
          <w:sz w:val="21"/>
          <w:szCs w:val="21"/>
          <w:highlight w:val="black"/>
        </w:rPr>
      </w:pPr>
      <w:r>
        <w:rPr>
          <w:rFonts w:hint="eastAsia" w:ascii="宋体" w:hAnsi="宋体" w:cs="宋体"/>
          <w:b/>
          <w:sz w:val="21"/>
          <w:szCs w:val="21"/>
          <w:highlight w:val="black"/>
        </w:rPr>
        <w:t>表2-21 用电负荷统计表</w:t>
      </w:r>
    </w:p>
    <w:tbl>
      <w:tblPr>
        <w:tblStyle w:val="25"/>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59"/>
        <w:gridCol w:w="1246"/>
        <w:gridCol w:w="1051"/>
        <w:gridCol w:w="1051"/>
        <w:gridCol w:w="1051"/>
        <w:gridCol w:w="1291"/>
        <w:gridCol w:w="1173"/>
      </w:tblGrid>
      <w:tr w14:paraId="2D617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850" w:type="pct"/>
            <w:gridSpan w:val="2"/>
            <w:tcBorders>
              <w:tl2br w:val="nil"/>
              <w:tr2bl w:val="nil"/>
            </w:tcBorders>
            <w:shd w:val="clear" w:color="auto" w:fill="auto"/>
            <w:noWrap/>
            <w:vAlign w:val="center"/>
          </w:tcPr>
          <w:p w14:paraId="001FA8AD">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变电所</w:t>
            </w:r>
          </w:p>
        </w:tc>
        <w:tc>
          <w:tcPr>
            <w:tcW w:w="589" w:type="pct"/>
            <w:tcBorders>
              <w:tl2br w:val="nil"/>
              <w:tr2bl w:val="nil"/>
            </w:tcBorders>
            <w:shd w:val="clear" w:color="auto" w:fill="auto"/>
            <w:vAlign w:val="center"/>
          </w:tcPr>
          <w:p w14:paraId="59969FEE">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安装</w:t>
            </w:r>
          </w:p>
          <w:p w14:paraId="02825850">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容量/kW</w:t>
            </w:r>
          </w:p>
        </w:tc>
        <w:tc>
          <w:tcPr>
            <w:tcW w:w="589" w:type="pct"/>
            <w:tcBorders>
              <w:tl2br w:val="nil"/>
              <w:tr2bl w:val="nil"/>
            </w:tcBorders>
            <w:shd w:val="clear" w:color="auto" w:fill="auto"/>
            <w:vAlign w:val="center"/>
          </w:tcPr>
          <w:p w14:paraId="5D82B7A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工作</w:t>
            </w:r>
          </w:p>
          <w:p w14:paraId="7ACD2DAE">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容量/kW</w:t>
            </w:r>
          </w:p>
        </w:tc>
        <w:tc>
          <w:tcPr>
            <w:tcW w:w="589" w:type="pct"/>
            <w:tcBorders>
              <w:tl2br w:val="nil"/>
              <w:tr2bl w:val="nil"/>
            </w:tcBorders>
            <w:shd w:val="clear" w:color="auto" w:fill="auto"/>
            <w:vAlign w:val="center"/>
          </w:tcPr>
          <w:p w14:paraId="2C5E6825">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有功</w:t>
            </w:r>
          </w:p>
          <w:p w14:paraId="3CCE17B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功率/kW</w:t>
            </w:r>
          </w:p>
        </w:tc>
        <w:tc>
          <w:tcPr>
            <w:tcW w:w="723" w:type="pct"/>
            <w:tcBorders>
              <w:tl2br w:val="nil"/>
              <w:tr2bl w:val="nil"/>
            </w:tcBorders>
            <w:shd w:val="clear" w:color="auto" w:fill="auto"/>
            <w:vAlign w:val="center"/>
          </w:tcPr>
          <w:p w14:paraId="49701A13">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无功</w:t>
            </w:r>
          </w:p>
          <w:p w14:paraId="6CA521E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功率/kVar</w:t>
            </w:r>
          </w:p>
        </w:tc>
        <w:tc>
          <w:tcPr>
            <w:tcW w:w="657" w:type="pct"/>
            <w:tcBorders>
              <w:tl2br w:val="nil"/>
              <w:tr2bl w:val="nil"/>
            </w:tcBorders>
            <w:shd w:val="clear" w:color="auto" w:fill="auto"/>
            <w:vAlign w:val="center"/>
          </w:tcPr>
          <w:p w14:paraId="1612239D">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视在</w:t>
            </w:r>
          </w:p>
          <w:p w14:paraId="50ECF435">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功率/kVA</w:t>
            </w:r>
          </w:p>
        </w:tc>
      </w:tr>
      <w:tr w14:paraId="7F708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850" w:type="pct"/>
            <w:gridSpan w:val="2"/>
            <w:tcBorders>
              <w:tl2br w:val="nil"/>
              <w:tr2bl w:val="nil"/>
            </w:tcBorders>
            <w:shd w:val="clear" w:color="auto" w:fill="auto"/>
            <w:noWrap/>
            <w:vAlign w:val="center"/>
          </w:tcPr>
          <w:p w14:paraId="0FCFC7C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斜坡道空压机变电所</w:t>
            </w:r>
          </w:p>
        </w:tc>
        <w:tc>
          <w:tcPr>
            <w:tcW w:w="1067" w:type="dxa"/>
            <w:tcBorders>
              <w:tl2br w:val="nil"/>
              <w:tr2bl w:val="nil"/>
            </w:tcBorders>
            <w:shd w:val="clear" w:color="auto" w:fill="auto"/>
            <w:noWrap/>
            <w:vAlign w:val="center"/>
          </w:tcPr>
          <w:p w14:paraId="31309276">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520.9</w:t>
            </w:r>
          </w:p>
        </w:tc>
        <w:tc>
          <w:tcPr>
            <w:tcW w:w="1067" w:type="dxa"/>
            <w:tcBorders>
              <w:tl2br w:val="nil"/>
              <w:tr2bl w:val="nil"/>
            </w:tcBorders>
            <w:shd w:val="clear" w:color="auto" w:fill="auto"/>
            <w:noWrap/>
            <w:vAlign w:val="center"/>
          </w:tcPr>
          <w:p w14:paraId="2F6F78EF">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405.2</w:t>
            </w:r>
          </w:p>
        </w:tc>
        <w:tc>
          <w:tcPr>
            <w:tcW w:w="1067" w:type="dxa"/>
            <w:tcBorders>
              <w:tl2br w:val="nil"/>
              <w:tr2bl w:val="nil"/>
            </w:tcBorders>
            <w:shd w:val="clear" w:color="auto" w:fill="auto"/>
            <w:noWrap/>
            <w:vAlign w:val="center"/>
          </w:tcPr>
          <w:p w14:paraId="627F27E9">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307.49 </w:t>
            </w:r>
          </w:p>
        </w:tc>
        <w:tc>
          <w:tcPr>
            <w:tcW w:w="1311" w:type="dxa"/>
            <w:tcBorders>
              <w:tl2br w:val="nil"/>
              <w:tr2bl w:val="nil"/>
            </w:tcBorders>
            <w:shd w:val="clear" w:color="auto" w:fill="auto"/>
            <w:noWrap/>
            <w:vAlign w:val="center"/>
          </w:tcPr>
          <w:p w14:paraId="432B1399">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104.50 </w:t>
            </w:r>
          </w:p>
        </w:tc>
        <w:tc>
          <w:tcPr>
            <w:tcW w:w="1191" w:type="dxa"/>
            <w:tcBorders>
              <w:tl2br w:val="nil"/>
              <w:tr2bl w:val="nil"/>
            </w:tcBorders>
            <w:shd w:val="clear" w:color="auto" w:fill="auto"/>
            <w:noWrap/>
            <w:vAlign w:val="center"/>
          </w:tcPr>
          <w:p w14:paraId="669BBB62">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324.77 </w:t>
            </w:r>
          </w:p>
        </w:tc>
      </w:tr>
      <w:tr w14:paraId="103E6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850" w:type="pct"/>
            <w:gridSpan w:val="2"/>
            <w:tcBorders>
              <w:tl2br w:val="nil"/>
              <w:tr2bl w:val="nil"/>
            </w:tcBorders>
            <w:shd w:val="clear" w:color="auto" w:fill="auto"/>
            <w:noWrap/>
            <w:vAlign w:val="center"/>
          </w:tcPr>
          <w:p w14:paraId="19FFCAC2">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斜坡道预热风机变电所</w:t>
            </w:r>
          </w:p>
        </w:tc>
        <w:tc>
          <w:tcPr>
            <w:tcW w:w="1067" w:type="dxa"/>
            <w:tcBorders>
              <w:tl2br w:val="nil"/>
              <w:tr2bl w:val="nil"/>
            </w:tcBorders>
            <w:shd w:val="clear" w:color="auto" w:fill="auto"/>
            <w:noWrap/>
            <w:vAlign w:val="center"/>
          </w:tcPr>
          <w:p w14:paraId="051236F1">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1866</w:t>
            </w:r>
          </w:p>
        </w:tc>
        <w:tc>
          <w:tcPr>
            <w:tcW w:w="1067" w:type="dxa"/>
            <w:tcBorders>
              <w:tl2br w:val="nil"/>
              <w:tr2bl w:val="nil"/>
            </w:tcBorders>
            <w:shd w:val="clear" w:color="auto" w:fill="auto"/>
            <w:noWrap/>
            <w:vAlign w:val="center"/>
          </w:tcPr>
          <w:p w14:paraId="26D27373">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1866</w:t>
            </w:r>
          </w:p>
        </w:tc>
        <w:tc>
          <w:tcPr>
            <w:tcW w:w="1067" w:type="dxa"/>
            <w:tcBorders>
              <w:tl2br w:val="nil"/>
              <w:tr2bl w:val="nil"/>
            </w:tcBorders>
            <w:shd w:val="clear" w:color="auto" w:fill="auto"/>
            <w:noWrap/>
            <w:vAlign w:val="center"/>
          </w:tcPr>
          <w:p w14:paraId="72A3C995">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1672.80 </w:t>
            </w:r>
          </w:p>
        </w:tc>
        <w:tc>
          <w:tcPr>
            <w:tcW w:w="1311" w:type="dxa"/>
            <w:tcBorders>
              <w:tl2br w:val="nil"/>
              <w:tr2bl w:val="nil"/>
            </w:tcBorders>
            <w:shd w:val="clear" w:color="auto" w:fill="auto"/>
            <w:noWrap/>
            <w:vAlign w:val="center"/>
          </w:tcPr>
          <w:p w14:paraId="10794BE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821.46 </w:t>
            </w:r>
          </w:p>
        </w:tc>
        <w:tc>
          <w:tcPr>
            <w:tcW w:w="1191" w:type="dxa"/>
            <w:tcBorders>
              <w:tl2br w:val="nil"/>
              <w:tr2bl w:val="nil"/>
            </w:tcBorders>
            <w:shd w:val="clear" w:color="auto" w:fill="auto"/>
            <w:noWrap/>
            <w:vAlign w:val="center"/>
          </w:tcPr>
          <w:p w14:paraId="18625AB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1863.61 </w:t>
            </w:r>
          </w:p>
        </w:tc>
      </w:tr>
      <w:tr w14:paraId="772352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850" w:type="pct"/>
            <w:gridSpan w:val="2"/>
            <w:tcBorders>
              <w:tl2br w:val="nil"/>
              <w:tr2bl w:val="nil"/>
            </w:tcBorders>
            <w:shd w:val="clear" w:color="auto" w:fill="auto"/>
            <w:noWrap/>
            <w:vAlign w:val="center"/>
          </w:tcPr>
          <w:p w14:paraId="45094DF7">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回风井变电所</w:t>
            </w:r>
          </w:p>
        </w:tc>
        <w:tc>
          <w:tcPr>
            <w:tcW w:w="1067" w:type="dxa"/>
            <w:tcBorders>
              <w:tl2br w:val="nil"/>
              <w:tr2bl w:val="nil"/>
            </w:tcBorders>
            <w:shd w:val="clear" w:color="auto" w:fill="auto"/>
            <w:noWrap/>
            <w:vAlign w:val="center"/>
          </w:tcPr>
          <w:p w14:paraId="1100D90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390</w:t>
            </w:r>
          </w:p>
        </w:tc>
        <w:tc>
          <w:tcPr>
            <w:tcW w:w="1067" w:type="dxa"/>
            <w:tcBorders>
              <w:tl2br w:val="nil"/>
              <w:tr2bl w:val="nil"/>
            </w:tcBorders>
            <w:shd w:val="clear" w:color="auto" w:fill="auto"/>
            <w:noWrap/>
            <w:vAlign w:val="center"/>
          </w:tcPr>
          <w:p w14:paraId="68934C71">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390</w:t>
            </w:r>
          </w:p>
        </w:tc>
        <w:tc>
          <w:tcPr>
            <w:tcW w:w="1067" w:type="dxa"/>
            <w:tcBorders>
              <w:tl2br w:val="nil"/>
              <w:tr2bl w:val="nil"/>
            </w:tcBorders>
            <w:shd w:val="clear" w:color="auto" w:fill="auto"/>
            <w:noWrap/>
            <w:vAlign w:val="center"/>
          </w:tcPr>
          <w:p w14:paraId="75E875E5">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352.59 </w:t>
            </w:r>
          </w:p>
        </w:tc>
        <w:tc>
          <w:tcPr>
            <w:tcW w:w="1311" w:type="dxa"/>
            <w:tcBorders>
              <w:tl2br w:val="nil"/>
              <w:tr2bl w:val="nil"/>
            </w:tcBorders>
            <w:shd w:val="clear" w:color="auto" w:fill="auto"/>
            <w:noWrap/>
            <w:vAlign w:val="center"/>
          </w:tcPr>
          <w:p w14:paraId="71FFD32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103.30 </w:t>
            </w:r>
          </w:p>
        </w:tc>
        <w:tc>
          <w:tcPr>
            <w:tcW w:w="1191" w:type="dxa"/>
            <w:tcBorders>
              <w:tl2br w:val="nil"/>
              <w:tr2bl w:val="nil"/>
            </w:tcBorders>
            <w:shd w:val="clear" w:color="auto" w:fill="auto"/>
            <w:noWrap/>
            <w:vAlign w:val="center"/>
          </w:tcPr>
          <w:p w14:paraId="7E53FD2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367.41 </w:t>
            </w:r>
          </w:p>
        </w:tc>
      </w:tr>
      <w:tr w14:paraId="200F86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058" w:type="pct"/>
            <w:vMerge w:val="restart"/>
            <w:tcBorders>
              <w:tl2br w:val="nil"/>
              <w:tr2bl w:val="nil"/>
            </w:tcBorders>
            <w:shd w:val="clear" w:color="auto" w:fill="auto"/>
            <w:noWrap/>
            <w:vAlign w:val="center"/>
          </w:tcPr>
          <w:p w14:paraId="210EAB70">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井下变电所负荷</w:t>
            </w:r>
          </w:p>
        </w:tc>
        <w:tc>
          <w:tcPr>
            <w:tcW w:w="791" w:type="pct"/>
            <w:tcBorders>
              <w:tl2br w:val="nil"/>
              <w:tr2bl w:val="nil"/>
            </w:tcBorders>
            <w:shd w:val="clear" w:color="auto" w:fill="auto"/>
            <w:noWrap/>
            <w:vAlign w:val="center"/>
          </w:tcPr>
          <w:p w14:paraId="4AD3B9E2">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正常涌水时</w:t>
            </w:r>
          </w:p>
        </w:tc>
        <w:tc>
          <w:tcPr>
            <w:tcW w:w="1067" w:type="dxa"/>
            <w:tcBorders>
              <w:tl2br w:val="nil"/>
              <w:tr2bl w:val="nil"/>
            </w:tcBorders>
            <w:shd w:val="clear" w:color="auto" w:fill="auto"/>
            <w:noWrap/>
            <w:vAlign w:val="center"/>
          </w:tcPr>
          <w:p w14:paraId="378EF6E8">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640</w:t>
            </w:r>
          </w:p>
        </w:tc>
        <w:tc>
          <w:tcPr>
            <w:tcW w:w="1067" w:type="dxa"/>
            <w:tcBorders>
              <w:tl2br w:val="nil"/>
              <w:tr2bl w:val="nil"/>
            </w:tcBorders>
            <w:shd w:val="clear" w:color="auto" w:fill="auto"/>
            <w:noWrap/>
            <w:vAlign w:val="center"/>
          </w:tcPr>
          <w:p w14:paraId="02A2FA07">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378</w:t>
            </w:r>
          </w:p>
        </w:tc>
        <w:tc>
          <w:tcPr>
            <w:tcW w:w="1067" w:type="dxa"/>
            <w:tcBorders>
              <w:tl2br w:val="nil"/>
              <w:tr2bl w:val="nil"/>
            </w:tcBorders>
            <w:shd w:val="clear" w:color="auto" w:fill="auto"/>
            <w:noWrap/>
            <w:vAlign w:val="center"/>
          </w:tcPr>
          <w:p w14:paraId="415E868E">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295.50 </w:t>
            </w:r>
          </w:p>
        </w:tc>
        <w:tc>
          <w:tcPr>
            <w:tcW w:w="1311" w:type="dxa"/>
            <w:tcBorders>
              <w:tl2br w:val="nil"/>
              <w:tr2bl w:val="nil"/>
            </w:tcBorders>
            <w:shd w:val="clear" w:color="auto" w:fill="auto"/>
            <w:noWrap/>
            <w:vAlign w:val="center"/>
          </w:tcPr>
          <w:p w14:paraId="625CCF47">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81.48 </w:t>
            </w:r>
          </w:p>
        </w:tc>
        <w:tc>
          <w:tcPr>
            <w:tcW w:w="1191" w:type="dxa"/>
            <w:tcBorders>
              <w:tl2br w:val="nil"/>
              <w:tr2bl w:val="nil"/>
            </w:tcBorders>
            <w:shd w:val="clear" w:color="auto" w:fill="auto"/>
            <w:noWrap/>
            <w:vAlign w:val="center"/>
          </w:tcPr>
          <w:p w14:paraId="1D88B189">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306.53 </w:t>
            </w:r>
          </w:p>
        </w:tc>
      </w:tr>
      <w:tr w14:paraId="138059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058" w:type="pct"/>
            <w:vMerge w:val="continue"/>
            <w:tcBorders>
              <w:tl2br w:val="nil"/>
              <w:tr2bl w:val="nil"/>
            </w:tcBorders>
            <w:shd w:val="clear" w:color="auto" w:fill="auto"/>
            <w:noWrap/>
            <w:vAlign w:val="center"/>
          </w:tcPr>
          <w:p w14:paraId="0EB9CCC3">
            <w:pPr>
              <w:widowControl/>
              <w:spacing w:line="400" w:lineRule="exact"/>
              <w:ind w:firstLine="0" w:firstLineChars="0"/>
              <w:jc w:val="center"/>
              <w:textAlignment w:val="center"/>
              <w:rPr>
                <w:rFonts w:ascii="宋体" w:hAnsi="宋体" w:cs="宋体"/>
                <w:kern w:val="0"/>
                <w:sz w:val="21"/>
                <w:szCs w:val="21"/>
                <w:highlight w:val="black"/>
                <w:lang w:bidi="ar"/>
              </w:rPr>
            </w:pPr>
          </w:p>
        </w:tc>
        <w:tc>
          <w:tcPr>
            <w:tcW w:w="791" w:type="pct"/>
            <w:tcBorders>
              <w:tl2br w:val="nil"/>
              <w:tr2bl w:val="nil"/>
            </w:tcBorders>
            <w:shd w:val="clear" w:color="auto" w:fill="auto"/>
            <w:noWrap/>
            <w:vAlign w:val="center"/>
          </w:tcPr>
          <w:p w14:paraId="08F10133">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最大排水时</w:t>
            </w:r>
          </w:p>
        </w:tc>
        <w:tc>
          <w:tcPr>
            <w:tcW w:w="1067" w:type="dxa"/>
            <w:tcBorders>
              <w:tl2br w:val="nil"/>
              <w:tr2bl w:val="nil"/>
            </w:tcBorders>
            <w:shd w:val="clear" w:color="auto" w:fill="auto"/>
            <w:noWrap/>
            <w:vAlign w:val="center"/>
          </w:tcPr>
          <w:p w14:paraId="20C7C963">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640</w:t>
            </w:r>
          </w:p>
        </w:tc>
        <w:tc>
          <w:tcPr>
            <w:tcW w:w="1067" w:type="dxa"/>
            <w:tcBorders>
              <w:tl2br w:val="nil"/>
              <w:tr2bl w:val="nil"/>
            </w:tcBorders>
            <w:shd w:val="clear" w:color="auto" w:fill="auto"/>
            <w:noWrap/>
            <w:vAlign w:val="center"/>
          </w:tcPr>
          <w:p w14:paraId="2B8595D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453</w:t>
            </w:r>
          </w:p>
        </w:tc>
        <w:tc>
          <w:tcPr>
            <w:tcW w:w="1067" w:type="dxa"/>
            <w:tcBorders>
              <w:tl2br w:val="nil"/>
              <w:tr2bl w:val="nil"/>
            </w:tcBorders>
            <w:shd w:val="clear" w:color="auto" w:fill="auto"/>
            <w:noWrap/>
            <w:vAlign w:val="center"/>
          </w:tcPr>
          <w:p w14:paraId="3ED2E9EB">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356.15 </w:t>
            </w:r>
          </w:p>
        </w:tc>
        <w:tc>
          <w:tcPr>
            <w:tcW w:w="1311" w:type="dxa"/>
            <w:tcBorders>
              <w:tl2br w:val="nil"/>
              <w:tr2bl w:val="nil"/>
            </w:tcBorders>
            <w:shd w:val="clear" w:color="auto" w:fill="auto"/>
            <w:noWrap/>
            <w:vAlign w:val="center"/>
          </w:tcPr>
          <w:p w14:paraId="3C64C3C6">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113.81 </w:t>
            </w:r>
          </w:p>
        </w:tc>
        <w:tc>
          <w:tcPr>
            <w:tcW w:w="1191" w:type="dxa"/>
            <w:tcBorders>
              <w:tl2br w:val="nil"/>
              <w:tr2bl w:val="nil"/>
            </w:tcBorders>
            <w:shd w:val="clear" w:color="auto" w:fill="auto"/>
            <w:noWrap/>
            <w:vAlign w:val="center"/>
          </w:tcPr>
          <w:p w14:paraId="00B74FE3">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373.89 </w:t>
            </w:r>
          </w:p>
        </w:tc>
      </w:tr>
      <w:tr w14:paraId="684F9D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058" w:type="pct"/>
            <w:vMerge w:val="restart"/>
            <w:tcBorders>
              <w:tl2br w:val="nil"/>
              <w:tr2bl w:val="nil"/>
            </w:tcBorders>
            <w:shd w:val="clear" w:color="auto" w:fill="auto"/>
            <w:noWrap/>
            <w:vAlign w:val="center"/>
          </w:tcPr>
          <w:p w14:paraId="3DF5AF5B">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合计</w:t>
            </w:r>
          </w:p>
        </w:tc>
        <w:tc>
          <w:tcPr>
            <w:tcW w:w="791" w:type="pct"/>
            <w:tcBorders>
              <w:tl2br w:val="nil"/>
              <w:tr2bl w:val="nil"/>
            </w:tcBorders>
            <w:shd w:val="clear" w:color="auto" w:fill="auto"/>
            <w:noWrap/>
            <w:vAlign w:val="center"/>
          </w:tcPr>
          <w:p w14:paraId="15551C1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正常涌水时</w:t>
            </w:r>
          </w:p>
        </w:tc>
        <w:tc>
          <w:tcPr>
            <w:tcW w:w="1067" w:type="dxa"/>
            <w:tcBorders>
              <w:tl2br w:val="nil"/>
              <w:tr2bl w:val="nil"/>
            </w:tcBorders>
            <w:shd w:val="clear" w:color="auto" w:fill="auto"/>
            <w:noWrap/>
            <w:vAlign w:val="center"/>
          </w:tcPr>
          <w:p w14:paraId="7D22D72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3416.9</w:t>
            </w:r>
          </w:p>
        </w:tc>
        <w:tc>
          <w:tcPr>
            <w:tcW w:w="1067" w:type="dxa"/>
            <w:tcBorders>
              <w:tl2br w:val="nil"/>
              <w:tr2bl w:val="nil"/>
            </w:tcBorders>
            <w:shd w:val="clear" w:color="auto" w:fill="auto"/>
            <w:noWrap/>
            <w:vAlign w:val="center"/>
          </w:tcPr>
          <w:p w14:paraId="3CA59DC2">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3039.2</w:t>
            </w:r>
          </w:p>
        </w:tc>
        <w:tc>
          <w:tcPr>
            <w:tcW w:w="1067" w:type="dxa"/>
            <w:tcBorders>
              <w:tl2br w:val="nil"/>
              <w:tr2bl w:val="nil"/>
            </w:tcBorders>
            <w:shd w:val="clear" w:color="auto" w:fill="auto"/>
            <w:noWrap/>
            <w:vAlign w:val="center"/>
          </w:tcPr>
          <w:p w14:paraId="38A1EF2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2628.39 </w:t>
            </w:r>
          </w:p>
        </w:tc>
        <w:tc>
          <w:tcPr>
            <w:tcW w:w="1311" w:type="dxa"/>
            <w:tcBorders>
              <w:tl2br w:val="nil"/>
              <w:tr2bl w:val="nil"/>
            </w:tcBorders>
            <w:shd w:val="clear" w:color="auto" w:fill="auto"/>
            <w:noWrap/>
            <w:vAlign w:val="center"/>
          </w:tcPr>
          <w:p w14:paraId="376140B4">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1110.74 </w:t>
            </w:r>
          </w:p>
        </w:tc>
        <w:tc>
          <w:tcPr>
            <w:tcW w:w="1191" w:type="dxa"/>
            <w:tcBorders>
              <w:tl2br w:val="nil"/>
              <w:tr2bl w:val="nil"/>
            </w:tcBorders>
            <w:shd w:val="clear" w:color="auto" w:fill="auto"/>
            <w:noWrap/>
            <w:vAlign w:val="center"/>
          </w:tcPr>
          <w:p w14:paraId="28FC0B70">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2862.32 </w:t>
            </w:r>
          </w:p>
        </w:tc>
      </w:tr>
      <w:tr w14:paraId="2E1CAF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058" w:type="pct"/>
            <w:vMerge w:val="continue"/>
            <w:tcBorders>
              <w:tl2br w:val="nil"/>
              <w:tr2bl w:val="nil"/>
            </w:tcBorders>
            <w:shd w:val="clear" w:color="auto" w:fill="auto"/>
            <w:noWrap/>
            <w:vAlign w:val="center"/>
          </w:tcPr>
          <w:p w14:paraId="515C3091">
            <w:pPr>
              <w:widowControl/>
              <w:spacing w:line="400" w:lineRule="exact"/>
              <w:ind w:firstLine="0" w:firstLineChars="0"/>
              <w:jc w:val="center"/>
              <w:textAlignment w:val="center"/>
              <w:rPr>
                <w:rFonts w:ascii="宋体" w:hAnsi="宋体" w:cs="宋体"/>
                <w:kern w:val="0"/>
                <w:sz w:val="21"/>
                <w:szCs w:val="21"/>
                <w:highlight w:val="black"/>
                <w:lang w:bidi="ar"/>
              </w:rPr>
            </w:pPr>
          </w:p>
        </w:tc>
        <w:tc>
          <w:tcPr>
            <w:tcW w:w="791" w:type="pct"/>
            <w:tcBorders>
              <w:tl2br w:val="nil"/>
              <w:tr2bl w:val="nil"/>
            </w:tcBorders>
            <w:shd w:val="clear" w:color="auto" w:fill="auto"/>
            <w:noWrap/>
            <w:vAlign w:val="center"/>
          </w:tcPr>
          <w:p w14:paraId="58C01EAA">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最大排水时</w:t>
            </w:r>
          </w:p>
        </w:tc>
        <w:tc>
          <w:tcPr>
            <w:tcW w:w="1067" w:type="dxa"/>
            <w:tcBorders>
              <w:tl2br w:val="nil"/>
              <w:tr2bl w:val="nil"/>
            </w:tcBorders>
            <w:shd w:val="clear" w:color="auto" w:fill="auto"/>
            <w:noWrap/>
            <w:vAlign w:val="center"/>
          </w:tcPr>
          <w:p w14:paraId="5D65407D">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3416.9</w:t>
            </w:r>
          </w:p>
        </w:tc>
        <w:tc>
          <w:tcPr>
            <w:tcW w:w="1067" w:type="dxa"/>
            <w:tcBorders>
              <w:tl2br w:val="nil"/>
              <w:tr2bl w:val="nil"/>
            </w:tcBorders>
            <w:shd w:val="clear" w:color="auto" w:fill="auto"/>
            <w:noWrap/>
            <w:vAlign w:val="center"/>
          </w:tcPr>
          <w:p w14:paraId="1067E85C">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3114.2</w:t>
            </w:r>
          </w:p>
        </w:tc>
        <w:tc>
          <w:tcPr>
            <w:tcW w:w="1067" w:type="dxa"/>
            <w:tcBorders>
              <w:tl2br w:val="nil"/>
              <w:tr2bl w:val="nil"/>
            </w:tcBorders>
            <w:shd w:val="clear" w:color="auto" w:fill="auto"/>
            <w:noWrap/>
            <w:vAlign w:val="center"/>
          </w:tcPr>
          <w:p w14:paraId="7D49C8F1">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2689.04 </w:t>
            </w:r>
          </w:p>
        </w:tc>
        <w:tc>
          <w:tcPr>
            <w:tcW w:w="1311" w:type="dxa"/>
            <w:tcBorders>
              <w:tl2br w:val="nil"/>
              <w:tr2bl w:val="nil"/>
            </w:tcBorders>
            <w:shd w:val="clear" w:color="auto" w:fill="auto"/>
            <w:noWrap/>
            <w:vAlign w:val="center"/>
          </w:tcPr>
          <w:p w14:paraId="12AEB63F">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1143.06 </w:t>
            </w:r>
          </w:p>
        </w:tc>
        <w:tc>
          <w:tcPr>
            <w:tcW w:w="1191" w:type="dxa"/>
            <w:tcBorders>
              <w:tl2br w:val="nil"/>
              <w:tr2bl w:val="nil"/>
            </w:tcBorders>
            <w:shd w:val="clear" w:color="auto" w:fill="auto"/>
            <w:noWrap/>
            <w:vAlign w:val="center"/>
          </w:tcPr>
          <w:p w14:paraId="5392498E">
            <w:pPr>
              <w:widowControl/>
              <w:spacing w:line="40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 xml:space="preserve">2929.69 </w:t>
            </w:r>
          </w:p>
        </w:tc>
      </w:tr>
    </w:tbl>
    <w:p w14:paraId="1D740666">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一级负荷最大工作容量：150kW。</w:t>
      </w:r>
    </w:p>
    <w:p w14:paraId="072642E3">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根据矿山用电负荷情况，各变压器（除预热机组供电变压器）采用低压集中补偿方式，将功率因数提高到0.90以上。补偿容量见《主要用电设备负荷计算表》。补偿电容器规格型号和数量由生产厂家确定。</w:t>
      </w:r>
    </w:p>
    <w:p w14:paraId="61E0AB0C">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该矿年工作330天，每天3班，每班8小时，全年计算耗电量1249.01万kW·h，吨矿石耗电量15.61kW·h/t。</w:t>
      </w:r>
    </w:p>
    <w:bookmarkEnd w:id="200"/>
    <w:bookmarkEnd w:id="201"/>
    <w:p w14:paraId="030EC820">
      <w:pPr>
        <w:ind w:firstLine="0" w:firstLineChars="0"/>
        <w:rPr>
          <w:rFonts w:ascii="宋体" w:hAnsi="宋体" w:cs="宋体"/>
          <w:b/>
          <w:bCs/>
        </w:rPr>
      </w:pPr>
      <w:r>
        <w:rPr>
          <w:rFonts w:hint="eastAsia" w:ascii="宋体" w:hAnsi="宋体" w:cs="宋体"/>
          <w:b/>
          <w:bCs/>
        </w:rPr>
        <w:t xml:space="preserve">2.4.8.3 </w:t>
      </w:r>
      <w:bookmarkEnd w:id="202"/>
      <w:r>
        <w:rPr>
          <w:rFonts w:hint="eastAsia" w:ascii="宋体" w:hAnsi="宋体" w:cs="宋体"/>
          <w:b/>
          <w:bCs/>
        </w:rPr>
        <w:t>供配电系统</w:t>
      </w:r>
    </w:p>
    <w:p w14:paraId="69202227">
      <w:pPr>
        <w:spacing w:line="520" w:lineRule="atLeast"/>
        <w:ind w:firstLine="560"/>
        <w:rPr>
          <w:rFonts w:ascii="宋体" w:hAnsi="宋体" w:cs="宋体"/>
          <w:szCs w:val="28"/>
          <w:highlight w:val="black"/>
        </w:rPr>
      </w:pPr>
      <w:bookmarkStart w:id="203" w:name="_Hlk165812223"/>
      <w:bookmarkStart w:id="204" w:name="_Hlk169550461"/>
      <w:r>
        <w:rPr>
          <w:rFonts w:hint="eastAsia" w:ascii="宋体" w:hAnsi="宋体" w:cs="宋体"/>
          <w:szCs w:val="28"/>
          <w:highlight w:val="black"/>
        </w:rPr>
        <w:t>矿山主电源由高新技术产业开发区供电公司提供一回路10kV级电源，经LGJ-70型架空线至斜坡道口及回风井井口。设计在斜坡道口、回风井井口及毗邻井下水泵房建设配电（硐）室，为各用电设备供电。</w:t>
      </w:r>
    </w:p>
    <w:p w14:paraId="10CB2AA9">
      <w:pPr>
        <w:spacing w:line="520" w:lineRule="atLeast"/>
        <w:ind w:firstLine="560"/>
        <w:rPr>
          <w:rFonts w:ascii="宋体" w:hAnsi="宋体" w:cs="宋体"/>
          <w:szCs w:val="28"/>
          <w:highlight w:val="black"/>
        </w:rPr>
      </w:pPr>
      <w:r>
        <w:rPr>
          <w:rFonts w:hint="eastAsia" w:ascii="宋体" w:hAnsi="宋体" w:cs="宋体"/>
          <w:szCs w:val="28"/>
          <w:highlight w:val="black"/>
        </w:rPr>
        <w:t>（1）斜坡道口变电所</w:t>
      </w:r>
    </w:p>
    <w:p w14:paraId="5D303C81">
      <w:pPr>
        <w:pStyle w:val="7"/>
        <w:ind w:firstLine="560"/>
        <w:rPr>
          <w:rFonts w:hAnsi="宋体" w:cs="宋体"/>
          <w:szCs w:val="28"/>
          <w:highlight w:val="black"/>
        </w:rPr>
      </w:pPr>
      <w:r>
        <w:rPr>
          <w:rFonts w:hint="eastAsia" w:hAnsi="宋体" w:cs="宋体"/>
          <w:szCs w:val="28"/>
          <w:highlight w:val="black"/>
        </w:rPr>
        <w:t>在斜坡道口工业场地建设一座10/0.4kV变电所，配置两台变压器，1#变压器型号为SCB13-500/10 10/0.4kV，为地表空压机及充填系统供电；2#变压器型号为SCB13-2500/10 10/0.4kV，为预热机组及送风风机供电。两台变压器中性点均直接接地。</w:t>
      </w:r>
    </w:p>
    <w:p w14:paraId="1E8E1A06">
      <w:pPr>
        <w:ind w:firstLine="560"/>
        <w:rPr>
          <w:rFonts w:ascii="宋体" w:hAnsi="宋体" w:cs="宋体"/>
          <w:szCs w:val="28"/>
          <w:highlight w:val="black"/>
        </w:rPr>
      </w:pPr>
      <w:r>
        <w:rPr>
          <w:rFonts w:hint="eastAsia" w:ascii="宋体" w:hAnsi="宋体" w:cs="宋体"/>
          <w:szCs w:val="28"/>
          <w:highlight w:val="black"/>
        </w:rPr>
        <w:t>（2）回风井变电所</w:t>
      </w:r>
    </w:p>
    <w:p w14:paraId="4C892701">
      <w:pPr>
        <w:ind w:firstLine="560"/>
        <w:rPr>
          <w:rFonts w:ascii="宋体" w:hAnsi="宋体" w:cs="宋体"/>
          <w:szCs w:val="28"/>
          <w:highlight w:val="black"/>
        </w:rPr>
      </w:pPr>
      <w:r>
        <w:rPr>
          <w:rFonts w:hint="eastAsia" w:ascii="宋体" w:hAnsi="宋体" w:cs="宋体"/>
          <w:szCs w:val="28"/>
          <w:highlight w:val="black"/>
        </w:rPr>
        <w:t>在回风井建设一座10/0.4kV变电所，配置一台SCB13-500/10 10/0.4kV变压器，为主通风机供电，变压器中性点直接接地。</w:t>
      </w:r>
    </w:p>
    <w:p w14:paraId="44AA2E80">
      <w:pPr>
        <w:ind w:firstLine="560"/>
        <w:rPr>
          <w:rFonts w:ascii="宋体" w:hAnsi="宋体" w:cs="宋体"/>
          <w:szCs w:val="28"/>
          <w:highlight w:val="black"/>
        </w:rPr>
      </w:pPr>
      <w:r>
        <w:rPr>
          <w:rFonts w:hint="eastAsia" w:ascii="宋体" w:hAnsi="宋体" w:cs="宋体"/>
          <w:szCs w:val="28"/>
          <w:highlight w:val="black"/>
        </w:rPr>
        <w:t>（3）井下中央变电所</w:t>
      </w:r>
    </w:p>
    <w:p w14:paraId="4FC6B5DF">
      <w:pPr>
        <w:ind w:firstLine="560"/>
        <w:rPr>
          <w:rFonts w:ascii="宋体" w:hAnsi="宋体" w:cs="宋体"/>
          <w:szCs w:val="28"/>
          <w:highlight w:val="black"/>
        </w:rPr>
      </w:pPr>
      <w:r>
        <w:rPr>
          <w:rFonts w:hint="eastAsia" w:ascii="宋体" w:hAnsi="宋体" w:cs="宋体"/>
          <w:szCs w:val="28"/>
          <w:highlight w:val="black"/>
        </w:rPr>
        <w:t>在井下-40m中段毗邻水泵房建设井下中央变电所，两回路10kV供电，一回路10kV电源为电网供电，另一回10kV电源由柴油发电机组及升压隔离变压器提供。中央变电所内配置两台KSG-500/10 10/0.4kV矿用一般型变压器，0.4kV采用单母线分段接线方式，为井下排水泵、局部通风机及采矿设备供电。变压器中性点采用IT接地型式。</w:t>
      </w:r>
    </w:p>
    <w:p w14:paraId="153C0FE5">
      <w:pPr>
        <w:ind w:firstLine="0" w:firstLineChars="0"/>
        <w:rPr>
          <w:rFonts w:ascii="宋体" w:hAnsi="宋体" w:cs="宋体"/>
          <w:b/>
          <w:bCs/>
        </w:rPr>
      </w:pPr>
      <w:r>
        <w:rPr>
          <w:rFonts w:hint="eastAsia" w:ascii="宋体" w:hAnsi="宋体" w:cs="宋体"/>
          <w:b/>
          <w:bCs/>
        </w:rPr>
        <w:t>2.4.8.4 电气设备、电缆及保护</w:t>
      </w:r>
    </w:p>
    <w:p w14:paraId="3C3A7C8A">
      <w:pPr>
        <w:ind w:firstLine="560"/>
        <w:rPr>
          <w:rFonts w:ascii="宋体" w:hAnsi="宋体" w:cs="宋体"/>
          <w:szCs w:val="28"/>
          <w:highlight w:val="black"/>
        </w:rPr>
      </w:pPr>
      <w:r>
        <w:rPr>
          <w:rFonts w:hint="eastAsia" w:ascii="宋体" w:hAnsi="宋体" w:cs="宋体"/>
          <w:szCs w:val="28"/>
          <w:highlight w:val="black"/>
        </w:rPr>
        <w:t>（1）短路电流计算及电气开关器件的分段能力</w:t>
      </w:r>
    </w:p>
    <w:p w14:paraId="2AC88463">
      <w:pPr>
        <w:ind w:firstLine="560"/>
        <w:rPr>
          <w:rFonts w:ascii="宋体" w:hAnsi="宋体" w:cs="宋体"/>
          <w:szCs w:val="28"/>
          <w:highlight w:val="black"/>
        </w:rPr>
      </w:pPr>
      <w:r>
        <w:rPr>
          <w:rFonts w:hint="eastAsia" w:ascii="宋体" w:hAnsi="宋体" w:cs="宋体"/>
          <w:szCs w:val="28"/>
          <w:highlight w:val="black"/>
        </w:rPr>
        <w:t>选取斜坡道1#、2#变压器一次侧与高压电缆连接处（K1、K2）、回风井变压器一次侧与高压电缆连接处（K3）、井下中央变电所高压母线（K4）为短路点，校验各变压器或母线前侧户外真空断路器分断能力。</w:t>
      </w:r>
    </w:p>
    <w:p w14:paraId="698BA407">
      <w:pPr>
        <w:snapToGrid w:val="0"/>
        <w:spacing w:line="240" w:lineRule="auto"/>
        <w:ind w:firstLine="198" w:firstLineChars="0"/>
        <w:jc w:val="center"/>
        <w:rPr>
          <w:rFonts w:ascii="宋体" w:hAnsi="宋体" w:cs="宋体"/>
          <w:b/>
          <w:sz w:val="21"/>
          <w:szCs w:val="21"/>
          <w:highlight w:val="black"/>
        </w:rPr>
      </w:pPr>
      <w:r>
        <w:rPr>
          <w:rFonts w:hint="eastAsia" w:ascii="宋体" w:hAnsi="宋体" w:cs="宋体"/>
          <w:b/>
          <w:sz w:val="21"/>
          <w:szCs w:val="21"/>
          <w:highlight w:val="black"/>
        </w:rPr>
        <w:t>表2-22 主要用电设备短路电流计算表</w:t>
      </w:r>
    </w:p>
    <w:tbl>
      <w:tblPr>
        <w:tblStyle w:val="25"/>
        <w:tblW w:w="4998"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83"/>
        <w:gridCol w:w="523"/>
        <w:gridCol w:w="1839"/>
        <w:gridCol w:w="2305"/>
        <w:gridCol w:w="3469"/>
      </w:tblGrid>
      <w:tr w14:paraId="1D24AB7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7" w:hRule="atLeast"/>
          <w:jc w:val="center"/>
        </w:trPr>
        <w:tc>
          <w:tcPr>
            <w:tcW w:w="532" w:type="pct"/>
            <w:gridSpan w:val="2"/>
            <w:tcBorders>
              <w:tl2br w:val="nil"/>
              <w:tr2bl w:val="nil"/>
            </w:tcBorders>
            <w:vAlign w:val="center"/>
          </w:tcPr>
          <w:p w14:paraId="2D20871F">
            <w:pPr>
              <w:tabs>
                <w:tab w:val="left" w:pos="0"/>
              </w:tabs>
              <w:spacing w:line="46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短路点</w:t>
            </w:r>
          </w:p>
        </w:tc>
        <w:tc>
          <w:tcPr>
            <w:tcW w:w="1079" w:type="pct"/>
            <w:tcBorders>
              <w:tl2br w:val="nil"/>
              <w:tr2bl w:val="nil"/>
            </w:tcBorders>
            <w:vAlign w:val="center"/>
          </w:tcPr>
          <w:p w14:paraId="53EC7D4A">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电缆长度（km）</w:t>
            </w:r>
          </w:p>
        </w:tc>
        <w:tc>
          <w:tcPr>
            <w:tcW w:w="1352" w:type="pct"/>
            <w:tcBorders>
              <w:tl2br w:val="nil"/>
              <w:tr2bl w:val="nil"/>
            </w:tcBorders>
            <w:vAlign w:val="center"/>
          </w:tcPr>
          <w:p w14:paraId="328F4F3C">
            <w:pPr>
              <w:tabs>
                <w:tab w:val="left" w:pos="0"/>
              </w:tabs>
              <w:spacing w:line="46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三相短路电流（kA）</w:t>
            </w:r>
          </w:p>
        </w:tc>
        <w:tc>
          <w:tcPr>
            <w:tcW w:w="2035" w:type="pct"/>
            <w:tcBorders>
              <w:tl2br w:val="nil"/>
              <w:tr2bl w:val="nil"/>
            </w:tcBorders>
            <w:vAlign w:val="center"/>
          </w:tcPr>
          <w:p w14:paraId="3EDF71FC">
            <w:pPr>
              <w:tabs>
                <w:tab w:val="left" w:pos="0"/>
              </w:tabs>
              <w:spacing w:line="460" w:lineRule="exact"/>
              <w:ind w:firstLine="0" w:firstLineChars="0"/>
              <w:jc w:val="center"/>
              <w:textAlignment w:val="center"/>
              <w:rPr>
                <w:rFonts w:ascii="宋体" w:hAnsi="宋体" w:cs="宋体"/>
                <w:sz w:val="21"/>
                <w:szCs w:val="21"/>
                <w:highlight w:val="black"/>
              </w:rPr>
            </w:pPr>
            <w:r>
              <w:rPr>
                <w:rFonts w:hint="eastAsia" w:ascii="宋体" w:hAnsi="宋体" w:cs="宋体"/>
                <w:kern w:val="0"/>
                <w:sz w:val="21"/>
                <w:szCs w:val="21"/>
                <w:highlight w:val="black"/>
                <w:lang w:bidi="ar"/>
              </w:rPr>
              <w:t>断路器额定短路开断电流（kA）</w:t>
            </w:r>
          </w:p>
        </w:tc>
      </w:tr>
      <w:tr w14:paraId="73699E1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atLeast"/>
          <w:jc w:val="center"/>
        </w:trPr>
        <w:tc>
          <w:tcPr>
            <w:tcW w:w="225" w:type="pct"/>
            <w:tcBorders>
              <w:tl2br w:val="nil"/>
              <w:tr2bl w:val="nil"/>
            </w:tcBorders>
            <w:vAlign w:val="center"/>
          </w:tcPr>
          <w:p w14:paraId="22D1A7D4">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1</w:t>
            </w:r>
          </w:p>
        </w:tc>
        <w:tc>
          <w:tcPr>
            <w:tcW w:w="306" w:type="pct"/>
            <w:tcBorders>
              <w:tl2br w:val="nil"/>
              <w:tr2bl w:val="nil"/>
            </w:tcBorders>
            <w:vAlign w:val="center"/>
          </w:tcPr>
          <w:p w14:paraId="60203612">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K1</w:t>
            </w:r>
          </w:p>
        </w:tc>
        <w:tc>
          <w:tcPr>
            <w:tcW w:w="1079" w:type="pct"/>
            <w:tcBorders>
              <w:tl2br w:val="nil"/>
              <w:tr2bl w:val="nil"/>
            </w:tcBorders>
            <w:vAlign w:val="center"/>
          </w:tcPr>
          <w:p w14:paraId="4EC74A5F">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0.05</w:t>
            </w:r>
          </w:p>
        </w:tc>
        <w:tc>
          <w:tcPr>
            <w:tcW w:w="1352" w:type="pct"/>
            <w:tcBorders>
              <w:tl2br w:val="nil"/>
              <w:tr2bl w:val="nil"/>
            </w:tcBorders>
            <w:vAlign w:val="center"/>
          </w:tcPr>
          <w:p w14:paraId="4E7D05B0">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26.87</w:t>
            </w:r>
          </w:p>
        </w:tc>
        <w:tc>
          <w:tcPr>
            <w:tcW w:w="2035" w:type="pct"/>
            <w:tcBorders>
              <w:tl2br w:val="nil"/>
              <w:tr2bl w:val="nil"/>
            </w:tcBorders>
            <w:vAlign w:val="center"/>
          </w:tcPr>
          <w:p w14:paraId="2D500F59">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31.5</w:t>
            </w:r>
          </w:p>
        </w:tc>
      </w:tr>
      <w:tr w14:paraId="77525BC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225" w:type="pct"/>
            <w:tcBorders>
              <w:tl2br w:val="nil"/>
              <w:tr2bl w:val="nil"/>
            </w:tcBorders>
            <w:vAlign w:val="center"/>
          </w:tcPr>
          <w:p w14:paraId="35E22974">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2</w:t>
            </w:r>
          </w:p>
        </w:tc>
        <w:tc>
          <w:tcPr>
            <w:tcW w:w="306" w:type="pct"/>
            <w:tcBorders>
              <w:tl2br w:val="nil"/>
              <w:tr2bl w:val="nil"/>
            </w:tcBorders>
            <w:vAlign w:val="center"/>
          </w:tcPr>
          <w:p w14:paraId="405D0601">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K2</w:t>
            </w:r>
          </w:p>
        </w:tc>
        <w:tc>
          <w:tcPr>
            <w:tcW w:w="1079" w:type="pct"/>
            <w:tcBorders>
              <w:tl2br w:val="nil"/>
              <w:tr2bl w:val="nil"/>
            </w:tcBorders>
            <w:vAlign w:val="center"/>
          </w:tcPr>
          <w:p w14:paraId="4BBC3D6A">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0.06</w:t>
            </w:r>
          </w:p>
        </w:tc>
        <w:tc>
          <w:tcPr>
            <w:tcW w:w="1352" w:type="pct"/>
            <w:tcBorders>
              <w:tl2br w:val="nil"/>
              <w:tr2bl w:val="nil"/>
            </w:tcBorders>
            <w:vAlign w:val="center"/>
          </w:tcPr>
          <w:p w14:paraId="0F8CD850">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26.72</w:t>
            </w:r>
          </w:p>
        </w:tc>
        <w:tc>
          <w:tcPr>
            <w:tcW w:w="2035" w:type="pct"/>
            <w:tcBorders>
              <w:tl2br w:val="nil"/>
              <w:tr2bl w:val="nil"/>
            </w:tcBorders>
            <w:vAlign w:val="center"/>
          </w:tcPr>
          <w:p w14:paraId="29532F82">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31.5</w:t>
            </w:r>
          </w:p>
        </w:tc>
      </w:tr>
      <w:tr w14:paraId="1838A2D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jc w:val="center"/>
        </w:trPr>
        <w:tc>
          <w:tcPr>
            <w:tcW w:w="225" w:type="pct"/>
            <w:tcBorders>
              <w:tl2br w:val="nil"/>
              <w:tr2bl w:val="nil"/>
            </w:tcBorders>
            <w:vAlign w:val="center"/>
          </w:tcPr>
          <w:p w14:paraId="2D97BB0F">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w:t>
            </w:r>
          </w:p>
        </w:tc>
        <w:tc>
          <w:tcPr>
            <w:tcW w:w="306" w:type="pct"/>
            <w:tcBorders>
              <w:tl2br w:val="nil"/>
              <w:tr2bl w:val="nil"/>
            </w:tcBorders>
            <w:vAlign w:val="center"/>
          </w:tcPr>
          <w:p w14:paraId="30EFF94E">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K3</w:t>
            </w:r>
          </w:p>
        </w:tc>
        <w:tc>
          <w:tcPr>
            <w:tcW w:w="1079" w:type="pct"/>
            <w:tcBorders>
              <w:tl2br w:val="nil"/>
              <w:tr2bl w:val="nil"/>
            </w:tcBorders>
            <w:vAlign w:val="center"/>
          </w:tcPr>
          <w:p w14:paraId="013BEA6D">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0.03</w:t>
            </w:r>
          </w:p>
        </w:tc>
        <w:tc>
          <w:tcPr>
            <w:tcW w:w="1352" w:type="pct"/>
            <w:tcBorders>
              <w:tl2br w:val="nil"/>
              <w:tr2bl w:val="nil"/>
            </w:tcBorders>
            <w:vAlign w:val="center"/>
          </w:tcPr>
          <w:p w14:paraId="729CF6D7">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27.15</w:t>
            </w:r>
          </w:p>
        </w:tc>
        <w:tc>
          <w:tcPr>
            <w:tcW w:w="2035" w:type="pct"/>
            <w:tcBorders>
              <w:tl2br w:val="nil"/>
              <w:tr2bl w:val="nil"/>
            </w:tcBorders>
            <w:vAlign w:val="center"/>
          </w:tcPr>
          <w:p w14:paraId="0AB68C7F">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31.5</w:t>
            </w:r>
          </w:p>
        </w:tc>
      </w:tr>
      <w:tr w14:paraId="5FCFD18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jc w:val="center"/>
        </w:trPr>
        <w:tc>
          <w:tcPr>
            <w:tcW w:w="225" w:type="pct"/>
            <w:tcBorders>
              <w:tl2br w:val="nil"/>
              <w:tr2bl w:val="nil"/>
            </w:tcBorders>
            <w:vAlign w:val="center"/>
          </w:tcPr>
          <w:p w14:paraId="4FCC604F">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4</w:t>
            </w:r>
          </w:p>
        </w:tc>
        <w:tc>
          <w:tcPr>
            <w:tcW w:w="306" w:type="pct"/>
            <w:tcBorders>
              <w:tl2br w:val="nil"/>
              <w:tr2bl w:val="nil"/>
            </w:tcBorders>
            <w:vAlign w:val="center"/>
          </w:tcPr>
          <w:p w14:paraId="6E978BBE">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K4</w:t>
            </w:r>
          </w:p>
        </w:tc>
        <w:tc>
          <w:tcPr>
            <w:tcW w:w="1079" w:type="pct"/>
            <w:tcBorders>
              <w:tl2br w:val="nil"/>
              <w:tr2bl w:val="nil"/>
            </w:tcBorders>
            <w:vAlign w:val="center"/>
          </w:tcPr>
          <w:p w14:paraId="46D8D815">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0.25</w:t>
            </w:r>
          </w:p>
        </w:tc>
        <w:tc>
          <w:tcPr>
            <w:tcW w:w="1352" w:type="pct"/>
            <w:tcBorders>
              <w:tl2br w:val="nil"/>
              <w:tr2bl w:val="nil"/>
            </w:tcBorders>
            <w:vAlign w:val="center"/>
          </w:tcPr>
          <w:p w14:paraId="07E67260">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22.95</w:t>
            </w:r>
          </w:p>
        </w:tc>
        <w:tc>
          <w:tcPr>
            <w:tcW w:w="2035" w:type="pct"/>
            <w:tcBorders>
              <w:tl2br w:val="nil"/>
              <w:tr2bl w:val="nil"/>
            </w:tcBorders>
            <w:vAlign w:val="center"/>
          </w:tcPr>
          <w:p w14:paraId="2EBE9110">
            <w:pPr>
              <w:tabs>
                <w:tab w:val="left" w:pos="0"/>
              </w:tabs>
              <w:spacing w:line="460" w:lineRule="exact"/>
              <w:ind w:firstLine="0" w:firstLineChars="0"/>
              <w:jc w:val="center"/>
              <w:textAlignment w:val="center"/>
              <w:rPr>
                <w:rFonts w:ascii="宋体" w:hAnsi="宋体" w:cs="宋体"/>
                <w:kern w:val="0"/>
                <w:sz w:val="21"/>
                <w:szCs w:val="21"/>
                <w:highlight w:val="black"/>
                <w:lang w:bidi="ar"/>
              </w:rPr>
            </w:pPr>
            <w:r>
              <w:rPr>
                <w:rFonts w:hint="eastAsia" w:ascii="宋体" w:hAnsi="宋体" w:cs="宋体"/>
                <w:kern w:val="0"/>
                <w:sz w:val="21"/>
                <w:szCs w:val="21"/>
                <w:highlight w:val="black"/>
                <w:lang w:bidi="ar"/>
              </w:rPr>
              <w:t>31.5</w:t>
            </w:r>
          </w:p>
        </w:tc>
      </w:tr>
    </w:tbl>
    <w:p w14:paraId="42A60328">
      <w:pPr>
        <w:ind w:firstLine="560"/>
        <w:rPr>
          <w:rFonts w:ascii="宋体" w:hAnsi="宋体" w:cs="宋体"/>
          <w:szCs w:val="28"/>
          <w:highlight w:val="black"/>
        </w:rPr>
      </w:pPr>
      <w:r>
        <w:rPr>
          <w:rFonts w:hint="eastAsia" w:ascii="宋体" w:hAnsi="宋体" w:cs="宋体"/>
          <w:szCs w:val="28"/>
          <w:highlight w:val="black"/>
        </w:rPr>
        <w:t>本次设计电源短路容量按照500MVA计算，对于载流导体采用在满足短路时发热的最高允许温度下所需导体的最小截面积来校验导体的热稳定性。</w:t>
      </w:r>
    </w:p>
    <w:p w14:paraId="75D3EA92">
      <w:pPr>
        <w:ind w:firstLine="560"/>
        <w:rPr>
          <w:rFonts w:ascii="宋体" w:hAnsi="宋体" w:cs="宋体"/>
          <w:szCs w:val="28"/>
          <w:highlight w:val="black"/>
        </w:rPr>
      </w:pPr>
      <w:r>
        <w:rPr>
          <w:rFonts w:ascii="宋体" w:hAnsi="宋体" w:cs="宋体"/>
          <w:szCs w:val="28"/>
          <w:highlight w:val="black"/>
        </w:rPr>
        <w:t>矿山主要电力元器件的选择及电力电缆截面的选择，按允许电流、允许的电压损失及短路电流热稳定进行校验后满足动、热稳定性要求，安全可靠</w:t>
      </w:r>
      <w:r>
        <w:rPr>
          <w:rFonts w:hint="eastAsia" w:ascii="宋体" w:hAnsi="宋体" w:cs="宋体"/>
          <w:szCs w:val="28"/>
          <w:highlight w:val="black"/>
        </w:rPr>
        <w:t>。</w:t>
      </w:r>
    </w:p>
    <w:p w14:paraId="5DDAE975">
      <w:pPr>
        <w:ind w:firstLine="560"/>
        <w:rPr>
          <w:rFonts w:ascii="宋体" w:hAnsi="宋体" w:cs="宋体"/>
          <w:szCs w:val="28"/>
          <w:highlight w:val="black"/>
        </w:rPr>
      </w:pPr>
      <w:r>
        <w:rPr>
          <w:rFonts w:hint="eastAsia" w:ascii="宋体" w:hAnsi="宋体" w:cs="宋体"/>
          <w:szCs w:val="28"/>
          <w:highlight w:val="black"/>
        </w:rPr>
        <w:t>（2）</w:t>
      </w:r>
      <w:r>
        <w:rPr>
          <w:rFonts w:ascii="宋体" w:hAnsi="宋体" w:cs="宋体"/>
          <w:szCs w:val="28"/>
          <w:highlight w:val="black"/>
        </w:rPr>
        <w:t>各用电设备和配电线路的继电保护设置情况和保护配置</w:t>
      </w:r>
    </w:p>
    <w:p w14:paraId="323B289D">
      <w:pPr>
        <w:snapToGrid w:val="0"/>
        <w:spacing w:line="240" w:lineRule="auto"/>
        <w:ind w:firstLine="198" w:firstLineChars="0"/>
        <w:jc w:val="center"/>
        <w:rPr>
          <w:rFonts w:ascii="宋体" w:hAnsi="宋体" w:cs="宋体"/>
          <w:b/>
          <w:sz w:val="21"/>
          <w:szCs w:val="21"/>
          <w:highlight w:val="black"/>
        </w:rPr>
      </w:pPr>
      <w:r>
        <w:rPr>
          <w:rFonts w:hint="eastAsia" w:ascii="宋体" w:hAnsi="宋体" w:cs="宋体"/>
          <w:b/>
          <w:sz w:val="21"/>
          <w:szCs w:val="21"/>
          <w:highlight w:val="black"/>
        </w:rPr>
        <w:t>表2-23  继电保护装置设置表</w:t>
      </w:r>
    </w:p>
    <w:tbl>
      <w:tblPr>
        <w:tblStyle w:val="25"/>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2"/>
        <w:gridCol w:w="2005"/>
        <w:gridCol w:w="4980"/>
        <w:gridCol w:w="810"/>
      </w:tblGrid>
      <w:tr w14:paraId="1E926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454" w:hRule="atLeast"/>
          <w:tblHeader/>
        </w:trPr>
        <w:tc>
          <w:tcPr>
            <w:tcW w:w="424" w:type="pct"/>
            <w:tcBorders>
              <w:tl2br w:val="nil"/>
              <w:tr2bl w:val="nil"/>
            </w:tcBorders>
            <w:vAlign w:val="center"/>
          </w:tcPr>
          <w:p w14:paraId="2291D339">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序号</w:t>
            </w:r>
          </w:p>
        </w:tc>
        <w:tc>
          <w:tcPr>
            <w:tcW w:w="1177" w:type="pct"/>
            <w:tcBorders>
              <w:tl2br w:val="nil"/>
              <w:tr2bl w:val="nil"/>
            </w:tcBorders>
            <w:vAlign w:val="center"/>
          </w:tcPr>
          <w:p w14:paraId="4F60F06C">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名称</w:t>
            </w:r>
          </w:p>
        </w:tc>
        <w:tc>
          <w:tcPr>
            <w:tcW w:w="2923" w:type="pct"/>
            <w:tcBorders>
              <w:tl2br w:val="nil"/>
              <w:tr2bl w:val="nil"/>
            </w:tcBorders>
            <w:vAlign w:val="center"/>
          </w:tcPr>
          <w:p w14:paraId="54F43A59">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继电保护及自动装置</w:t>
            </w:r>
          </w:p>
        </w:tc>
        <w:tc>
          <w:tcPr>
            <w:tcW w:w="475" w:type="pct"/>
            <w:tcBorders>
              <w:tl2br w:val="nil"/>
              <w:tr2bl w:val="nil"/>
            </w:tcBorders>
            <w:vAlign w:val="center"/>
          </w:tcPr>
          <w:p w14:paraId="386F3D60">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备注</w:t>
            </w:r>
          </w:p>
        </w:tc>
      </w:tr>
      <w:tr w14:paraId="19ACA5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7243846A">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w:t>
            </w:r>
          </w:p>
        </w:tc>
        <w:tc>
          <w:tcPr>
            <w:tcW w:w="1177" w:type="pct"/>
            <w:tcBorders>
              <w:tl2br w:val="nil"/>
              <w:tr2bl w:val="nil"/>
            </w:tcBorders>
            <w:vAlign w:val="center"/>
          </w:tcPr>
          <w:p w14:paraId="233BD97C">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10kV/0.4kV变压器</w:t>
            </w:r>
          </w:p>
        </w:tc>
        <w:tc>
          <w:tcPr>
            <w:tcW w:w="2923" w:type="pct"/>
            <w:tcBorders>
              <w:tl2br w:val="nil"/>
              <w:tr2bl w:val="nil"/>
            </w:tcBorders>
            <w:vAlign w:val="center"/>
          </w:tcPr>
          <w:p w14:paraId="4A133101">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电流速断保护；</w:t>
            </w:r>
          </w:p>
          <w:p w14:paraId="5D4BCDBA">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带时限过电流保护；</w:t>
            </w:r>
          </w:p>
          <w:p w14:paraId="402034A8">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低压侧单相接地保护；</w:t>
            </w:r>
          </w:p>
          <w:p w14:paraId="2E90F3F0">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过负荷保护。</w:t>
            </w:r>
          </w:p>
        </w:tc>
        <w:tc>
          <w:tcPr>
            <w:tcW w:w="475" w:type="pct"/>
            <w:tcBorders>
              <w:tl2br w:val="nil"/>
              <w:tr2bl w:val="nil"/>
            </w:tcBorders>
            <w:vAlign w:val="center"/>
          </w:tcPr>
          <w:p w14:paraId="09EB0F0A">
            <w:pPr>
              <w:adjustRightInd w:val="0"/>
              <w:snapToGrid w:val="0"/>
              <w:spacing w:line="400" w:lineRule="atLeast"/>
              <w:ind w:firstLine="0" w:firstLineChars="0"/>
              <w:jc w:val="center"/>
              <w:rPr>
                <w:rFonts w:ascii="宋体" w:hAnsi="宋体" w:cs="宋体"/>
                <w:sz w:val="21"/>
                <w:szCs w:val="21"/>
                <w:highlight w:val="black"/>
              </w:rPr>
            </w:pPr>
          </w:p>
        </w:tc>
      </w:tr>
      <w:tr w14:paraId="69B25F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0F5EF27E">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w:t>
            </w:r>
          </w:p>
        </w:tc>
        <w:tc>
          <w:tcPr>
            <w:tcW w:w="1177" w:type="pct"/>
            <w:tcBorders>
              <w:tl2br w:val="nil"/>
              <w:tr2bl w:val="nil"/>
            </w:tcBorders>
            <w:vAlign w:val="center"/>
          </w:tcPr>
          <w:p w14:paraId="48899368">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低压电力电容器</w:t>
            </w:r>
          </w:p>
        </w:tc>
        <w:tc>
          <w:tcPr>
            <w:tcW w:w="2923" w:type="pct"/>
            <w:tcBorders>
              <w:tl2br w:val="nil"/>
              <w:tr2bl w:val="nil"/>
            </w:tcBorders>
            <w:vAlign w:val="center"/>
          </w:tcPr>
          <w:p w14:paraId="60E8C922">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带时限电流速断保护和过电流保护；</w:t>
            </w:r>
          </w:p>
          <w:p w14:paraId="5D78FAB6">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过负荷保护；单相接地保护；</w:t>
            </w:r>
          </w:p>
          <w:p w14:paraId="0536FE66">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过电压保护；低电压保护；</w:t>
            </w:r>
          </w:p>
          <w:p w14:paraId="29CA4036">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不平衡电流（或电压）保护。</w:t>
            </w:r>
          </w:p>
        </w:tc>
        <w:tc>
          <w:tcPr>
            <w:tcW w:w="475" w:type="pct"/>
            <w:tcBorders>
              <w:tl2br w:val="nil"/>
              <w:tr2bl w:val="nil"/>
            </w:tcBorders>
            <w:vAlign w:val="center"/>
          </w:tcPr>
          <w:p w14:paraId="4F0E1116">
            <w:pPr>
              <w:adjustRightInd w:val="0"/>
              <w:snapToGrid w:val="0"/>
              <w:spacing w:line="400" w:lineRule="atLeast"/>
              <w:ind w:firstLine="0" w:firstLineChars="0"/>
              <w:jc w:val="center"/>
              <w:rPr>
                <w:rFonts w:ascii="宋体" w:hAnsi="宋体" w:cs="宋体"/>
                <w:sz w:val="21"/>
                <w:szCs w:val="21"/>
                <w:highlight w:val="black"/>
              </w:rPr>
            </w:pPr>
          </w:p>
        </w:tc>
      </w:tr>
      <w:tr w14:paraId="2729A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7AF511F8">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w:t>
            </w:r>
          </w:p>
        </w:tc>
        <w:tc>
          <w:tcPr>
            <w:tcW w:w="1177" w:type="pct"/>
            <w:tcBorders>
              <w:tl2br w:val="nil"/>
              <w:tr2bl w:val="nil"/>
            </w:tcBorders>
            <w:vAlign w:val="center"/>
          </w:tcPr>
          <w:p w14:paraId="26BF434B">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母线分段断路器</w:t>
            </w:r>
          </w:p>
        </w:tc>
        <w:tc>
          <w:tcPr>
            <w:tcW w:w="2923" w:type="pct"/>
            <w:tcBorders>
              <w:tl2br w:val="nil"/>
              <w:tr2bl w:val="nil"/>
            </w:tcBorders>
            <w:vAlign w:val="center"/>
          </w:tcPr>
          <w:p w14:paraId="128552D0">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电流速断保护；过电流保护。</w:t>
            </w:r>
          </w:p>
        </w:tc>
        <w:tc>
          <w:tcPr>
            <w:tcW w:w="475" w:type="pct"/>
            <w:tcBorders>
              <w:tl2br w:val="nil"/>
              <w:tr2bl w:val="nil"/>
            </w:tcBorders>
            <w:vAlign w:val="center"/>
          </w:tcPr>
          <w:p w14:paraId="1FC6C2BE">
            <w:pPr>
              <w:adjustRightInd w:val="0"/>
              <w:snapToGrid w:val="0"/>
              <w:spacing w:line="400" w:lineRule="atLeast"/>
              <w:ind w:firstLine="0" w:firstLineChars="0"/>
              <w:jc w:val="center"/>
              <w:rPr>
                <w:rFonts w:ascii="宋体" w:hAnsi="宋体" w:cs="宋体"/>
                <w:sz w:val="21"/>
                <w:szCs w:val="21"/>
                <w:highlight w:val="black"/>
              </w:rPr>
            </w:pPr>
          </w:p>
        </w:tc>
      </w:tr>
      <w:tr w14:paraId="62911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0469883A">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1177" w:type="pct"/>
            <w:tcBorders>
              <w:tl2br w:val="nil"/>
              <w:tr2bl w:val="nil"/>
            </w:tcBorders>
            <w:vAlign w:val="center"/>
          </w:tcPr>
          <w:p w14:paraId="5F9BCE58">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低压电气保护</w:t>
            </w:r>
          </w:p>
        </w:tc>
        <w:tc>
          <w:tcPr>
            <w:tcW w:w="2923" w:type="pct"/>
            <w:tcBorders>
              <w:tl2br w:val="nil"/>
              <w:tr2bl w:val="nil"/>
            </w:tcBorders>
            <w:vAlign w:val="center"/>
          </w:tcPr>
          <w:p w14:paraId="7747E56D">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对低压电动机设短路保护、过载保护、断相保护、低电压保护、接地故障保护等。</w:t>
            </w:r>
          </w:p>
        </w:tc>
        <w:tc>
          <w:tcPr>
            <w:tcW w:w="475" w:type="pct"/>
            <w:tcBorders>
              <w:tl2br w:val="nil"/>
              <w:tr2bl w:val="nil"/>
            </w:tcBorders>
            <w:vAlign w:val="center"/>
          </w:tcPr>
          <w:p w14:paraId="1C39702D">
            <w:pPr>
              <w:adjustRightInd w:val="0"/>
              <w:snapToGrid w:val="0"/>
              <w:spacing w:line="400" w:lineRule="atLeast"/>
              <w:ind w:firstLine="0" w:firstLineChars="0"/>
              <w:jc w:val="center"/>
              <w:rPr>
                <w:rFonts w:ascii="宋体" w:hAnsi="宋体" w:cs="宋体"/>
                <w:sz w:val="21"/>
                <w:szCs w:val="21"/>
                <w:highlight w:val="black"/>
              </w:rPr>
            </w:pPr>
          </w:p>
        </w:tc>
      </w:tr>
      <w:tr w14:paraId="18AA5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7469B1B8">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w:t>
            </w:r>
          </w:p>
        </w:tc>
        <w:tc>
          <w:tcPr>
            <w:tcW w:w="1177" w:type="pct"/>
            <w:tcBorders>
              <w:tl2br w:val="nil"/>
              <w:tr2bl w:val="nil"/>
            </w:tcBorders>
            <w:vAlign w:val="center"/>
          </w:tcPr>
          <w:p w14:paraId="15D3D243">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井下低压配电系统故障（间接接触）防护装置</w:t>
            </w:r>
          </w:p>
        </w:tc>
        <w:tc>
          <w:tcPr>
            <w:tcW w:w="2923" w:type="pct"/>
            <w:tcBorders>
              <w:tl2br w:val="nil"/>
              <w:tr2bl w:val="nil"/>
            </w:tcBorders>
            <w:vAlign w:val="center"/>
          </w:tcPr>
          <w:p w14:paraId="7A3615E6">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低压配电IT系统应装设绝缘监视系统，当绝缘下降至整定值时，应由绝缘监视器发出可听或可见信号。</w:t>
            </w:r>
          </w:p>
          <w:p w14:paraId="07F3164A">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从井下低压配电室引出的低压馈出线应装设带有过电流保护的断路器。</w:t>
            </w:r>
          </w:p>
        </w:tc>
        <w:tc>
          <w:tcPr>
            <w:tcW w:w="475" w:type="pct"/>
            <w:tcBorders>
              <w:tl2br w:val="nil"/>
              <w:tr2bl w:val="nil"/>
            </w:tcBorders>
            <w:vAlign w:val="center"/>
          </w:tcPr>
          <w:p w14:paraId="13AAC092">
            <w:pPr>
              <w:adjustRightInd w:val="0"/>
              <w:snapToGrid w:val="0"/>
              <w:spacing w:line="400" w:lineRule="atLeast"/>
              <w:ind w:firstLine="0" w:firstLineChars="0"/>
              <w:jc w:val="center"/>
              <w:rPr>
                <w:rFonts w:ascii="宋体" w:hAnsi="宋体" w:cs="宋体"/>
                <w:sz w:val="21"/>
                <w:szCs w:val="21"/>
                <w:highlight w:val="black"/>
              </w:rPr>
            </w:pPr>
          </w:p>
        </w:tc>
      </w:tr>
      <w:tr w14:paraId="1668C0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58E0C47A">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6</w:t>
            </w:r>
          </w:p>
        </w:tc>
        <w:tc>
          <w:tcPr>
            <w:tcW w:w="1177" w:type="pct"/>
            <w:tcBorders>
              <w:tl2br w:val="nil"/>
              <w:tr2bl w:val="nil"/>
            </w:tcBorders>
            <w:vAlign w:val="center"/>
          </w:tcPr>
          <w:p w14:paraId="41DE704F">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低压侧漏电保护</w:t>
            </w:r>
          </w:p>
        </w:tc>
        <w:tc>
          <w:tcPr>
            <w:tcW w:w="2923" w:type="pct"/>
            <w:tcBorders>
              <w:tl2br w:val="nil"/>
              <w:tr2bl w:val="nil"/>
            </w:tcBorders>
            <w:vAlign w:val="center"/>
          </w:tcPr>
          <w:p w14:paraId="0D87676F">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当发生对外露导电部分或对地的单一接地故障且预期接触电压超过36V时，综合选漏保护装置能在0.1s内迅速切断故障线路，并且同时发出声、光报警信号。</w:t>
            </w:r>
          </w:p>
          <w:p w14:paraId="1E97D3E9">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保护装置装在低压三相三线制的中性点不接地供电系统中，防止人身触电事故，防止漏散电电流的电火花，引发爆炸等危险发生。</w:t>
            </w:r>
          </w:p>
        </w:tc>
        <w:tc>
          <w:tcPr>
            <w:tcW w:w="475" w:type="pct"/>
            <w:tcBorders>
              <w:tl2br w:val="nil"/>
              <w:tr2bl w:val="nil"/>
            </w:tcBorders>
            <w:vAlign w:val="center"/>
          </w:tcPr>
          <w:p w14:paraId="41A9492B">
            <w:pPr>
              <w:adjustRightInd w:val="0"/>
              <w:snapToGrid w:val="0"/>
              <w:spacing w:line="400" w:lineRule="atLeast"/>
              <w:ind w:firstLine="0" w:firstLineChars="0"/>
              <w:jc w:val="center"/>
              <w:rPr>
                <w:rFonts w:ascii="宋体" w:hAnsi="宋体" w:cs="宋体"/>
                <w:sz w:val="21"/>
                <w:szCs w:val="21"/>
                <w:highlight w:val="black"/>
              </w:rPr>
            </w:pPr>
          </w:p>
        </w:tc>
      </w:tr>
      <w:tr w14:paraId="310260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4BBF0B4F">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w:t>
            </w:r>
          </w:p>
        </w:tc>
        <w:tc>
          <w:tcPr>
            <w:tcW w:w="1177" w:type="pct"/>
            <w:tcBorders>
              <w:tl2br w:val="nil"/>
              <w:tr2bl w:val="nil"/>
            </w:tcBorders>
            <w:vAlign w:val="center"/>
          </w:tcPr>
          <w:p w14:paraId="7B21B827">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井下保护接地</w:t>
            </w:r>
          </w:p>
        </w:tc>
        <w:tc>
          <w:tcPr>
            <w:tcW w:w="2923" w:type="pct"/>
            <w:tcBorders>
              <w:tl2br w:val="nil"/>
              <w:tr2bl w:val="nil"/>
            </w:tcBorders>
            <w:vAlign w:val="center"/>
          </w:tcPr>
          <w:p w14:paraId="57A2A3EE">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将电气设备的所有不带电的外露金属部分与直埋地下的接地极连接起来，使电气设备因漏电产生的对地电压降低。</w:t>
            </w:r>
          </w:p>
        </w:tc>
        <w:tc>
          <w:tcPr>
            <w:tcW w:w="475" w:type="pct"/>
            <w:tcBorders>
              <w:tl2br w:val="nil"/>
              <w:tr2bl w:val="nil"/>
            </w:tcBorders>
            <w:vAlign w:val="center"/>
          </w:tcPr>
          <w:p w14:paraId="1577D3BB">
            <w:pPr>
              <w:adjustRightInd w:val="0"/>
              <w:snapToGrid w:val="0"/>
              <w:spacing w:line="400" w:lineRule="atLeast"/>
              <w:ind w:firstLine="0" w:firstLineChars="0"/>
              <w:jc w:val="center"/>
              <w:rPr>
                <w:rFonts w:ascii="宋体" w:hAnsi="宋体" w:cs="宋体"/>
                <w:sz w:val="21"/>
                <w:szCs w:val="21"/>
                <w:highlight w:val="black"/>
              </w:rPr>
            </w:pPr>
          </w:p>
        </w:tc>
      </w:tr>
      <w:tr w14:paraId="742374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433C4DB0">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w:t>
            </w:r>
          </w:p>
        </w:tc>
        <w:tc>
          <w:tcPr>
            <w:tcW w:w="1177" w:type="pct"/>
            <w:tcBorders>
              <w:tl2br w:val="nil"/>
              <w:tr2bl w:val="nil"/>
            </w:tcBorders>
            <w:vAlign w:val="center"/>
          </w:tcPr>
          <w:p w14:paraId="7B7D2E34">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井下低压过电流保护</w:t>
            </w:r>
          </w:p>
        </w:tc>
        <w:tc>
          <w:tcPr>
            <w:tcW w:w="2923" w:type="pct"/>
            <w:tcBorders>
              <w:tl2br w:val="nil"/>
              <w:tr2bl w:val="nil"/>
            </w:tcBorders>
            <w:vAlign w:val="center"/>
          </w:tcPr>
          <w:p w14:paraId="0C6275DB">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电路中根据实际所带负荷接入断路器。当线路和电气设备的工作电流超过规定的允许值时，自动切断电源，从而保护线路和电气设备的安全。</w:t>
            </w:r>
          </w:p>
        </w:tc>
        <w:tc>
          <w:tcPr>
            <w:tcW w:w="475" w:type="pct"/>
            <w:tcBorders>
              <w:tl2br w:val="nil"/>
              <w:tr2bl w:val="nil"/>
            </w:tcBorders>
            <w:vAlign w:val="center"/>
          </w:tcPr>
          <w:p w14:paraId="38501ADD">
            <w:pPr>
              <w:adjustRightInd w:val="0"/>
              <w:snapToGrid w:val="0"/>
              <w:spacing w:line="400" w:lineRule="atLeast"/>
              <w:ind w:firstLine="0" w:firstLineChars="0"/>
              <w:jc w:val="center"/>
              <w:rPr>
                <w:rFonts w:ascii="宋体" w:hAnsi="宋体" w:cs="宋体"/>
                <w:sz w:val="21"/>
                <w:szCs w:val="21"/>
                <w:highlight w:val="black"/>
              </w:rPr>
            </w:pPr>
          </w:p>
        </w:tc>
      </w:tr>
      <w:tr w14:paraId="0610E6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424" w:type="pct"/>
            <w:tcBorders>
              <w:tl2br w:val="nil"/>
              <w:tr2bl w:val="nil"/>
            </w:tcBorders>
            <w:vAlign w:val="center"/>
          </w:tcPr>
          <w:p w14:paraId="0F4BEC8C">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9</w:t>
            </w:r>
          </w:p>
        </w:tc>
        <w:tc>
          <w:tcPr>
            <w:tcW w:w="1177" w:type="pct"/>
            <w:tcBorders>
              <w:tl2br w:val="nil"/>
              <w:tr2bl w:val="nil"/>
            </w:tcBorders>
            <w:vAlign w:val="center"/>
          </w:tcPr>
          <w:p w14:paraId="6EBE7A38">
            <w:pPr>
              <w:adjustRightInd w:val="0"/>
              <w:snapToGrid w:val="0"/>
              <w:spacing w:line="40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自动重合闸装置</w:t>
            </w:r>
          </w:p>
        </w:tc>
        <w:tc>
          <w:tcPr>
            <w:tcW w:w="2923" w:type="pct"/>
            <w:tcBorders>
              <w:tl2br w:val="nil"/>
              <w:tr2bl w:val="nil"/>
            </w:tcBorders>
            <w:vAlign w:val="center"/>
          </w:tcPr>
          <w:p w14:paraId="1C639B80">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低压配电系统均不得设置自动重合闸装置；</w:t>
            </w:r>
          </w:p>
          <w:p w14:paraId="3451395E">
            <w:pPr>
              <w:adjustRightInd w:val="0"/>
              <w:snapToGrid w:val="0"/>
              <w:spacing w:line="400" w:lineRule="atLeast"/>
              <w:ind w:firstLine="0" w:firstLineChars="0"/>
              <w:rPr>
                <w:rFonts w:ascii="宋体" w:hAnsi="宋体" w:cs="宋体"/>
                <w:sz w:val="21"/>
                <w:szCs w:val="21"/>
                <w:highlight w:val="black"/>
              </w:rPr>
            </w:pPr>
            <w:r>
              <w:rPr>
                <w:rFonts w:hint="eastAsia" w:ascii="宋体" w:hAnsi="宋体" w:cs="宋体"/>
                <w:sz w:val="21"/>
                <w:szCs w:val="21"/>
                <w:highlight w:val="black"/>
              </w:rPr>
              <w:t>向井下供电的线路不得装设自动重合闸装置。</w:t>
            </w:r>
          </w:p>
        </w:tc>
        <w:tc>
          <w:tcPr>
            <w:tcW w:w="475" w:type="pct"/>
            <w:tcBorders>
              <w:tl2br w:val="nil"/>
              <w:tr2bl w:val="nil"/>
            </w:tcBorders>
            <w:vAlign w:val="center"/>
          </w:tcPr>
          <w:p w14:paraId="2B12AA02">
            <w:pPr>
              <w:adjustRightInd w:val="0"/>
              <w:snapToGrid w:val="0"/>
              <w:spacing w:line="400" w:lineRule="atLeast"/>
              <w:ind w:firstLine="0" w:firstLineChars="0"/>
              <w:jc w:val="center"/>
              <w:rPr>
                <w:rFonts w:ascii="宋体" w:hAnsi="宋体" w:cs="宋体"/>
                <w:sz w:val="21"/>
                <w:szCs w:val="21"/>
                <w:highlight w:val="black"/>
              </w:rPr>
            </w:pPr>
          </w:p>
        </w:tc>
      </w:tr>
    </w:tbl>
    <w:p w14:paraId="51779731">
      <w:pPr>
        <w:pStyle w:val="65"/>
        <w:numPr>
          <w:ilvl w:val="3"/>
          <w:numId w:val="0"/>
        </w:numPr>
        <w:ind w:firstLine="560" w:firstLineChars="200"/>
        <w:rPr>
          <w:rFonts w:ascii="宋体" w:hAnsi="宋体" w:cs="宋体"/>
          <w:b w:val="0"/>
          <w:bCs/>
          <w:szCs w:val="28"/>
          <w:highlight w:val="black"/>
        </w:rPr>
      </w:pPr>
      <w:r>
        <w:rPr>
          <w:rFonts w:hint="eastAsia" w:ascii="宋体" w:hAnsi="宋体" w:cs="宋体"/>
          <w:b w:val="0"/>
          <w:bCs/>
          <w:szCs w:val="28"/>
          <w:highlight w:val="black"/>
        </w:rPr>
        <w:t>（3）井下直流牵引变电所电气保护设施、直流牵引网络安全措施</w:t>
      </w:r>
    </w:p>
    <w:p w14:paraId="73F01A20">
      <w:pPr>
        <w:adjustRightInd w:val="0"/>
        <w:snapToGrid w:val="0"/>
        <w:spacing w:line="520" w:lineRule="atLeast"/>
        <w:ind w:firstLine="520" w:firstLineChars="0"/>
        <w:rPr>
          <w:rFonts w:ascii="宋体" w:hAnsi="宋体" w:cs="宋体"/>
          <w:szCs w:val="28"/>
          <w:highlight w:val="black"/>
        </w:rPr>
      </w:pPr>
      <w:r>
        <w:rPr>
          <w:rFonts w:hint="eastAsia" w:ascii="宋体" w:hAnsi="宋体" w:cs="宋体"/>
          <w:szCs w:val="28"/>
          <w:highlight w:val="black"/>
        </w:rPr>
        <w:t>本设计井下无直流牵引变电所。</w:t>
      </w:r>
    </w:p>
    <w:p w14:paraId="5D2729F8">
      <w:pPr>
        <w:pStyle w:val="65"/>
        <w:numPr>
          <w:ilvl w:val="3"/>
          <w:numId w:val="0"/>
        </w:numPr>
        <w:ind w:firstLine="560" w:firstLineChars="200"/>
        <w:rPr>
          <w:rFonts w:ascii="宋体" w:hAnsi="宋体" w:cs="宋体"/>
          <w:b w:val="0"/>
          <w:bCs/>
          <w:szCs w:val="28"/>
          <w:highlight w:val="black"/>
        </w:rPr>
      </w:pPr>
      <w:r>
        <w:rPr>
          <w:rFonts w:hint="eastAsia" w:ascii="宋体" w:hAnsi="宋体" w:cs="宋体"/>
          <w:b w:val="0"/>
          <w:bCs/>
          <w:szCs w:val="28"/>
          <w:highlight w:val="black"/>
        </w:rPr>
        <w:t>（4）井下牵引变电所接地设施</w:t>
      </w:r>
    </w:p>
    <w:p w14:paraId="4282021C">
      <w:pPr>
        <w:adjustRightInd w:val="0"/>
        <w:snapToGrid w:val="0"/>
        <w:spacing w:line="520" w:lineRule="atLeast"/>
        <w:ind w:firstLine="520" w:firstLineChars="0"/>
        <w:rPr>
          <w:rFonts w:ascii="宋体" w:hAnsi="宋体" w:cs="宋体"/>
          <w:szCs w:val="28"/>
          <w:highlight w:val="black"/>
        </w:rPr>
      </w:pPr>
      <w:r>
        <w:rPr>
          <w:rFonts w:hint="eastAsia" w:ascii="宋体" w:hAnsi="宋体" w:cs="宋体"/>
          <w:szCs w:val="28"/>
          <w:highlight w:val="black"/>
        </w:rPr>
        <w:t>本设计井下无直流牵引变电所。</w:t>
      </w:r>
    </w:p>
    <w:p w14:paraId="1097BF0C">
      <w:pPr>
        <w:pStyle w:val="65"/>
        <w:numPr>
          <w:ilvl w:val="3"/>
          <w:numId w:val="0"/>
        </w:numPr>
        <w:ind w:firstLine="560" w:firstLineChars="200"/>
        <w:rPr>
          <w:rFonts w:ascii="宋体" w:hAnsi="宋体" w:cs="宋体"/>
          <w:b w:val="0"/>
          <w:bCs/>
          <w:szCs w:val="28"/>
          <w:highlight w:val="black"/>
        </w:rPr>
      </w:pPr>
      <w:r>
        <w:rPr>
          <w:rFonts w:hint="eastAsia" w:ascii="宋体" w:hAnsi="宋体" w:cs="宋体"/>
          <w:b w:val="0"/>
          <w:bCs/>
          <w:szCs w:val="28"/>
          <w:highlight w:val="black"/>
        </w:rPr>
        <w:t>（5）地表向井下供电线路</w:t>
      </w:r>
    </w:p>
    <w:p w14:paraId="2888DECA">
      <w:pPr>
        <w:adjustRightInd w:val="0"/>
        <w:snapToGrid w:val="0"/>
        <w:spacing w:line="520" w:lineRule="atLeast"/>
        <w:ind w:firstLine="520" w:firstLineChars="0"/>
        <w:rPr>
          <w:rFonts w:ascii="宋体" w:hAnsi="宋体" w:cs="宋体"/>
          <w:szCs w:val="28"/>
          <w:highlight w:val="black"/>
        </w:rPr>
      </w:pPr>
      <w:r>
        <w:rPr>
          <w:rFonts w:hint="eastAsia" w:ascii="宋体" w:hAnsi="宋体" w:cs="宋体"/>
          <w:szCs w:val="28"/>
          <w:highlight w:val="black"/>
        </w:rPr>
        <w:t>井下最大用电负荷453kW（最大排水时），地表配电室至中央变电所距离250m。</w:t>
      </w:r>
    </w:p>
    <w:p w14:paraId="25D7C466">
      <w:pPr>
        <w:adjustRightInd w:val="0"/>
        <w:snapToGrid w:val="0"/>
        <w:spacing w:line="520" w:lineRule="atLeast"/>
        <w:ind w:firstLine="520" w:firstLineChars="0"/>
        <w:rPr>
          <w:rFonts w:ascii="宋体" w:hAnsi="宋体" w:cs="宋体"/>
          <w:szCs w:val="28"/>
          <w:highlight w:val="black"/>
          <w:lang w:val="zh-CN"/>
        </w:rPr>
      </w:pPr>
      <w:r>
        <w:rPr>
          <w:rFonts w:hint="eastAsia" w:ascii="宋体" w:hAnsi="宋体" w:cs="宋体"/>
          <w:szCs w:val="28"/>
          <w:highlight w:val="black"/>
        </w:rPr>
        <w:t>1）</w:t>
      </w:r>
      <w:r>
        <w:rPr>
          <w:rFonts w:hint="eastAsia" w:ascii="宋体" w:hAnsi="宋体" w:cs="宋体"/>
          <w:szCs w:val="28"/>
          <w:highlight w:val="black"/>
          <w:lang w:val="zh-CN"/>
        </w:rPr>
        <w:t>按长时允许电流选择导线截面</w:t>
      </w:r>
    </w:p>
    <w:p w14:paraId="61964ECD">
      <w:pPr>
        <w:tabs>
          <w:tab w:val="left" w:pos="0"/>
        </w:tabs>
        <w:spacing w:line="360" w:lineRule="auto"/>
        <w:ind w:left="560" w:firstLine="560"/>
        <w:rPr>
          <w:rFonts w:ascii="宋体" w:hAnsi="宋体" w:cs="宋体"/>
          <w:szCs w:val="28"/>
          <w:highlight w:val="black"/>
          <w:vertAlign w:val="subscript"/>
          <w:lang w:val="zh-CN"/>
        </w:rPr>
      </w:pPr>
      <w:r>
        <w:rPr>
          <w:rFonts w:hint="eastAsia" w:ascii="宋体" w:hAnsi="宋体" w:cs="宋体"/>
          <w:szCs w:val="28"/>
          <w:highlight w:val="black"/>
          <w:lang w:val="zh-CN"/>
        </w:rPr>
        <w:t>I</w:t>
      </w:r>
      <w:r>
        <w:rPr>
          <w:rFonts w:hint="eastAsia" w:ascii="宋体" w:hAnsi="宋体" w:cs="宋体"/>
          <w:szCs w:val="28"/>
          <w:highlight w:val="black"/>
          <w:vertAlign w:val="subscript"/>
          <w:lang w:val="zh-CN"/>
        </w:rPr>
        <w:t>p</w:t>
      </w:r>
      <w:r>
        <w:rPr>
          <w:rFonts w:hint="eastAsia" w:ascii="宋体" w:hAnsi="宋体" w:cs="宋体"/>
          <w:szCs w:val="28"/>
          <w:highlight w:val="black"/>
          <w:lang w:val="zh-CN"/>
        </w:rPr>
        <w:t>≥I</w:t>
      </w:r>
      <w:r>
        <w:rPr>
          <w:rFonts w:hint="eastAsia" w:ascii="宋体" w:hAnsi="宋体" w:cs="宋体"/>
          <w:szCs w:val="28"/>
          <w:highlight w:val="black"/>
          <w:vertAlign w:val="subscript"/>
          <w:lang w:val="zh-CN"/>
        </w:rPr>
        <w:t>ca</w:t>
      </w:r>
    </w:p>
    <w:p w14:paraId="5E59EED4">
      <w:pPr>
        <w:tabs>
          <w:tab w:val="left" w:pos="0"/>
        </w:tabs>
        <w:spacing w:line="360" w:lineRule="auto"/>
        <w:ind w:firstLine="0" w:firstLineChars="0"/>
        <w:rPr>
          <w:rFonts w:ascii="宋体" w:hAnsi="宋体" w:cs="宋体"/>
          <w:szCs w:val="28"/>
          <w:highlight w:val="black"/>
          <w:lang w:val="zh-CN"/>
        </w:rPr>
      </w:pPr>
      <w:r>
        <w:rPr>
          <w:rFonts w:hint="eastAsia" w:ascii="宋体" w:hAnsi="宋体" w:cs="宋体"/>
          <w:szCs w:val="28"/>
          <w:highlight w:val="black"/>
          <w:lang w:val="zh-CN"/>
        </w:rPr>
        <w:t>式中：  I</w:t>
      </w:r>
      <w:r>
        <w:rPr>
          <w:rFonts w:hint="eastAsia" w:ascii="宋体" w:hAnsi="宋体" w:cs="宋体"/>
          <w:szCs w:val="28"/>
          <w:highlight w:val="black"/>
          <w:vertAlign w:val="subscript"/>
          <w:lang w:val="zh-CN"/>
        </w:rPr>
        <w:t>p</w:t>
      </w:r>
      <w:r>
        <w:rPr>
          <w:rFonts w:hint="eastAsia" w:ascii="宋体" w:hAnsi="宋体" w:cs="宋体"/>
          <w:szCs w:val="28"/>
          <w:highlight w:val="black"/>
          <w:lang w:val="zh-CN"/>
        </w:rPr>
        <w:t>—标准环境温度（一般为25℃）时导线的长时允许电流</w:t>
      </w:r>
    </w:p>
    <w:p w14:paraId="3B2C2B7C">
      <w:pPr>
        <w:tabs>
          <w:tab w:val="left" w:pos="0"/>
        </w:tabs>
        <w:spacing w:line="360" w:lineRule="auto"/>
        <w:ind w:firstLine="560"/>
        <w:rPr>
          <w:rFonts w:ascii="宋体" w:hAnsi="宋体" w:cs="宋体"/>
          <w:szCs w:val="28"/>
          <w:highlight w:val="black"/>
          <w:lang w:val="zh-CN"/>
        </w:rPr>
      </w:pPr>
      <w:r>
        <w:rPr>
          <w:rFonts w:hint="eastAsia" w:ascii="宋体" w:hAnsi="宋体" w:cs="宋体"/>
          <w:szCs w:val="28"/>
          <w:highlight w:val="black"/>
          <w:lang w:val="zh-CN"/>
        </w:rPr>
        <w:t xml:space="preserve">   </w:t>
      </w:r>
      <w:r>
        <w:rPr>
          <w:rFonts w:hint="eastAsia" w:ascii="宋体" w:hAnsi="宋体" w:cs="宋体"/>
          <w:szCs w:val="28"/>
          <w:highlight w:val="black"/>
        </w:rPr>
        <w:t xml:space="preserve"> </w:t>
      </w:r>
      <w:r>
        <w:rPr>
          <w:rFonts w:hint="eastAsia" w:ascii="宋体" w:hAnsi="宋体" w:cs="宋体"/>
          <w:szCs w:val="28"/>
          <w:highlight w:val="black"/>
          <w:lang w:val="zh-CN"/>
        </w:rPr>
        <w:t>I</w:t>
      </w:r>
      <w:r>
        <w:rPr>
          <w:rFonts w:hint="eastAsia" w:ascii="宋体" w:hAnsi="宋体" w:cs="宋体"/>
          <w:szCs w:val="28"/>
          <w:highlight w:val="black"/>
          <w:vertAlign w:val="subscript"/>
          <w:lang w:val="zh-CN"/>
        </w:rPr>
        <w:t>ca</w:t>
      </w:r>
      <w:r>
        <w:rPr>
          <w:rFonts w:hint="eastAsia" w:ascii="宋体" w:hAnsi="宋体" w:cs="宋体"/>
          <w:szCs w:val="28"/>
          <w:highlight w:val="black"/>
          <w:lang w:val="zh-CN"/>
        </w:rPr>
        <w:t xml:space="preserve"> —导线的最大长时工作电流 </w:t>
      </w:r>
    </w:p>
    <w:p w14:paraId="288D002D">
      <w:pPr>
        <w:tabs>
          <w:tab w:val="left" w:pos="0"/>
        </w:tabs>
        <w:spacing w:line="360" w:lineRule="auto"/>
        <w:ind w:firstLine="560"/>
        <w:rPr>
          <w:rFonts w:ascii="宋体" w:hAnsi="宋体" w:cs="宋体"/>
          <w:kern w:val="0"/>
          <w:szCs w:val="28"/>
          <w:highlight w:val="black"/>
        </w:rPr>
      </w:pPr>
      <w:r>
        <w:rPr>
          <w:rFonts w:hint="eastAsia" w:ascii="宋体" w:hAnsi="宋体" w:cs="宋体"/>
          <w:szCs w:val="28"/>
          <w:highlight w:val="black"/>
          <w:lang w:val="zh-CN"/>
        </w:rPr>
        <w:t>根据公式：</w:t>
      </w:r>
      <w:r>
        <w:rPr>
          <w:rFonts w:hint="eastAsia" w:ascii="宋体" w:hAnsi="宋体" w:cs="宋体"/>
          <w:szCs w:val="28"/>
          <w:highlight w:val="black"/>
        </w:rPr>
        <w:t>I</w:t>
      </w:r>
      <w:r>
        <w:rPr>
          <w:rFonts w:hint="eastAsia" w:ascii="宋体" w:hAnsi="宋体" w:cs="宋体"/>
          <w:szCs w:val="28"/>
          <w:highlight w:val="black"/>
          <w:vertAlign w:val="subscript"/>
        </w:rPr>
        <w:t>ca</w:t>
      </w:r>
      <w:r>
        <w:rPr>
          <w:rFonts w:hint="eastAsia" w:ascii="宋体" w:hAnsi="宋体" w:cs="宋体"/>
          <w:szCs w:val="28"/>
          <w:highlight w:val="black"/>
        </w:rPr>
        <w:t>= k</w:t>
      </w:r>
      <w:r>
        <w:rPr>
          <w:rFonts w:hint="eastAsia" w:ascii="宋体" w:hAnsi="宋体" w:cs="宋体"/>
          <w:szCs w:val="28"/>
          <w:highlight w:val="black"/>
          <w:vertAlign w:val="subscript"/>
        </w:rPr>
        <w:t>x</w:t>
      </w:r>
      <w:r>
        <w:rPr>
          <w:rFonts w:hint="eastAsia" w:ascii="宋体" w:hAnsi="宋体" w:cs="宋体"/>
          <w:szCs w:val="28"/>
          <w:highlight w:val="black"/>
        </w:rPr>
        <w:t>P/（ k</w:t>
      </w:r>
      <w:r>
        <w:rPr>
          <w:rFonts w:hint="eastAsia" w:ascii="宋体" w:hAnsi="宋体" w:cs="宋体"/>
          <w:szCs w:val="28"/>
          <w:highlight w:val="black"/>
          <w:vertAlign w:val="subscript"/>
        </w:rPr>
        <w:t>i</w:t>
      </w:r>
      <w:r>
        <w:rPr>
          <w:rFonts w:hint="eastAsia" w:ascii="宋体" w:hAnsi="宋体" w:cs="宋体"/>
          <w:szCs w:val="28"/>
          <w:highlight w:val="black"/>
        </w:rPr>
        <w:t xml:space="preserve"> </w:t>
      </w:r>
      <w:r>
        <w:rPr>
          <w:rFonts w:hint="eastAsia" w:ascii="宋体" w:hAnsi="宋体" w:cs="宋体"/>
          <w:position w:val="-8"/>
          <w:szCs w:val="28"/>
          <w:highlight w:val="black"/>
          <w:lang w:val="zh-CN"/>
        </w:rPr>
        <w:object>
          <v:shape id="_x0000_i1043" o:spt="75" type="#_x0000_t75" style="height:18pt;width:18pt;" o:ole="t" filled="f" o:preferrelative="t" stroked="f" coordsize="21600,21600">
            <v:path/>
            <v:fill on="f" focussize="0,0"/>
            <v:stroke on="f" joinstyle="miter"/>
            <v:imagedata r:id="rId67" o:title=""/>
            <o:lock v:ext="edit" aspectratio="t"/>
            <w10:wrap type="none"/>
            <w10:anchorlock/>
          </v:shape>
          <o:OLEObject Type="Embed" ProgID="Equation.3" ShapeID="_x0000_i1043" DrawAspect="Content" ObjectID="_1468075742" r:id="rId66">
            <o:LockedField>false</o:LockedField>
          </o:OLEObject>
        </w:object>
      </w:r>
      <w:r>
        <w:rPr>
          <w:rFonts w:hint="eastAsia" w:ascii="宋体" w:hAnsi="宋体" w:cs="宋体"/>
          <w:szCs w:val="28"/>
          <w:highlight w:val="black"/>
        </w:rPr>
        <w:t>U</w:t>
      </w:r>
      <w:r>
        <w:rPr>
          <w:rFonts w:hint="eastAsia" w:ascii="宋体" w:hAnsi="宋体" w:cs="宋体"/>
          <w:kern w:val="0"/>
          <w:szCs w:val="28"/>
          <w:highlight w:val="black"/>
        </w:rPr>
        <w:t xml:space="preserve"> cosφ）</w:t>
      </w:r>
    </w:p>
    <w:p w14:paraId="444C86CE">
      <w:pPr>
        <w:tabs>
          <w:tab w:val="left" w:pos="0"/>
        </w:tabs>
        <w:spacing w:line="360" w:lineRule="auto"/>
        <w:ind w:firstLine="1960" w:firstLineChars="700"/>
        <w:rPr>
          <w:rFonts w:ascii="宋体" w:hAnsi="宋体" w:cs="宋体"/>
          <w:szCs w:val="28"/>
          <w:highlight w:val="black"/>
        </w:rPr>
      </w:pPr>
      <w:r>
        <w:rPr>
          <w:rFonts w:hint="eastAsia" w:ascii="宋体" w:hAnsi="宋体" w:cs="宋体"/>
          <w:szCs w:val="28"/>
          <w:highlight w:val="black"/>
        </w:rPr>
        <w:t>=0.78×453/(0.90×</w:t>
      </w:r>
      <w:r>
        <w:rPr>
          <w:rFonts w:hint="eastAsia" w:ascii="宋体" w:hAnsi="宋体" w:cs="宋体"/>
          <w:position w:val="-8"/>
          <w:szCs w:val="28"/>
          <w:highlight w:val="black"/>
          <w:lang w:val="zh-CN"/>
        </w:rPr>
        <w:object>
          <v:shape id="_x0000_i1044" o:spt="75" type="#_x0000_t75" style="height:18pt;width:18pt;" o:ole="t" filled="f" o:preferrelative="t" stroked="f" coordsize="21600,21600">
            <v:path/>
            <v:fill on="f" focussize="0,0"/>
            <v:stroke on="f" joinstyle="miter"/>
            <v:imagedata r:id="rId67" o:title=""/>
            <o:lock v:ext="edit" aspectratio="t"/>
            <w10:wrap type="none"/>
            <w10:anchorlock/>
          </v:shape>
          <o:OLEObject Type="Embed" ProgID="Equation.3" ShapeID="_x0000_i1044" DrawAspect="Content" ObjectID="_1468075743" r:id="rId68">
            <o:LockedField>false</o:LockedField>
          </o:OLEObject>
        </w:object>
      </w:r>
      <w:r>
        <w:rPr>
          <w:rFonts w:hint="eastAsia" w:ascii="宋体" w:hAnsi="宋体" w:cs="宋体"/>
          <w:szCs w:val="28"/>
          <w:highlight w:val="black"/>
        </w:rPr>
        <w:t>×10×0.85)=26.67A</w:t>
      </w:r>
    </w:p>
    <w:p w14:paraId="46DC591D">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预选电缆规格1（3×50），型号WD-MYJV</w:t>
      </w:r>
      <w:r>
        <w:rPr>
          <w:rFonts w:hint="eastAsia" w:ascii="宋体" w:hAnsi="宋体" w:cs="宋体"/>
          <w:szCs w:val="28"/>
          <w:highlight w:val="black"/>
          <w:vertAlign w:val="subscript"/>
        </w:rPr>
        <w:t>43</w:t>
      </w:r>
      <w:r>
        <w:rPr>
          <w:rFonts w:hint="eastAsia" w:ascii="宋体" w:hAnsi="宋体" w:cs="宋体"/>
          <w:szCs w:val="28"/>
          <w:highlight w:val="black"/>
        </w:rPr>
        <w:t>-8.7/15kV，电缆</w:t>
      </w:r>
      <w:r>
        <w:rPr>
          <w:rFonts w:hint="eastAsia" w:ascii="宋体" w:hAnsi="宋体" w:cs="宋体"/>
          <w:szCs w:val="28"/>
          <w:highlight w:val="black"/>
          <w:lang w:val="zh-CN"/>
        </w:rPr>
        <w:t>载流量Ip =</w:t>
      </w:r>
      <w:r>
        <w:rPr>
          <w:rFonts w:hint="eastAsia" w:ascii="宋体" w:hAnsi="宋体" w:cs="宋体"/>
          <w:szCs w:val="28"/>
          <w:highlight w:val="black"/>
        </w:rPr>
        <w:t>181</w:t>
      </w:r>
      <w:r>
        <w:rPr>
          <w:rFonts w:hint="eastAsia" w:ascii="宋体" w:hAnsi="宋体" w:cs="宋体"/>
          <w:szCs w:val="28"/>
          <w:highlight w:val="black"/>
          <w:lang w:val="zh-CN"/>
        </w:rPr>
        <w:t>A</w:t>
      </w:r>
      <w:r>
        <w:rPr>
          <w:rFonts w:hint="eastAsia" w:ascii="宋体" w:hAnsi="宋体" w:cs="宋体"/>
          <w:szCs w:val="28"/>
          <w:highlight w:val="black"/>
        </w:rPr>
        <w:t>，载流量</w:t>
      </w:r>
      <w:r>
        <w:rPr>
          <w:rFonts w:hint="eastAsia" w:ascii="宋体" w:hAnsi="宋体" w:cs="宋体"/>
          <w:szCs w:val="28"/>
          <w:highlight w:val="black"/>
          <w:lang w:val="zh-CN"/>
        </w:rPr>
        <w:t>满足要求。</w:t>
      </w:r>
    </w:p>
    <w:p w14:paraId="0E5383EE">
      <w:pPr>
        <w:tabs>
          <w:tab w:val="left" w:pos="0"/>
        </w:tabs>
        <w:spacing w:line="360" w:lineRule="auto"/>
        <w:ind w:firstLine="560"/>
        <w:rPr>
          <w:rFonts w:ascii="宋体" w:hAnsi="宋体" w:cs="宋体"/>
          <w:szCs w:val="28"/>
          <w:highlight w:val="black"/>
          <w:lang w:val="zh-CN"/>
        </w:rPr>
      </w:pPr>
      <w:r>
        <w:rPr>
          <w:rFonts w:hint="eastAsia" w:ascii="宋体" w:hAnsi="宋体" w:cs="宋体"/>
          <w:szCs w:val="28"/>
          <w:highlight w:val="black"/>
          <w:lang w:val="zh-CN"/>
        </w:rPr>
        <w:t>故长时允许电流完全满足要求。</w:t>
      </w:r>
    </w:p>
    <w:p w14:paraId="34F9057F">
      <w:pPr>
        <w:tabs>
          <w:tab w:val="left" w:pos="0"/>
        </w:tabs>
        <w:spacing w:line="360" w:lineRule="auto"/>
        <w:ind w:firstLine="560"/>
        <w:rPr>
          <w:rFonts w:ascii="宋体" w:hAnsi="宋体" w:cs="宋体"/>
          <w:szCs w:val="28"/>
          <w:highlight w:val="black"/>
          <w:lang w:val="zh-CN"/>
        </w:rPr>
      </w:pPr>
      <w:r>
        <w:rPr>
          <w:rFonts w:hint="eastAsia" w:ascii="宋体" w:hAnsi="宋体" w:cs="宋体"/>
          <w:szCs w:val="28"/>
          <w:highlight w:val="black"/>
        </w:rPr>
        <w:t>2）</w:t>
      </w:r>
      <w:r>
        <w:rPr>
          <w:rFonts w:hint="eastAsia" w:ascii="宋体" w:hAnsi="宋体" w:cs="宋体"/>
          <w:szCs w:val="28"/>
          <w:highlight w:val="black"/>
          <w:lang w:val="zh-CN"/>
        </w:rPr>
        <w:t>按允许电压损失校验导线截面</w:t>
      </w:r>
    </w:p>
    <w:p w14:paraId="5054B047">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△Ug%= kxP(R+Xtanφ)L/10/U²</w:t>
      </w:r>
    </w:p>
    <w:p w14:paraId="5BFB7726">
      <w:pPr>
        <w:tabs>
          <w:tab w:val="left" w:pos="0"/>
        </w:tabs>
        <w:spacing w:line="360" w:lineRule="auto"/>
        <w:ind w:firstLine="1400" w:firstLineChars="500"/>
        <w:rPr>
          <w:rFonts w:ascii="宋体" w:hAnsi="宋体" w:cs="宋体"/>
          <w:szCs w:val="28"/>
          <w:highlight w:val="black"/>
        </w:rPr>
      </w:pPr>
      <w:r>
        <w:rPr>
          <w:rFonts w:hint="eastAsia" w:ascii="宋体" w:hAnsi="宋体" w:cs="宋体"/>
          <w:szCs w:val="28"/>
          <w:highlight w:val="black"/>
        </w:rPr>
        <w:t>=0.78×453×0.25×(0.398+0.251×0.61)/10/10²</w:t>
      </w:r>
    </w:p>
    <w:p w14:paraId="5916C119">
      <w:pPr>
        <w:tabs>
          <w:tab w:val="left" w:pos="0"/>
        </w:tabs>
        <w:spacing w:line="360" w:lineRule="auto"/>
        <w:ind w:firstLine="1400" w:firstLineChars="500"/>
        <w:rPr>
          <w:rFonts w:ascii="宋体" w:hAnsi="宋体" w:cs="宋体"/>
          <w:szCs w:val="28"/>
          <w:highlight w:val="black"/>
        </w:rPr>
      </w:pPr>
      <w:r>
        <w:rPr>
          <w:rFonts w:hint="eastAsia" w:ascii="宋体" w:hAnsi="宋体" w:cs="宋体"/>
          <w:szCs w:val="28"/>
          <w:highlight w:val="black"/>
        </w:rPr>
        <w:t>=0.05%</w:t>
      </w:r>
    </w:p>
    <w:p w14:paraId="58FAC32F">
      <w:pPr>
        <w:tabs>
          <w:tab w:val="left" w:pos="0"/>
        </w:tabs>
        <w:spacing w:line="360" w:lineRule="auto"/>
        <w:ind w:firstLine="0" w:firstLineChars="0"/>
        <w:rPr>
          <w:rFonts w:ascii="宋体" w:hAnsi="宋体" w:cs="宋体"/>
          <w:szCs w:val="28"/>
          <w:highlight w:val="black"/>
        </w:rPr>
      </w:pPr>
      <w:r>
        <w:rPr>
          <w:rFonts w:hint="eastAsia" w:ascii="宋体" w:hAnsi="宋体" w:cs="宋体"/>
          <w:szCs w:val="28"/>
          <w:highlight w:val="black"/>
          <w:lang w:val="zh-CN"/>
        </w:rPr>
        <w:t>式中</w:t>
      </w:r>
      <w:r>
        <w:rPr>
          <w:rFonts w:hint="eastAsia" w:ascii="宋体" w:hAnsi="宋体" w:cs="宋体"/>
          <w:szCs w:val="28"/>
          <w:highlight w:val="black"/>
        </w:rPr>
        <w:t>：  P—工作</w:t>
      </w:r>
      <w:r>
        <w:rPr>
          <w:rFonts w:hint="eastAsia" w:ascii="宋体" w:hAnsi="宋体" w:cs="宋体"/>
          <w:szCs w:val="28"/>
          <w:highlight w:val="black"/>
          <w:lang w:val="zh-CN"/>
        </w:rPr>
        <w:t>功率</w:t>
      </w:r>
      <w:r>
        <w:rPr>
          <w:rFonts w:hint="eastAsia" w:ascii="宋体" w:hAnsi="宋体" w:cs="宋体"/>
          <w:szCs w:val="28"/>
          <w:highlight w:val="black"/>
        </w:rPr>
        <w:t xml:space="preserve">            401kW</w:t>
      </w:r>
    </w:p>
    <w:p w14:paraId="271EB984">
      <w:pPr>
        <w:tabs>
          <w:tab w:val="left" w:pos="0"/>
        </w:tabs>
        <w:spacing w:line="360" w:lineRule="auto"/>
        <w:ind w:firstLine="840" w:firstLineChars="300"/>
        <w:rPr>
          <w:rFonts w:ascii="宋体" w:hAnsi="宋体" w:cs="宋体"/>
          <w:szCs w:val="28"/>
          <w:highlight w:val="black"/>
          <w:lang w:val="zh-CN"/>
        </w:rPr>
      </w:pPr>
      <w:r>
        <w:rPr>
          <w:rFonts w:hint="eastAsia" w:ascii="宋体" w:hAnsi="宋体" w:cs="宋体"/>
          <w:szCs w:val="28"/>
          <w:highlight w:val="black"/>
        </w:rPr>
        <w:t xml:space="preserve">  </w:t>
      </w:r>
      <w:r>
        <w:rPr>
          <w:rFonts w:hint="eastAsia" w:ascii="宋体" w:hAnsi="宋体" w:cs="宋体"/>
          <w:szCs w:val="28"/>
          <w:highlight w:val="black"/>
          <w:lang w:val="zh-CN"/>
        </w:rPr>
        <w:t>R—电缆每千米的电阻（3×</w:t>
      </w:r>
      <w:r>
        <w:rPr>
          <w:rFonts w:hint="eastAsia" w:ascii="宋体" w:hAnsi="宋体" w:cs="宋体"/>
          <w:szCs w:val="28"/>
          <w:highlight w:val="black"/>
        </w:rPr>
        <w:t>50</w:t>
      </w:r>
      <w:r>
        <w:rPr>
          <w:rFonts w:hint="eastAsia" w:ascii="宋体" w:hAnsi="宋体" w:cs="宋体"/>
          <w:szCs w:val="28"/>
          <w:highlight w:val="black"/>
          <w:lang w:val="zh-CN"/>
        </w:rPr>
        <w:t>mm²电缆为0</w:t>
      </w:r>
      <w:r>
        <w:rPr>
          <w:rFonts w:hint="eastAsia" w:ascii="宋体" w:hAnsi="宋体" w:cs="宋体"/>
          <w:szCs w:val="28"/>
          <w:highlight w:val="black"/>
        </w:rPr>
        <w:t>.398</w:t>
      </w:r>
      <w:r>
        <w:rPr>
          <w:rFonts w:hint="eastAsia" w:ascii="宋体" w:hAnsi="宋体" w:cs="宋体"/>
          <w:szCs w:val="28"/>
          <w:highlight w:val="black"/>
          <w:lang w:val="zh-CN"/>
        </w:rPr>
        <w:t>Ω/km）</w:t>
      </w:r>
    </w:p>
    <w:p w14:paraId="60BFD5D1">
      <w:pPr>
        <w:tabs>
          <w:tab w:val="left" w:pos="0"/>
        </w:tabs>
        <w:spacing w:line="360" w:lineRule="auto"/>
        <w:ind w:firstLine="1120" w:firstLineChars="400"/>
        <w:rPr>
          <w:rFonts w:ascii="宋体" w:hAnsi="宋体" w:cs="宋体"/>
          <w:szCs w:val="28"/>
          <w:highlight w:val="black"/>
        </w:rPr>
      </w:pPr>
      <w:r>
        <w:rPr>
          <w:rFonts w:hint="eastAsia" w:ascii="宋体" w:hAnsi="宋体" w:cs="宋体"/>
          <w:szCs w:val="28"/>
          <w:highlight w:val="black"/>
        </w:rPr>
        <w:t>X—电缆每千米的电抗</w:t>
      </w:r>
      <w:r>
        <w:rPr>
          <w:rFonts w:hint="eastAsia" w:ascii="宋体" w:hAnsi="宋体" w:cs="宋体"/>
          <w:szCs w:val="28"/>
          <w:highlight w:val="black"/>
          <w:lang w:val="zh-CN"/>
        </w:rPr>
        <w:t>（3×</w:t>
      </w:r>
      <w:r>
        <w:rPr>
          <w:rFonts w:hint="eastAsia" w:ascii="宋体" w:hAnsi="宋体" w:cs="宋体"/>
          <w:szCs w:val="28"/>
          <w:highlight w:val="black"/>
        </w:rPr>
        <w:t>50</w:t>
      </w:r>
      <w:r>
        <w:rPr>
          <w:rFonts w:hint="eastAsia" w:ascii="宋体" w:hAnsi="宋体" w:cs="宋体"/>
          <w:szCs w:val="28"/>
          <w:highlight w:val="black"/>
          <w:lang w:val="zh-CN"/>
        </w:rPr>
        <w:t>mm²电缆为0</w:t>
      </w:r>
      <w:r>
        <w:rPr>
          <w:rFonts w:hint="eastAsia" w:ascii="宋体" w:hAnsi="宋体" w:cs="宋体"/>
          <w:szCs w:val="28"/>
          <w:highlight w:val="black"/>
        </w:rPr>
        <w:t>.251</w:t>
      </w:r>
      <w:r>
        <w:rPr>
          <w:rFonts w:hint="eastAsia" w:ascii="宋体" w:hAnsi="宋体" w:cs="宋体"/>
          <w:szCs w:val="28"/>
          <w:highlight w:val="black"/>
          <w:lang w:val="zh-CN"/>
        </w:rPr>
        <w:t>Ω/km</w:t>
      </w:r>
      <w:r>
        <w:rPr>
          <w:rFonts w:hint="eastAsia" w:ascii="宋体" w:hAnsi="宋体" w:cs="宋体"/>
          <w:szCs w:val="28"/>
          <w:highlight w:val="black"/>
        </w:rPr>
        <w:t>）</w:t>
      </w:r>
    </w:p>
    <w:p w14:paraId="3A7A9D1A">
      <w:pPr>
        <w:tabs>
          <w:tab w:val="left" w:pos="0"/>
        </w:tabs>
        <w:spacing w:line="360" w:lineRule="auto"/>
        <w:ind w:firstLine="840" w:firstLineChars="300"/>
        <w:rPr>
          <w:rFonts w:ascii="宋体" w:hAnsi="宋体" w:cs="宋体"/>
          <w:szCs w:val="28"/>
          <w:highlight w:val="black"/>
          <w:lang w:val="zh-CN"/>
        </w:rPr>
      </w:pPr>
      <w:r>
        <w:rPr>
          <w:rFonts w:hint="eastAsia" w:ascii="宋体" w:hAnsi="宋体" w:cs="宋体"/>
          <w:szCs w:val="28"/>
          <w:highlight w:val="black"/>
          <w:lang w:val="zh-CN"/>
        </w:rPr>
        <w:t xml:space="preserve">  L—电缆长度（</w:t>
      </w:r>
      <w:r>
        <w:rPr>
          <w:rFonts w:hint="eastAsia" w:ascii="宋体" w:hAnsi="宋体" w:cs="宋体"/>
          <w:szCs w:val="28"/>
          <w:highlight w:val="black"/>
        </w:rPr>
        <w:t>0.25</w:t>
      </w:r>
      <w:r>
        <w:rPr>
          <w:rFonts w:hint="eastAsia" w:ascii="宋体" w:hAnsi="宋体" w:cs="宋体"/>
          <w:szCs w:val="28"/>
          <w:highlight w:val="black"/>
          <w:lang w:val="zh-CN"/>
        </w:rPr>
        <w:t>km）</w:t>
      </w:r>
    </w:p>
    <w:p w14:paraId="0CE9B0AF">
      <w:pPr>
        <w:tabs>
          <w:tab w:val="left" w:pos="0"/>
        </w:tabs>
        <w:spacing w:line="360" w:lineRule="auto"/>
        <w:ind w:firstLine="840" w:firstLineChars="300"/>
        <w:rPr>
          <w:rFonts w:ascii="宋体" w:hAnsi="宋体" w:cs="宋体"/>
          <w:szCs w:val="28"/>
          <w:highlight w:val="black"/>
          <w:lang w:val="zh-CN"/>
        </w:rPr>
      </w:pPr>
      <w:r>
        <w:rPr>
          <w:rFonts w:hint="eastAsia" w:ascii="宋体" w:hAnsi="宋体" w:cs="宋体"/>
          <w:szCs w:val="28"/>
          <w:highlight w:val="black"/>
          <w:lang w:val="zh-CN"/>
        </w:rPr>
        <w:t xml:space="preserve">  U—额定电压</w:t>
      </w:r>
      <w:r>
        <w:rPr>
          <w:rFonts w:hint="eastAsia" w:ascii="宋体" w:hAnsi="宋体" w:cs="宋体"/>
          <w:szCs w:val="28"/>
          <w:highlight w:val="black"/>
        </w:rPr>
        <w:t xml:space="preserve"> （10kV）</w:t>
      </w:r>
    </w:p>
    <w:p w14:paraId="7C2BF2ED">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lang w:val="zh-CN"/>
        </w:rPr>
        <w:t>一般情况下电压损失百分数不得超</w:t>
      </w:r>
      <w:r>
        <w:rPr>
          <w:rFonts w:hint="eastAsia" w:ascii="宋体" w:hAnsi="宋体" w:cs="宋体"/>
          <w:szCs w:val="28"/>
          <w:highlight w:val="black"/>
        </w:rPr>
        <w:t>过7%，经验证电压损失符合要求。</w:t>
      </w:r>
    </w:p>
    <w:p w14:paraId="3D1367A2">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3）热稳定校验电缆</w:t>
      </w:r>
    </w:p>
    <w:p w14:paraId="2C7B7D4E">
      <w:pPr>
        <w:tabs>
          <w:tab w:val="left" w:pos="0"/>
        </w:tabs>
        <w:spacing w:line="360" w:lineRule="auto"/>
        <w:ind w:firstLine="560"/>
        <w:rPr>
          <w:rFonts w:ascii="宋体" w:hAnsi="宋体" w:cs="宋体"/>
          <w:szCs w:val="28"/>
          <w:highlight w:val="black"/>
        </w:rPr>
      </w:pPr>
      <w:r>
        <w:rPr>
          <w:rFonts w:hint="eastAsia" w:ascii="宋体" w:hAnsi="宋体" w:cs="宋体"/>
          <w:position w:val="-24"/>
          <w:szCs w:val="28"/>
          <w:highlight w:val="black"/>
        </w:rPr>
        <w:object>
          <v:shape id="_x0000_i1045" o:spt="75" type="#_x0000_t75" style="height:33.25pt;width:206.2pt;" o:ole="t" filled="f" o:preferrelative="t" stroked="f" coordsize="21600,21600">
            <v:path/>
            <v:fill on="f" focussize="0,0"/>
            <v:stroke on="f" joinstyle="miter"/>
            <v:imagedata r:id="rId70" o:title=""/>
            <o:lock v:ext="edit" aspectratio="t"/>
            <w10:wrap type="none"/>
            <w10:anchorlock/>
          </v:shape>
          <o:OLEObject Type="Embed" ProgID="Equation.3" ShapeID="_x0000_i1045" DrawAspect="Content" ObjectID="_1468075744" r:id="rId69">
            <o:LockedField>false</o:LockedField>
          </o:OLEObject>
        </w:object>
      </w:r>
      <w:r>
        <w:rPr>
          <w:rFonts w:hint="eastAsia" w:ascii="宋体" w:hAnsi="宋体" w:cs="宋体"/>
          <w:szCs w:val="28"/>
          <w:highlight w:val="black"/>
        </w:rPr>
        <w:t>，</w:t>
      </w:r>
      <w:r>
        <w:rPr>
          <w:rFonts w:hint="eastAsia" w:ascii="宋体" w:hAnsi="宋体" w:cs="宋体"/>
          <w:szCs w:val="28"/>
          <w:highlight w:val="black"/>
          <w:lang w:val="zh-CN"/>
        </w:rPr>
        <w:t>3×</w:t>
      </w:r>
      <w:r>
        <w:rPr>
          <w:rFonts w:hint="eastAsia" w:ascii="宋体" w:hAnsi="宋体" w:cs="宋体"/>
          <w:szCs w:val="28"/>
          <w:highlight w:val="black"/>
        </w:rPr>
        <w:t>50</w:t>
      </w:r>
      <w:r>
        <w:rPr>
          <w:rFonts w:hint="eastAsia" w:ascii="宋体" w:hAnsi="宋体" w:cs="宋体"/>
          <w:szCs w:val="28"/>
          <w:highlight w:val="black"/>
          <w:lang w:val="zh-CN"/>
        </w:rPr>
        <w:t>mm²</w:t>
      </w:r>
      <w:r>
        <w:rPr>
          <w:rFonts w:hint="eastAsia" w:ascii="宋体" w:hAnsi="宋体" w:cs="宋体"/>
          <w:szCs w:val="28"/>
          <w:highlight w:val="black"/>
        </w:rPr>
        <w:t>电缆符合规定。</w:t>
      </w:r>
    </w:p>
    <w:p w14:paraId="1882EFCE">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式中：</w:t>
      </w:r>
      <w:r>
        <w:rPr>
          <w:rFonts w:hint="eastAsia" w:ascii="宋体" w:hAnsi="宋体" w:cs="宋体"/>
          <w:position w:val="-10"/>
          <w:szCs w:val="28"/>
          <w:highlight w:val="black"/>
        </w:rPr>
        <w:object>
          <v:shape id="_x0000_i1046" o:spt="75" type="#_x0000_t75" style="height:18pt;width:28.9pt;" o:ole="t" filled="f" o:preferrelative="t" stroked="f" coordsize="21600,21600">
            <v:path/>
            <v:fill on="f" focussize="0,0"/>
            <v:stroke on="f" joinstyle="miter"/>
            <v:imagedata r:id="rId72" o:title=""/>
            <o:lock v:ext="edit" aspectratio="t"/>
            <w10:wrap type="none"/>
            <w10:anchorlock/>
          </v:shape>
          <o:OLEObject Type="Embed" ProgID="Equation.3" ShapeID="_x0000_i1046" DrawAspect="Content" ObjectID="_1468075745" r:id="rId71">
            <o:LockedField>false</o:LockedField>
          </o:OLEObject>
        </w:object>
      </w:r>
      <w:r>
        <w:rPr>
          <w:rFonts w:hint="eastAsia" w:ascii="宋体" w:hAnsi="宋体" w:cs="宋体"/>
          <w:szCs w:val="28"/>
          <w:highlight w:val="black"/>
        </w:rPr>
        <w:t>短路电流的周期分量，kA；</w:t>
      </w:r>
    </w:p>
    <w:p w14:paraId="72367CD6">
      <w:pPr>
        <w:pStyle w:val="7"/>
        <w:spacing w:line="360" w:lineRule="auto"/>
        <w:ind w:firstLine="560"/>
        <w:rPr>
          <w:rFonts w:hAnsi="宋体" w:cs="宋体"/>
          <w:szCs w:val="28"/>
          <w:highlight w:val="black"/>
        </w:rPr>
      </w:pPr>
      <w:r>
        <w:rPr>
          <w:rFonts w:hint="eastAsia" w:hAnsi="宋体" w:cs="宋体"/>
          <w:szCs w:val="28"/>
          <w:highlight w:val="black"/>
        </w:rPr>
        <w:t xml:space="preserve">        t</w:t>
      </w:r>
      <w:r>
        <w:rPr>
          <w:rFonts w:hint="eastAsia" w:hAnsi="宋体" w:cs="宋体"/>
          <w:szCs w:val="28"/>
          <w:highlight w:val="black"/>
          <w:vertAlign w:val="subscript"/>
        </w:rPr>
        <w:t>j</w:t>
      </w:r>
      <w:r>
        <w:rPr>
          <w:rFonts w:hint="eastAsia" w:hAnsi="宋体" w:cs="宋体"/>
          <w:szCs w:val="28"/>
          <w:highlight w:val="black"/>
        </w:rPr>
        <w:t>—断路器的动作时间，0.25s；</w:t>
      </w:r>
    </w:p>
    <w:p w14:paraId="2F601721">
      <w:pPr>
        <w:tabs>
          <w:tab w:val="left" w:pos="0"/>
        </w:tabs>
        <w:spacing w:line="360" w:lineRule="auto"/>
        <w:ind w:firstLine="560"/>
        <w:rPr>
          <w:rFonts w:ascii="宋体" w:hAnsi="宋体" w:cs="宋体"/>
          <w:szCs w:val="28"/>
          <w:highlight w:val="black"/>
        </w:rPr>
      </w:pPr>
      <w:r>
        <w:rPr>
          <w:rFonts w:hint="eastAsia" w:ascii="宋体" w:hAnsi="宋体" w:cs="宋体"/>
          <w:szCs w:val="28"/>
          <w:highlight w:val="black"/>
        </w:rPr>
        <w:t xml:space="preserve">      C—电缆热稳定系数，交联聚乙烯绝缘取137。</w:t>
      </w:r>
    </w:p>
    <w:p w14:paraId="14640A5C">
      <w:pPr>
        <w:spacing w:line="360" w:lineRule="auto"/>
        <w:ind w:firstLine="560"/>
        <w:rPr>
          <w:rFonts w:ascii="宋体" w:hAnsi="宋体" w:cs="宋体"/>
          <w:szCs w:val="28"/>
          <w:highlight w:val="black"/>
        </w:rPr>
      </w:pPr>
      <w:r>
        <w:rPr>
          <w:rFonts w:hint="eastAsia" w:ascii="宋体" w:hAnsi="宋体" w:cs="宋体"/>
          <w:szCs w:val="28"/>
          <w:highlight w:val="black"/>
        </w:rPr>
        <w:t>10kV入井电源敷设两路WD-MYJV</w:t>
      </w:r>
      <w:r>
        <w:rPr>
          <w:rFonts w:hint="eastAsia" w:ascii="宋体" w:hAnsi="宋体" w:cs="宋体"/>
          <w:szCs w:val="28"/>
          <w:highlight w:val="black"/>
          <w:vertAlign w:val="subscript"/>
        </w:rPr>
        <w:t>43</w:t>
      </w:r>
      <w:r>
        <w:rPr>
          <w:rFonts w:hint="eastAsia" w:ascii="宋体" w:hAnsi="宋体" w:cs="宋体"/>
          <w:szCs w:val="28"/>
          <w:highlight w:val="black"/>
        </w:rPr>
        <w:t>-8.7/15kV-1（3×50）型铜芯低烟无卤阻燃粗钢丝铠装电力电缆，电缆沿管缆井敷设至井下水泵房高压开关柜。</w:t>
      </w:r>
    </w:p>
    <w:p w14:paraId="5CEE15D4">
      <w:pPr>
        <w:spacing w:line="360" w:lineRule="auto"/>
        <w:ind w:firstLine="560"/>
        <w:rPr>
          <w:rFonts w:hint="eastAsia" w:ascii="宋体" w:hAnsi="宋体" w:cs="宋体"/>
          <w:szCs w:val="28"/>
          <w:highlight w:val="black"/>
        </w:rPr>
      </w:pPr>
      <w:r>
        <w:rPr>
          <w:rFonts w:hint="eastAsia" w:ascii="宋体" w:hAnsi="宋体" w:cs="宋体"/>
          <w:szCs w:val="28"/>
          <w:highlight w:val="black"/>
        </w:rPr>
        <w:t>（6）地表架空线转下井电缆处防雷设施</w:t>
      </w:r>
    </w:p>
    <w:p w14:paraId="34C85EE0">
      <w:pPr>
        <w:spacing w:line="360" w:lineRule="auto"/>
        <w:ind w:firstLine="560"/>
        <w:rPr>
          <w:rFonts w:hint="eastAsia" w:ascii="宋体" w:hAnsi="宋体" w:cs="宋体"/>
          <w:szCs w:val="28"/>
          <w:highlight w:val="black"/>
        </w:rPr>
      </w:pPr>
      <w:r>
        <w:rPr>
          <w:rFonts w:hint="eastAsia" w:ascii="宋体" w:hAnsi="宋体" w:cs="宋体"/>
          <w:szCs w:val="28"/>
          <w:highlight w:val="black"/>
        </w:rPr>
        <w:t>入井10kV电缆前侧安装HY5WS-17/45型避雷器。</w:t>
      </w:r>
    </w:p>
    <w:p w14:paraId="05EC90B2">
      <w:pPr>
        <w:spacing w:line="360" w:lineRule="auto"/>
        <w:ind w:firstLine="560"/>
        <w:rPr>
          <w:rFonts w:hint="eastAsia" w:ascii="宋体" w:hAnsi="宋体" w:cs="宋体"/>
          <w:szCs w:val="28"/>
          <w:highlight w:val="black"/>
        </w:rPr>
      </w:pPr>
      <w:r>
        <w:rPr>
          <w:rFonts w:hint="eastAsia" w:ascii="宋体" w:hAnsi="宋体" w:cs="宋体"/>
          <w:szCs w:val="28"/>
          <w:highlight w:val="black"/>
        </w:rPr>
        <w:t>（7）井下高、低压供配电设备类型和地下高、低压电缆类型</w:t>
      </w:r>
    </w:p>
    <w:p w14:paraId="5F779D8E">
      <w:pPr>
        <w:spacing w:line="360" w:lineRule="auto"/>
        <w:ind w:firstLine="560"/>
        <w:rPr>
          <w:rFonts w:hint="eastAsia" w:ascii="宋体" w:hAnsi="宋体" w:cs="宋体"/>
          <w:szCs w:val="28"/>
          <w:highlight w:val="black"/>
        </w:rPr>
      </w:pPr>
      <w:r>
        <w:rPr>
          <w:rFonts w:hint="eastAsia" w:ascii="宋体" w:hAnsi="宋体" w:cs="宋体"/>
          <w:szCs w:val="28"/>
          <w:highlight w:val="black"/>
        </w:rPr>
        <w:t>矿山电源及供配电系统的可靠性除了取决于合理的系统设计以外，还取决于供配电装置及主要电力元器件的选择。电气设备和电缆的选择除了选用经国家相关部门认证的合格产品外，还依据矿山环境特点选取适用的设备，保证电气设备安全、可靠运行。</w:t>
      </w:r>
    </w:p>
    <w:p w14:paraId="0AE446D4">
      <w:pPr>
        <w:pageBreakBefore w:val="0"/>
        <w:widowControl w:val="0"/>
        <w:kinsoku/>
        <w:wordWrap/>
        <w:overflowPunct/>
        <w:topLinePunct w:val="0"/>
        <w:autoSpaceDE/>
        <w:autoSpaceDN/>
        <w:bidi w:val="0"/>
        <w:spacing w:line="360" w:lineRule="auto"/>
        <w:ind w:firstLine="560"/>
        <w:textAlignment w:val="auto"/>
        <w:rPr>
          <w:rFonts w:ascii="宋体" w:hAnsi="宋体" w:cs="宋体"/>
          <w:szCs w:val="28"/>
          <w:highlight w:val="black"/>
        </w:rPr>
      </w:pPr>
      <w:r>
        <w:rPr>
          <w:rFonts w:hint="eastAsia" w:ascii="宋体" w:hAnsi="宋体" w:cs="宋体"/>
          <w:szCs w:val="28"/>
          <w:highlight w:val="black"/>
        </w:rPr>
        <w:t>1）供配电设备</w:t>
      </w:r>
    </w:p>
    <w:p w14:paraId="727DD841">
      <w:pPr>
        <w:pageBreakBefore w:val="0"/>
        <w:widowControl w:val="0"/>
        <w:kinsoku/>
        <w:wordWrap/>
        <w:overflowPunct/>
        <w:topLinePunct w:val="0"/>
        <w:autoSpaceDE/>
        <w:autoSpaceDN/>
        <w:bidi w:val="0"/>
        <w:spacing w:line="360" w:lineRule="auto"/>
        <w:ind w:firstLine="560"/>
        <w:textAlignment w:val="auto"/>
        <w:rPr>
          <w:rFonts w:ascii="宋体" w:hAnsi="宋体" w:cs="宋体"/>
          <w:szCs w:val="28"/>
          <w:highlight w:val="black"/>
        </w:rPr>
      </w:pPr>
      <w:r>
        <w:rPr>
          <w:rFonts w:hint="eastAsia" w:ascii="宋体" w:hAnsi="宋体" w:cs="宋体"/>
          <w:szCs w:val="28"/>
          <w:highlight w:val="black"/>
        </w:rPr>
        <w:t>井下高压开关柜选用GKG型，低压开关柜选用GKD型，变压器选用KSG型，动力配电箱选用PKD型，均为矿用一般型。</w:t>
      </w:r>
    </w:p>
    <w:p w14:paraId="60DE1A04">
      <w:pPr>
        <w:pageBreakBefore w:val="0"/>
        <w:widowControl w:val="0"/>
        <w:kinsoku/>
        <w:wordWrap/>
        <w:overflowPunct/>
        <w:topLinePunct w:val="0"/>
        <w:autoSpaceDE/>
        <w:autoSpaceDN/>
        <w:bidi w:val="0"/>
        <w:spacing w:line="360" w:lineRule="auto"/>
        <w:ind w:firstLine="560"/>
        <w:textAlignment w:val="auto"/>
        <w:rPr>
          <w:rFonts w:ascii="宋体" w:hAnsi="宋体" w:cs="宋体"/>
          <w:szCs w:val="28"/>
          <w:highlight w:val="black"/>
        </w:rPr>
      </w:pPr>
      <w:r>
        <w:rPr>
          <w:rFonts w:hint="eastAsia" w:ascii="宋体" w:hAnsi="宋体" w:cs="宋体"/>
          <w:szCs w:val="28"/>
          <w:highlight w:val="black"/>
        </w:rPr>
        <w:t>2）电力电缆</w:t>
      </w:r>
    </w:p>
    <w:p w14:paraId="4398F494">
      <w:pPr>
        <w:pageBreakBefore w:val="0"/>
        <w:widowControl w:val="0"/>
        <w:kinsoku/>
        <w:wordWrap/>
        <w:overflowPunct/>
        <w:topLinePunct w:val="0"/>
        <w:autoSpaceDE/>
        <w:autoSpaceDN/>
        <w:bidi w:val="0"/>
        <w:spacing w:line="360" w:lineRule="auto"/>
        <w:ind w:firstLine="560"/>
        <w:textAlignment w:val="auto"/>
        <w:rPr>
          <w:rFonts w:ascii="宋体" w:hAnsi="宋体" w:cs="宋体"/>
          <w:szCs w:val="28"/>
          <w:highlight w:val="black"/>
        </w:rPr>
      </w:pPr>
      <w:r>
        <w:rPr>
          <w:rFonts w:hint="eastAsia" w:ascii="宋体" w:hAnsi="宋体" w:cs="宋体"/>
          <w:szCs w:val="28"/>
          <w:highlight w:val="black"/>
        </w:rPr>
        <w:t>井下均采用无卤低烟阻燃电缆。</w:t>
      </w:r>
    </w:p>
    <w:p w14:paraId="5DEBA589">
      <w:pPr>
        <w:ind w:firstLine="560"/>
        <w:rPr>
          <w:rFonts w:ascii="宋体" w:hAnsi="宋体" w:cs="宋体"/>
          <w:szCs w:val="28"/>
          <w:highlight w:val="black"/>
        </w:rPr>
      </w:pPr>
      <w:r>
        <w:rPr>
          <w:rFonts w:hint="eastAsia" w:ascii="宋体" w:hAnsi="宋体" w:cs="宋体"/>
          <w:szCs w:val="28"/>
          <w:highlight w:val="black"/>
        </w:rPr>
        <w:t>①入井高压电缆采用WD-MYJY</w:t>
      </w:r>
      <w:r>
        <w:rPr>
          <w:rFonts w:hint="eastAsia" w:ascii="宋体" w:hAnsi="宋体" w:cs="宋体"/>
          <w:szCs w:val="28"/>
          <w:highlight w:val="black"/>
          <w:vertAlign w:val="subscript"/>
        </w:rPr>
        <w:t>43</w:t>
      </w:r>
      <w:r>
        <w:rPr>
          <w:rFonts w:hint="eastAsia" w:ascii="宋体" w:hAnsi="宋体" w:cs="宋体"/>
          <w:szCs w:val="28"/>
          <w:highlight w:val="black"/>
        </w:rPr>
        <w:t>-8.7/15kV。</w:t>
      </w:r>
    </w:p>
    <w:p w14:paraId="343A5575">
      <w:pPr>
        <w:ind w:firstLine="560"/>
        <w:rPr>
          <w:rFonts w:ascii="宋体" w:hAnsi="宋体" w:cs="宋体"/>
          <w:szCs w:val="28"/>
          <w:highlight w:val="black"/>
        </w:rPr>
      </w:pPr>
      <w:r>
        <w:rPr>
          <w:rFonts w:hint="eastAsia" w:ascii="宋体" w:hAnsi="宋体" w:cs="宋体"/>
          <w:szCs w:val="28"/>
          <w:highlight w:val="black"/>
        </w:rPr>
        <w:t>②井下低压动力电缆选用WD-MYJY-0.6/1kV型或WD-MYJY</w:t>
      </w:r>
      <w:r>
        <w:rPr>
          <w:rFonts w:hint="eastAsia" w:ascii="宋体" w:hAnsi="宋体" w:cs="宋体"/>
          <w:szCs w:val="28"/>
          <w:highlight w:val="black"/>
          <w:vertAlign w:val="subscript"/>
        </w:rPr>
        <w:t>23</w:t>
      </w:r>
      <w:r>
        <w:rPr>
          <w:rFonts w:hint="eastAsia" w:ascii="宋体" w:hAnsi="宋体" w:cs="宋体"/>
          <w:szCs w:val="28"/>
          <w:highlight w:val="black"/>
        </w:rPr>
        <w:t>-0.6/1kV型电力电缆。</w:t>
      </w:r>
    </w:p>
    <w:p w14:paraId="3CED376E">
      <w:pPr>
        <w:ind w:firstLine="560"/>
        <w:rPr>
          <w:rFonts w:ascii="宋体" w:hAnsi="宋体" w:cs="宋体"/>
          <w:szCs w:val="28"/>
          <w:highlight w:val="black"/>
        </w:rPr>
      </w:pPr>
      <w:r>
        <w:rPr>
          <w:rFonts w:hint="eastAsia" w:ascii="宋体" w:hAnsi="宋体" w:cs="宋体"/>
          <w:szCs w:val="28"/>
          <w:highlight w:val="black"/>
        </w:rPr>
        <w:t>③井下移动设备电缆选用矿用橡套电缆。</w:t>
      </w:r>
    </w:p>
    <w:p w14:paraId="73744D33">
      <w:pPr>
        <w:ind w:firstLine="560"/>
        <w:rPr>
          <w:rFonts w:ascii="宋体" w:hAnsi="宋体" w:cs="宋体"/>
          <w:szCs w:val="28"/>
          <w:highlight w:val="black"/>
        </w:rPr>
      </w:pPr>
      <w:r>
        <w:rPr>
          <w:rFonts w:hint="eastAsia" w:ascii="宋体" w:hAnsi="宋体" w:cs="宋体"/>
          <w:szCs w:val="28"/>
          <w:highlight w:val="black"/>
        </w:rPr>
        <w:t>④井下控制电缆选用WD-MKYJY-450/750、WD-MKYJY</w:t>
      </w:r>
      <w:r>
        <w:rPr>
          <w:rFonts w:hint="eastAsia" w:ascii="宋体" w:hAnsi="宋体" w:cs="宋体"/>
          <w:szCs w:val="28"/>
          <w:highlight w:val="black"/>
          <w:vertAlign w:val="subscript"/>
        </w:rPr>
        <w:t>23</w:t>
      </w:r>
      <w:r>
        <w:rPr>
          <w:rFonts w:hint="eastAsia" w:ascii="宋体" w:hAnsi="宋体" w:cs="宋体"/>
          <w:szCs w:val="28"/>
          <w:highlight w:val="black"/>
        </w:rPr>
        <w:t>-450/750型控制电缆。</w:t>
      </w:r>
    </w:p>
    <w:p w14:paraId="4FC2A05A">
      <w:pPr>
        <w:ind w:firstLine="560"/>
        <w:rPr>
          <w:rFonts w:ascii="宋体" w:hAnsi="宋体" w:cs="宋体"/>
          <w:szCs w:val="28"/>
          <w:highlight w:val="black"/>
        </w:rPr>
      </w:pPr>
      <w:r>
        <w:rPr>
          <w:rFonts w:hint="eastAsia" w:ascii="宋体" w:hAnsi="宋体" w:cs="宋体"/>
          <w:szCs w:val="28"/>
          <w:highlight w:val="black"/>
        </w:rPr>
        <w:t>⑤井下照明采用WD-MYJY-0.6/1kV型电力电缆。</w:t>
      </w:r>
    </w:p>
    <w:p w14:paraId="788E7C3A">
      <w:pPr>
        <w:ind w:firstLine="560"/>
        <w:rPr>
          <w:rFonts w:ascii="宋体" w:hAnsi="宋体" w:cs="宋体"/>
          <w:szCs w:val="28"/>
          <w:highlight w:val="black"/>
        </w:rPr>
      </w:pPr>
      <w:r>
        <w:rPr>
          <w:rFonts w:hint="eastAsia" w:ascii="宋体" w:hAnsi="宋体" w:cs="宋体"/>
          <w:szCs w:val="28"/>
          <w:highlight w:val="black"/>
        </w:rPr>
        <w:t>⑥在竖井井筒或倾角为45°及以上井巷内敷设的低压电力电缆采用WD-MYJY</w:t>
      </w:r>
      <w:r>
        <w:rPr>
          <w:rFonts w:hint="eastAsia" w:ascii="宋体" w:hAnsi="宋体" w:cs="宋体"/>
          <w:szCs w:val="28"/>
          <w:highlight w:val="black"/>
          <w:vertAlign w:val="subscript"/>
        </w:rPr>
        <w:t>43</w:t>
      </w:r>
      <w:r>
        <w:rPr>
          <w:rFonts w:hint="eastAsia" w:ascii="宋体" w:hAnsi="宋体" w:cs="宋体"/>
          <w:szCs w:val="28"/>
          <w:highlight w:val="black"/>
        </w:rPr>
        <w:t>-0.6/1kV型无卤低烟阻燃粗钢丝铠装铜芯电力电缆。</w:t>
      </w:r>
    </w:p>
    <w:p w14:paraId="0D40AD9E">
      <w:pPr>
        <w:ind w:firstLine="560"/>
        <w:rPr>
          <w:rFonts w:ascii="宋体" w:hAnsi="宋体" w:cs="宋体"/>
          <w:szCs w:val="28"/>
          <w:highlight w:val="black"/>
        </w:rPr>
      </w:pPr>
      <w:r>
        <w:rPr>
          <w:rFonts w:hint="eastAsia" w:ascii="宋体" w:hAnsi="宋体" w:cs="宋体"/>
          <w:szCs w:val="28"/>
          <w:highlight w:val="black"/>
        </w:rPr>
        <w:t>3）井下电缆敷设</w:t>
      </w:r>
    </w:p>
    <w:p w14:paraId="05513349">
      <w:pPr>
        <w:ind w:firstLine="560"/>
        <w:rPr>
          <w:rFonts w:ascii="宋体" w:hAnsi="宋体" w:cs="宋体"/>
          <w:szCs w:val="28"/>
          <w:highlight w:val="black"/>
        </w:rPr>
      </w:pPr>
      <w:r>
        <w:rPr>
          <w:rFonts w:hint="eastAsia" w:ascii="宋体" w:hAnsi="宋体" w:cs="宋体"/>
          <w:szCs w:val="28"/>
          <w:highlight w:val="black"/>
        </w:rPr>
        <w:t>①水平或倾斜巷道内的电缆悬挂的高度和位置，使电缆在运输车辆运行时不致受到撞击，在电缆坠落时不致落在车辆正常运行的通道上；电缆与水管、风管平行敷设时，电缆在管道上方，且净距不得小于0.3m。</w:t>
      </w:r>
    </w:p>
    <w:p w14:paraId="1729236E">
      <w:pPr>
        <w:ind w:firstLine="560"/>
        <w:rPr>
          <w:rFonts w:ascii="宋体" w:hAnsi="宋体" w:cs="宋体"/>
          <w:szCs w:val="28"/>
          <w:highlight w:val="black"/>
        </w:rPr>
      </w:pPr>
      <w:r>
        <w:rPr>
          <w:rFonts w:hint="eastAsia" w:ascii="宋体" w:hAnsi="宋体" w:cs="宋体"/>
          <w:szCs w:val="28"/>
          <w:highlight w:val="black"/>
        </w:rPr>
        <w:t>②敷设在巷道内的低压电缆之间的净距，不得小于0.05m，并不小于电缆外径。</w:t>
      </w:r>
    </w:p>
    <w:p w14:paraId="2040F75F">
      <w:pPr>
        <w:ind w:firstLine="560"/>
        <w:rPr>
          <w:rFonts w:ascii="宋体" w:hAnsi="宋体" w:cs="宋体"/>
          <w:szCs w:val="28"/>
          <w:highlight w:val="black"/>
        </w:rPr>
      </w:pPr>
      <w:r>
        <w:rPr>
          <w:rFonts w:hint="eastAsia" w:ascii="宋体" w:hAnsi="宋体" w:cs="宋体"/>
          <w:szCs w:val="28"/>
          <w:highlight w:val="black"/>
        </w:rPr>
        <w:t>③水平或倾斜巷道内的电缆悬挂点的间距小于3m，立井电缆悬挂点的间距小于6m。</w:t>
      </w:r>
    </w:p>
    <w:p w14:paraId="775ECB21">
      <w:pPr>
        <w:ind w:firstLine="560"/>
        <w:rPr>
          <w:rFonts w:ascii="宋体" w:hAnsi="宋体" w:cs="宋体"/>
          <w:szCs w:val="28"/>
          <w:highlight w:val="black"/>
        </w:rPr>
      </w:pPr>
      <w:r>
        <w:rPr>
          <w:rFonts w:hint="eastAsia" w:ascii="宋体" w:hAnsi="宋体" w:cs="宋体"/>
          <w:szCs w:val="28"/>
          <w:highlight w:val="black"/>
        </w:rPr>
        <w:t>④敷设在竖井内的电缆，和竖井深度相一致，中间不设接头，如竖井太深，将电缆接头部分设置在中段水平巷道内。</w:t>
      </w:r>
    </w:p>
    <w:p w14:paraId="0AA3A61B">
      <w:pPr>
        <w:ind w:firstLine="560"/>
        <w:rPr>
          <w:rFonts w:ascii="宋体" w:hAnsi="宋体" w:cs="宋体"/>
          <w:szCs w:val="28"/>
          <w:highlight w:val="black"/>
        </w:rPr>
      </w:pPr>
      <w:r>
        <w:rPr>
          <w:rFonts w:hint="eastAsia" w:ascii="宋体" w:hAnsi="宋体" w:cs="宋体"/>
          <w:szCs w:val="28"/>
          <w:highlight w:val="black"/>
        </w:rPr>
        <w:t>⑤巷道内的电缆每隔一定距离在分路点上，悬挂注明编号、用途、电压、型号、规格、起止地点等的标志牌。</w:t>
      </w:r>
    </w:p>
    <w:p w14:paraId="432809B0">
      <w:pPr>
        <w:ind w:left="0" w:leftChars="0" w:firstLine="0" w:firstLineChars="0"/>
        <w:rPr>
          <w:rFonts w:hint="eastAsia" w:ascii="宋体" w:hAnsi="宋体" w:cs="宋体"/>
          <w:b/>
          <w:bCs/>
          <w:szCs w:val="28"/>
        </w:rPr>
      </w:pPr>
      <w:r>
        <w:rPr>
          <w:rFonts w:hint="eastAsia" w:ascii="宋体" w:hAnsi="宋体" w:cs="宋体"/>
          <w:b/>
          <w:bCs/>
          <w:szCs w:val="28"/>
        </w:rPr>
        <w:t>2.4.8.5 电气安全保护措施</w:t>
      </w:r>
    </w:p>
    <w:p w14:paraId="72088165">
      <w:pPr>
        <w:ind w:firstLine="560"/>
        <w:rPr>
          <w:rFonts w:hint="eastAsia" w:ascii="宋体" w:hAnsi="宋体" w:cs="宋体"/>
          <w:szCs w:val="28"/>
          <w:highlight w:val="black"/>
        </w:rPr>
      </w:pPr>
      <w:r>
        <w:rPr>
          <w:rFonts w:hint="eastAsia" w:ascii="宋体" w:hAnsi="宋体" w:cs="宋体"/>
          <w:szCs w:val="28"/>
          <w:highlight w:val="black"/>
        </w:rPr>
        <w:t>（1）保护接地及等电位连接设施</w:t>
      </w:r>
    </w:p>
    <w:p w14:paraId="4B590570">
      <w:pPr>
        <w:ind w:firstLine="560"/>
        <w:rPr>
          <w:rFonts w:hint="eastAsia" w:ascii="宋体" w:hAnsi="宋体" w:cs="宋体"/>
          <w:szCs w:val="28"/>
          <w:highlight w:val="black"/>
          <w:lang w:val="zh-CN"/>
        </w:rPr>
      </w:pPr>
      <w:r>
        <w:rPr>
          <w:rFonts w:hint="eastAsia" w:ascii="宋体" w:hAnsi="宋体" w:cs="宋体"/>
          <w:szCs w:val="28"/>
          <w:highlight w:val="black"/>
          <w:lang w:val="zh-CN"/>
        </w:rPr>
        <w:t>井上保护接地及等电位联接设施：</w:t>
      </w:r>
    </w:p>
    <w:p w14:paraId="31327C5F">
      <w:pPr>
        <w:ind w:firstLine="560"/>
        <w:rPr>
          <w:rFonts w:hint="eastAsia" w:ascii="宋体" w:hAnsi="宋体" w:cs="宋体"/>
          <w:szCs w:val="28"/>
          <w:highlight w:val="black"/>
          <w:lang w:val="zh-CN"/>
        </w:rPr>
      </w:pPr>
      <w:r>
        <w:rPr>
          <w:rFonts w:hint="eastAsia" w:ascii="宋体" w:hAnsi="宋体" w:cs="宋体"/>
          <w:szCs w:val="28"/>
          <w:highlight w:val="black"/>
          <w:lang w:val="zh-CN"/>
        </w:rPr>
        <w:t>1）所有建筑物均设总等电位联结。</w:t>
      </w:r>
    </w:p>
    <w:p w14:paraId="78DA0474">
      <w:pPr>
        <w:tabs>
          <w:tab w:val="left" w:pos="0"/>
        </w:tabs>
        <w:ind w:firstLine="560"/>
        <w:rPr>
          <w:rFonts w:ascii="宋体" w:hAnsi="宋体" w:cs="宋体"/>
          <w:bCs/>
          <w:szCs w:val="28"/>
          <w:highlight w:val="black"/>
        </w:rPr>
      </w:pPr>
      <w:r>
        <w:rPr>
          <w:rFonts w:hint="eastAsia" w:ascii="宋体" w:hAnsi="宋体" w:cs="宋体"/>
          <w:bCs/>
          <w:szCs w:val="28"/>
          <w:highlight w:val="black"/>
          <w:lang w:val="zh-CN"/>
        </w:rPr>
        <w:t>2）电气设备工作接地、保护接地与防雷接地及弱电接地共用一组接地装置</w:t>
      </w:r>
      <w:r>
        <w:rPr>
          <w:rFonts w:hint="eastAsia" w:ascii="宋体" w:hAnsi="宋体" w:cs="宋体"/>
          <w:bCs/>
          <w:szCs w:val="28"/>
          <w:highlight w:val="black"/>
        </w:rPr>
        <w:t>时</w:t>
      </w:r>
      <w:r>
        <w:rPr>
          <w:rFonts w:hint="eastAsia" w:ascii="宋体" w:hAnsi="宋体" w:cs="宋体"/>
          <w:bCs/>
          <w:szCs w:val="28"/>
          <w:highlight w:val="black"/>
          <w:lang w:val="zh-CN"/>
        </w:rPr>
        <w:t>，接地电阻不大于1Ω，并</w:t>
      </w:r>
      <w:r>
        <w:rPr>
          <w:rFonts w:hint="eastAsia" w:ascii="宋体" w:hAnsi="宋体" w:cs="宋体"/>
          <w:bCs/>
          <w:szCs w:val="28"/>
          <w:highlight w:val="black"/>
        </w:rPr>
        <w:t>应</w:t>
      </w:r>
      <w:r>
        <w:rPr>
          <w:rFonts w:hint="eastAsia" w:ascii="宋体" w:hAnsi="宋体" w:cs="宋体"/>
          <w:bCs/>
          <w:szCs w:val="28"/>
          <w:highlight w:val="black"/>
          <w:lang w:val="zh-CN"/>
        </w:rPr>
        <w:t>进行等电位联结，</w:t>
      </w:r>
      <w:r>
        <w:rPr>
          <w:rFonts w:hint="eastAsia" w:ascii="宋体" w:hAnsi="宋体" w:cs="宋体"/>
          <w:bCs/>
          <w:szCs w:val="28"/>
          <w:highlight w:val="black"/>
        </w:rPr>
        <w:t>当弱电单独接地时，其</w:t>
      </w:r>
      <w:r>
        <w:rPr>
          <w:rFonts w:hint="eastAsia" w:ascii="宋体" w:hAnsi="宋体" w:cs="宋体"/>
          <w:bCs/>
          <w:szCs w:val="28"/>
          <w:highlight w:val="black"/>
          <w:lang w:val="zh-CN"/>
        </w:rPr>
        <w:t>接地电阻不大于1Ω，</w:t>
      </w:r>
      <w:r>
        <w:rPr>
          <w:rFonts w:hint="eastAsia" w:ascii="宋体" w:hAnsi="宋体" w:cs="宋体"/>
          <w:bCs/>
          <w:szCs w:val="28"/>
          <w:highlight w:val="black"/>
        </w:rPr>
        <w:t>其他接地电阻不大于2Ω。</w:t>
      </w:r>
    </w:p>
    <w:p w14:paraId="5EE9BBF7">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3）正常不带电的电气设备及装置的金属框架或外壳、电缆的金属包皮均作保护接地，与地面配变主接地极联结成网。</w:t>
      </w:r>
    </w:p>
    <w:p w14:paraId="47DCED3D">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4）当电源线路超过50m时，在电源线进入厂房的入口处做重复接地，其接地电阻值小于或等于10Ω。</w:t>
      </w:r>
    </w:p>
    <w:p w14:paraId="01861654">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井下保护接地及等电位联接设施：</w:t>
      </w:r>
    </w:p>
    <w:p w14:paraId="10134DD7">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1）井下低压配电系统接地型式为IT接地型式。低压线路均装设相间短路和过负荷保护。</w:t>
      </w:r>
    </w:p>
    <w:p w14:paraId="4F9DE2DC">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2）36V以上及由于绝缘损坏而带有危险电压的电气装置、设备的外露可导电部分和构架等均接地。</w:t>
      </w:r>
    </w:p>
    <w:p w14:paraId="7714E846">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3）井下各开采水平的主接地装置和所有局部接地装置均通过接地干线相互连接，构成一个开采水平的井下总接地网。井下各开采水平总接地网之间通过专用接地干线相互连接，构成井下总接地网，主接地极为二组，安设在水仓中，当任一组主接地极断开后，在接地干线上任一点所测得的总接地电阻均不得大于2Ω。装设的接地装置应使接地部分的计算接触电压不超过40V。每一移动设备在总接地网或最近接地极之间的接地电阻不得超过1Ω。</w:t>
      </w:r>
    </w:p>
    <w:p w14:paraId="781FBF8F">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主接地装置采用镀锌钢板，其面积不应小于0.75m</w:t>
      </w:r>
      <w:r>
        <w:rPr>
          <w:rFonts w:hint="eastAsia" w:ascii="宋体" w:hAnsi="宋体" w:cs="宋体"/>
          <w:bCs/>
          <w:szCs w:val="28"/>
          <w:highlight w:val="black"/>
          <w:vertAlign w:val="superscript"/>
          <w:lang w:val="zh-CN"/>
        </w:rPr>
        <w:t>2</w:t>
      </w:r>
      <w:r>
        <w:rPr>
          <w:rFonts w:hint="eastAsia" w:ascii="宋体" w:hAnsi="宋体" w:cs="宋体"/>
          <w:bCs/>
          <w:szCs w:val="28"/>
          <w:highlight w:val="black"/>
          <w:lang w:val="zh-CN"/>
        </w:rPr>
        <w:t>，厚度不应小于5mm。连接主接地装置的接地母线，采用厚度为4mm、截面积为100mm</w:t>
      </w:r>
      <w:r>
        <w:rPr>
          <w:rFonts w:hint="eastAsia" w:ascii="宋体" w:hAnsi="宋体" w:cs="宋体"/>
          <w:bCs/>
          <w:szCs w:val="28"/>
          <w:highlight w:val="black"/>
          <w:vertAlign w:val="superscript"/>
          <w:lang w:val="zh-CN"/>
        </w:rPr>
        <w:t>2</w:t>
      </w:r>
      <w:r>
        <w:rPr>
          <w:rFonts w:hint="eastAsia" w:ascii="宋体" w:hAnsi="宋体" w:cs="宋体"/>
          <w:bCs/>
          <w:szCs w:val="28"/>
          <w:highlight w:val="black"/>
          <w:lang w:val="zh-CN"/>
        </w:rPr>
        <w:t>的扁钢。</w:t>
      </w:r>
    </w:p>
    <w:p w14:paraId="7504D425">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4）下列地点设局部接地极：</w:t>
      </w:r>
    </w:p>
    <w:p w14:paraId="554B91BE">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①装有电气设备的硐室；</w:t>
      </w:r>
    </w:p>
    <w:p w14:paraId="4F22FB11">
      <w:pPr>
        <w:tabs>
          <w:tab w:val="left" w:pos="0"/>
        </w:tabs>
        <w:ind w:firstLine="560"/>
        <w:rPr>
          <w:rFonts w:ascii="宋体" w:hAnsi="宋体" w:cs="宋体"/>
          <w:bCs/>
          <w:szCs w:val="28"/>
          <w:highlight w:val="black"/>
          <w:lang w:val="zh-CN"/>
        </w:rPr>
      </w:pPr>
      <w:r>
        <w:rPr>
          <w:rFonts w:hint="eastAsia" w:ascii="宋体" w:hAnsi="宋体" w:cs="宋体"/>
          <w:bCs/>
          <w:szCs w:val="28"/>
          <w:highlight w:val="black"/>
          <w:lang w:val="zh-CN"/>
        </w:rPr>
        <w:t>②工作面配电点；</w:t>
      </w:r>
    </w:p>
    <w:p w14:paraId="0C069B3D">
      <w:pPr>
        <w:tabs>
          <w:tab w:val="left" w:pos="0"/>
        </w:tabs>
        <w:ind w:firstLine="560"/>
        <w:rPr>
          <w:rFonts w:ascii="宋体" w:hAnsi="宋体" w:cs="宋体"/>
          <w:bCs/>
          <w:szCs w:val="28"/>
          <w:highlight w:val="black"/>
        </w:rPr>
      </w:pPr>
      <w:r>
        <w:rPr>
          <w:rFonts w:hint="eastAsia" w:ascii="宋体" w:hAnsi="宋体" w:cs="宋体"/>
          <w:bCs/>
          <w:szCs w:val="28"/>
          <w:highlight w:val="black"/>
          <w:lang w:val="zh-CN"/>
        </w:rPr>
        <w:t>③铠装电缆每个接线盒的金属外壳应可靠接地</w:t>
      </w:r>
      <w:r>
        <w:rPr>
          <w:rFonts w:hint="eastAsia" w:ascii="宋体" w:hAnsi="宋体" w:cs="宋体"/>
          <w:bCs/>
          <w:szCs w:val="28"/>
          <w:highlight w:val="black"/>
        </w:rPr>
        <w:t>。</w:t>
      </w:r>
    </w:p>
    <w:p w14:paraId="747E2163">
      <w:pPr>
        <w:tabs>
          <w:tab w:val="left" w:pos="0"/>
        </w:tabs>
        <w:ind w:firstLine="560"/>
        <w:rPr>
          <w:rFonts w:ascii="宋体" w:hAnsi="宋体" w:cs="宋体"/>
          <w:bCs/>
          <w:szCs w:val="28"/>
          <w:highlight w:val="black"/>
        </w:rPr>
      </w:pPr>
      <w:r>
        <w:rPr>
          <w:rFonts w:hint="eastAsia" w:ascii="宋体" w:hAnsi="宋体" w:cs="宋体"/>
          <w:bCs/>
          <w:szCs w:val="28"/>
          <w:highlight w:val="black"/>
          <w:lang w:val="zh-CN"/>
        </w:rPr>
        <w:t>④局部接地装置安设于巷道水沟内或其他就近的潮湿处。设置于巷道水沟中的</w:t>
      </w:r>
      <w:r>
        <w:rPr>
          <w:rFonts w:hint="eastAsia" w:ascii="宋体" w:hAnsi="宋体" w:cs="宋体"/>
          <w:bCs/>
          <w:szCs w:val="28"/>
          <w:highlight w:val="black"/>
        </w:rPr>
        <w:t>局部接地极用面积不应小于0.6m</w:t>
      </w:r>
      <w:r>
        <w:rPr>
          <w:rFonts w:hint="eastAsia" w:ascii="宋体" w:hAnsi="宋体" w:cs="宋体"/>
          <w:bCs/>
          <w:szCs w:val="28"/>
          <w:highlight w:val="black"/>
          <w:vertAlign w:val="superscript"/>
        </w:rPr>
        <w:t>2</w:t>
      </w:r>
      <w:r>
        <w:rPr>
          <w:rFonts w:hint="eastAsia" w:ascii="宋体" w:hAnsi="宋体" w:cs="宋体"/>
          <w:bCs/>
          <w:szCs w:val="28"/>
          <w:highlight w:val="black"/>
        </w:rPr>
        <w:t>，厚度不应小于3mm的钢板或具有同等有效面积的钢管制成，并应平放于水沟深处。设置在其他地点的局部接地极，可用直径不小于35mm、长度不小于1.5m的钢管制成，钢管上应至少钻20个直径不小于5mm的透孔，并垂直全部埋入底板；也可用直径不小于22mm、长度为1m的2根钢管制成，每根管上应钻10个直径不小于5mm的透孔，2根钢管相距不得小于5m，并联后垂直埋入底板，垂直埋深不得小于0.75m。</w:t>
      </w:r>
    </w:p>
    <w:p w14:paraId="25D3D5F1">
      <w:pPr>
        <w:tabs>
          <w:tab w:val="left" w:pos="0"/>
        </w:tabs>
        <w:ind w:firstLine="560"/>
        <w:rPr>
          <w:rFonts w:ascii="宋体" w:hAnsi="宋体" w:cs="宋体"/>
          <w:bCs/>
          <w:szCs w:val="28"/>
          <w:highlight w:val="black"/>
        </w:rPr>
      </w:pPr>
      <w:r>
        <w:rPr>
          <w:rFonts w:hint="eastAsia" w:ascii="宋体" w:hAnsi="宋体" w:cs="宋体"/>
          <w:bCs/>
          <w:szCs w:val="28"/>
          <w:highlight w:val="black"/>
        </w:rPr>
        <w:t>电气设备的外壳与局部接地极的连接，电缆连接装置两头的铠装、铅皮的连接，采用厚度为4mm</w:t>
      </w:r>
      <w:r>
        <w:rPr>
          <w:rFonts w:hint="eastAsia" w:ascii="宋体" w:hAnsi="宋体" w:cs="宋体"/>
          <w:bCs/>
          <w:szCs w:val="28"/>
          <w:highlight w:val="black"/>
          <w:vertAlign w:val="superscript"/>
        </w:rPr>
        <w:t>2</w:t>
      </w:r>
      <w:r>
        <w:rPr>
          <w:rFonts w:hint="eastAsia" w:ascii="宋体" w:hAnsi="宋体" w:cs="宋体"/>
          <w:bCs/>
          <w:szCs w:val="28"/>
          <w:highlight w:val="black"/>
        </w:rPr>
        <w:t>、截面积为50mm</w:t>
      </w:r>
      <w:r>
        <w:rPr>
          <w:rFonts w:hint="eastAsia" w:ascii="宋体" w:hAnsi="宋体" w:cs="宋体"/>
          <w:bCs/>
          <w:szCs w:val="28"/>
          <w:highlight w:val="black"/>
          <w:vertAlign w:val="superscript"/>
        </w:rPr>
        <w:t>2</w:t>
      </w:r>
      <w:r>
        <w:rPr>
          <w:rFonts w:hint="eastAsia" w:ascii="宋体" w:hAnsi="宋体" w:cs="宋体"/>
          <w:bCs/>
          <w:szCs w:val="28"/>
          <w:highlight w:val="black"/>
        </w:rPr>
        <w:t>的扁钢。</w:t>
      </w:r>
    </w:p>
    <w:p w14:paraId="4AC34582">
      <w:pPr>
        <w:tabs>
          <w:tab w:val="left" w:pos="0"/>
        </w:tabs>
        <w:ind w:firstLine="560"/>
        <w:rPr>
          <w:rFonts w:ascii="宋体" w:hAnsi="宋体" w:cs="宋体"/>
          <w:bCs/>
          <w:szCs w:val="28"/>
          <w:highlight w:val="black"/>
        </w:rPr>
      </w:pPr>
      <w:r>
        <w:rPr>
          <w:rFonts w:hint="eastAsia" w:ascii="宋体" w:hAnsi="宋体" w:cs="宋体"/>
          <w:bCs/>
          <w:szCs w:val="28"/>
          <w:highlight w:val="black"/>
        </w:rPr>
        <w:t>5）井下所有电气设备的金属外壳及电缆的配件、金属外皮等，以及巷道中接近电缆线路的金属构件等，均与保护导体可靠连接。</w:t>
      </w:r>
    </w:p>
    <w:p w14:paraId="404E6697">
      <w:pPr>
        <w:tabs>
          <w:tab w:val="left" w:pos="0"/>
        </w:tabs>
        <w:ind w:firstLine="560"/>
        <w:rPr>
          <w:rFonts w:ascii="宋体" w:hAnsi="宋体" w:cs="宋体"/>
          <w:bCs/>
          <w:szCs w:val="28"/>
          <w:highlight w:val="black"/>
        </w:rPr>
      </w:pPr>
      <w:r>
        <w:rPr>
          <w:rFonts w:hint="eastAsia" w:ascii="宋体" w:hAnsi="宋体" w:cs="宋体"/>
          <w:bCs/>
          <w:szCs w:val="28"/>
          <w:highlight w:val="black"/>
        </w:rPr>
        <w:t>6）直接从地面供电的井下配电所的接地母线应与其附近的供水、排水、排泥管路、充填管路等金属物及沿井巷装设的金属结构作总等电位联结。</w:t>
      </w:r>
    </w:p>
    <w:p w14:paraId="1AC28AF2">
      <w:pPr>
        <w:pStyle w:val="65"/>
        <w:numPr>
          <w:ilvl w:val="3"/>
          <w:numId w:val="0"/>
        </w:numPr>
        <w:spacing w:line="360" w:lineRule="auto"/>
        <w:ind w:firstLine="560" w:firstLineChars="200"/>
        <w:rPr>
          <w:rFonts w:ascii="宋体" w:hAnsi="宋体" w:cs="宋体"/>
          <w:b w:val="0"/>
          <w:bCs/>
          <w:szCs w:val="28"/>
          <w:highlight w:val="black"/>
        </w:rPr>
      </w:pPr>
      <w:r>
        <w:rPr>
          <w:rFonts w:hint="eastAsia" w:ascii="宋体" w:hAnsi="宋体" w:cs="宋体"/>
          <w:b w:val="0"/>
          <w:bCs/>
          <w:szCs w:val="28"/>
          <w:highlight w:val="black"/>
        </w:rPr>
        <w:t>（2）井下低压配电系统故障（间接接触）防护装置</w:t>
      </w:r>
    </w:p>
    <w:p w14:paraId="34592275">
      <w:pPr>
        <w:snapToGrid w:val="0"/>
        <w:ind w:firstLine="560"/>
        <w:rPr>
          <w:rFonts w:ascii="宋体" w:hAnsi="宋体" w:cs="宋体"/>
          <w:bCs/>
          <w:szCs w:val="28"/>
          <w:highlight w:val="black"/>
        </w:rPr>
      </w:pPr>
      <w:r>
        <w:rPr>
          <w:rFonts w:hint="eastAsia" w:ascii="宋体" w:hAnsi="宋体" w:cs="宋体"/>
          <w:bCs/>
          <w:szCs w:val="28"/>
          <w:highlight w:val="black"/>
        </w:rPr>
        <w:t>井下低压IT系统装设绝缘监视（IMD）及综合选漏保护装置（RCD），并具有如下功能：</w:t>
      </w:r>
    </w:p>
    <w:p w14:paraId="5A8BB35A">
      <w:pPr>
        <w:snapToGrid w:val="0"/>
        <w:ind w:firstLine="560"/>
        <w:rPr>
          <w:rFonts w:ascii="宋体" w:hAnsi="宋体" w:cs="宋体"/>
          <w:bCs/>
          <w:szCs w:val="28"/>
          <w:highlight w:val="black"/>
        </w:rPr>
      </w:pPr>
      <w:r>
        <w:rPr>
          <w:rFonts w:hint="eastAsia" w:ascii="宋体" w:hAnsi="宋体" w:cs="宋体"/>
          <w:bCs/>
          <w:szCs w:val="28"/>
          <w:highlight w:val="black"/>
        </w:rPr>
        <w:t>1）当低压系统绝缘下降到整定值（380V单相对地动作电阻值设定为3.5kΩ），绝缘监视装置（IMD）发出可听和可视信号。</w:t>
      </w:r>
    </w:p>
    <w:p w14:paraId="3C6C5D29">
      <w:pPr>
        <w:snapToGrid w:val="0"/>
        <w:ind w:firstLine="560"/>
        <w:rPr>
          <w:rFonts w:ascii="宋体" w:hAnsi="宋体" w:cs="宋体"/>
          <w:bCs/>
          <w:szCs w:val="28"/>
          <w:highlight w:val="black"/>
        </w:rPr>
      </w:pPr>
      <w:r>
        <w:rPr>
          <w:rFonts w:hint="eastAsia" w:ascii="宋体" w:hAnsi="宋体" w:cs="宋体"/>
          <w:bCs/>
          <w:szCs w:val="28"/>
          <w:highlight w:val="black"/>
        </w:rPr>
        <w:t>2）当发生对外露导电部分或对地的单一接地故障且预期接触电压超过36V时，综合选漏保护装置（RCD）能在0.1s内迅速切断故障线路，并且同时发出声、光报警信号。当发生对外露导电部分或对地的单一接地故障且预期接触电压不超过36V时，可不切断故障回路电源而继续保持短时运行，并由绝缘监视装置发出可听和可见的报警信号。当发生第二异相接地故障时（即相间短路），应由断路器切断故障回路。</w:t>
      </w:r>
    </w:p>
    <w:p w14:paraId="243EC317">
      <w:pPr>
        <w:snapToGrid w:val="0"/>
        <w:ind w:firstLine="560"/>
        <w:rPr>
          <w:rFonts w:ascii="宋体" w:hAnsi="宋体" w:cs="宋体"/>
          <w:bCs/>
          <w:szCs w:val="28"/>
          <w:highlight w:val="black"/>
        </w:rPr>
      </w:pPr>
      <w:r>
        <w:rPr>
          <w:rFonts w:hint="eastAsia" w:ascii="宋体" w:hAnsi="宋体" w:cs="宋体"/>
          <w:bCs/>
          <w:szCs w:val="28"/>
          <w:highlight w:val="black"/>
        </w:rPr>
        <w:t>3）绝缘监视（IMD）及综合选漏保护装置（RCD）具有电容电流补偿功能，减少单相接地电容电流，能避免人身触电伤亡，防止漏电电流电火花，引发爆炸等危险发生。</w:t>
      </w:r>
    </w:p>
    <w:p w14:paraId="16CF10FD">
      <w:pPr>
        <w:tabs>
          <w:tab w:val="left" w:pos="0"/>
        </w:tabs>
        <w:ind w:firstLine="560"/>
        <w:rPr>
          <w:rFonts w:ascii="宋体" w:hAnsi="宋体" w:cs="宋体"/>
          <w:bCs/>
          <w:szCs w:val="28"/>
          <w:highlight w:val="black"/>
        </w:rPr>
      </w:pPr>
      <w:r>
        <w:rPr>
          <w:rFonts w:hint="eastAsia" w:ascii="宋体" w:hAnsi="宋体" w:cs="宋体"/>
          <w:bCs/>
          <w:szCs w:val="28"/>
          <w:highlight w:val="black"/>
        </w:rPr>
        <w:t>4）井下各低压电气设备外壳或金属结构；配电装置的金属构架、遮拦、门；固定及移动用电设备；电气传动装置；电缆金属接线盒、电缆金属外皮、电缆金属支架、互感器二次线圈等都做接地保护，接地电阻≤2Ω。</w:t>
      </w:r>
    </w:p>
    <w:p w14:paraId="20CB8644">
      <w:pPr>
        <w:pStyle w:val="65"/>
        <w:numPr>
          <w:ilvl w:val="3"/>
          <w:numId w:val="0"/>
        </w:numPr>
        <w:spacing w:line="360" w:lineRule="auto"/>
        <w:ind w:firstLine="560" w:firstLineChars="200"/>
        <w:rPr>
          <w:rFonts w:ascii="宋体" w:hAnsi="宋体" w:cs="宋体"/>
          <w:b w:val="0"/>
          <w:bCs/>
          <w:szCs w:val="28"/>
          <w:highlight w:val="black"/>
        </w:rPr>
      </w:pPr>
      <w:r>
        <w:rPr>
          <w:rFonts w:hint="eastAsia" w:ascii="宋体" w:hAnsi="宋体" w:cs="宋体"/>
          <w:b w:val="0"/>
          <w:bCs/>
          <w:szCs w:val="28"/>
          <w:highlight w:val="black"/>
        </w:rPr>
        <w:t>（3）裸带电体基本（直接接触）防护设施</w:t>
      </w:r>
    </w:p>
    <w:p w14:paraId="3AEA95B3">
      <w:pPr>
        <w:snapToGrid w:val="0"/>
        <w:ind w:firstLine="560"/>
        <w:rPr>
          <w:rFonts w:ascii="宋体" w:hAnsi="宋体" w:cs="宋体"/>
          <w:bCs/>
          <w:szCs w:val="28"/>
          <w:highlight w:val="black"/>
        </w:rPr>
      </w:pPr>
      <w:r>
        <w:rPr>
          <w:rFonts w:hint="eastAsia" w:ascii="宋体" w:hAnsi="宋体" w:cs="宋体"/>
          <w:bCs/>
          <w:szCs w:val="28"/>
          <w:highlight w:val="black"/>
        </w:rPr>
        <w:t>对于裸带电体的防护措施设计采用的方法是保持间距和设置屏障。</w:t>
      </w:r>
    </w:p>
    <w:p w14:paraId="547DDA4E">
      <w:pPr>
        <w:snapToGrid w:val="0"/>
        <w:ind w:firstLine="560"/>
        <w:rPr>
          <w:rFonts w:ascii="宋体" w:hAnsi="宋体" w:cs="宋体"/>
          <w:bCs/>
          <w:szCs w:val="28"/>
          <w:highlight w:val="black"/>
        </w:rPr>
      </w:pPr>
      <w:r>
        <w:rPr>
          <w:rFonts w:hint="eastAsia" w:ascii="宋体" w:hAnsi="宋体" w:cs="宋体"/>
          <w:bCs/>
          <w:szCs w:val="28"/>
          <w:highlight w:val="black"/>
        </w:rPr>
        <w:t>1） 井下所选用的低压开关柜为矿安（矿用）资质，开关柜要求防护等级不得低于IP54（GB-T 12173-2008矿用一般型电气设备）。</w:t>
      </w:r>
    </w:p>
    <w:p w14:paraId="7B2CB9D9">
      <w:pPr>
        <w:snapToGrid w:val="0"/>
        <w:ind w:firstLine="560"/>
        <w:rPr>
          <w:rFonts w:ascii="宋体" w:hAnsi="宋体" w:cs="宋体"/>
          <w:bCs/>
          <w:szCs w:val="28"/>
          <w:highlight w:val="black"/>
        </w:rPr>
      </w:pPr>
      <w:r>
        <w:rPr>
          <w:rFonts w:hint="eastAsia" w:ascii="宋体" w:hAnsi="宋体" w:cs="宋体"/>
          <w:bCs/>
          <w:szCs w:val="28"/>
          <w:highlight w:val="black"/>
        </w:rPr>
        <w:t>2）绝缘：主要电气设备或线路应达的绝缘电阻值：1kV以下的配电装置，每一相绝缘电阻不小于0.5兆欧，电力布线绝缘电阻不小于0.5兆欧；新装和运行1kV以上的电力线路，要求每个绝缘子绝缘电阻不小于300兆欧。</w:t>
      </w:r>
    </w:p>
    <w:p w14:paraId="7DE2C006">
      <w:pPr>
        <w:snapToGrid w:val="0"/>
        <w:ind w:firstLine="560"/>
        <w:rPr>
          <w:rFonts w:ascii="宋体" w:hAnsi="宋体" w:cs="宋体"/>
          <w:bCs/>
          <w:szCs w:val="28"/>
          <w:highlight w:val="black"/>
        </w:rPr>
      </w:pPr>
      <w:r>
        <w:rPr>
          <w:rFonts w:hint="eastAsia" w:ascii="宋体" w:hAnsi="宋体" w:cs="宋体"/>
          <w:bCs/>
          <w:szCs w:val="28"/>
          <w:highlight w:val="black"/>
        </w:rPr>
        <w:t>3）屏护：屏护装置所用的材料应有足够的机械强度和良好的耐火性能。为了防止因意外带电造成触电事故，对金属材料制成的屏护装置必须实行可靠地接地。</w:t>
      </w:r>
    </w:p>
    <w:p w14:paraId="7EEDB2AB">
      <w:pPr>
        <w:snapToGrid w:val="0"/>
        <w:ind w:firstLine="560"/>
        <w:rPr>
          <w:rFonts w:ascii="宋体" w:hAnsi="宋体" w:cs="宋体"/>
          <w:bCs/>
          <w:szCs w:val="28"/>
          <w:highlight w:val="black"/>
        </w:rPr>
      </w:pPr>
      <w:r>
        <w:rPr>
          <w:rFonts w:hint="eastAsia" w:ascii="宋体" w:hAnsi="宋体" w:cs="宋体"/>
          <w:bCs/>
          <w:szCs w:val="28"/>
          <w:highlight w:val="black"/>
        </w:rPr>
        <w:t>4）间距：间距是防止人体接触或接近带电体造成触电事故；避免车辆或其他器具碰撞或过分接近带电体造成事故；防止火灾、过电压放电及各种短路事故，以及方便操作。不同电压等级、不同设备类型、不同安装方式、不同的周围环境所要求的间距不同，应按照相关电气规范要求调整符合现场环境的间距。</w:t>
      </w:r>
    </w:p>
    <w:p w14:paraId="7FEC3A23">
      <w:pPr>
        <w:tabs>
          <w:tab w:val="left" w:pos="0"/>
        </w:tabs>
        <w:ind w:firstLine="560"/>
        <w:rPr>
          <w:rFonts w:ascii="宋体" w:hAnsi="宋体" w:cs="宋体"/>
          <w:bCs/>
          <w:szCs w:val="28"/>
          <w:highlight w:val="black"/>
        </w:rPr>
      </w:pPr>
      <w:r>
        <w:rPr>
          <w:rFonts w:hint="eastAsia" w:ascii="宋体" w:hAnsi="宋体" w:cs="宋体"/>
          <w:bCs/>
          <w:szCs w:val="28"/>
          <w:highlight w:val="black"/>
        </w:rPr>
        <w:t>5）电缆沟盖板：地表变电所及井下配电室内电缆沟盖板采用钢筋混凝土盖板或钢盖板。钢筋混凝土盖板的重量不超过50kg，钢盖板的重量不超过30kg。</w:t>
      </w:r>
    </w:p>
    <w:p w14:paraId="247F3FD6">
      <w:pPr>
        <w:pStyle w:val="65"/>
        <w:numPr>
          <w:ilvl w:val="3"/>
          <w:numId w:val="0"/>
        </w:numPr>
        <w:spacing w:line="360" w:lineRule="auto"/>
        <w:ind w:firstLine="560" w:firstLineChars="200"/>
        <w:rPr>
          <w:rFonts w:ascii="宋体" w:hAnsi="宋体" w:cs="宋体"/>
          <w:b w:val="0"/>
          <w:bCs/>
          <w:szCs w:val="28"/>
          <w:highlight w:val="black"/>
        </w:rPr>
      </w:pPr>
      <w:r>
        <w:rPr>
          <w:rFonts w:hint="eastAsia" w:ascii="宋体" w:hAnsi="宋体" w:cs="宋体"/>
          <w:b w:val="0"/>
          <w:bCs/>
          <w:szCs w:val="28"/>
          <w:highlight w:val="black"/>
        </w:rPr>
        <w:t>（4）爆炸危险场所电机车轨道电气的安全措施</w:t>
      </w:r>
    </w:p>
    <w:p w14:paraId="40C0B69B">
      <w:pPr>
        <w:tabs>
          <w:tab w:val="left" w:pos="0"/>
        </w:tabs>
        <w:ind w:firstLine="560"/>
        <w:rPr>
          <w:rFonts w:ascii="宋体" w:hAnsi="宋体" w:cs="宋体"/>
          <w:bCs/>
          <w:szCs w:val="28"/>
          <w:highlight w:val="black"/>
        </w:rPr>
      </w:pPr>
      <w:r>
        <w:rPr>
          <w:rFonts w:hint="eastAsia" w:ascii="宋体" w:hAnsi="宋体" w:cs="宋体"/>
          <w:bCs/>
          <w:szCs w:val="28"/>
          <w:highlight w:val="black"/>
        </w:rPr>
        <w:t>不涉及。</w:t>
      </w:r>
    </w:p>
    <w:p w14:paraId="3C2A2530">
      <w:pPr>
        <w:pStyle w:val="65"/>
        <w:numPr>
          <w:ilvl w:val="3"/>
          <w:numId w:val="0"/>
        </w:numPr>
        <w:spacing w:line="360" w:lineRule="auto"/>
        <w:ind w:firstLine="560" w:firstLineChars="200"/>
        <w:rPr>
          <w:rFonts w:ascii="宋体" w:hAnsi="宋体" w:cs="宋体"/>
          <w:b w:val="0"/>
          <w:bCs/>
          <w:szCs w:val="28"/>
          <w:highlight w:val="black"/>
        </w:rPr>
      </w:pPr>
      <w:r>
        <w:rPr>
          <w:rFonts w:hint="eastAsia" w:ascii="宋体" w:hAnsi="宋体" w:cs="宋体"/>
          <w:b w:val="0"/>
          <w:bCs/>
          <w:szCs w:val="28"/>
          <w:highlight w:val="black"/>
        </w:rPr>
        <w:t>（5）井下照明设施、变配电设施及硐室应急照明设施</w:t>
      </w:r>
    </w:p>
    <w:p w14:paraId="37E163DA">
      <w:pPr>
        <w:tabs>
          <w:tab w:val="left" w:pos="0"/>
        </w:tabs>
        <w:ind w:firstLine="560"/>
        <w:rPr>
          <w:rFonts w:ascii="宋体" w:hAnsi="宋体" w:cs="宋体"/>
          <w:bCs/>
          <w:szCs w:val="28"/>
          <w:highlight w:val="black"/>
        </w:rPr>
      </w:pPr>
      <w:r>
        <w:rPr>
          <w:rFonts w:hint="eastAsia" w:ascii="宋体" w:hAnsi="宋体" w:cs="宋体"/>
          <w:bCs/>
          <w:szCs w:val="28"/>
          <w:highlight w:val="black"/>
        </w:rPr>
        <w:t>井下所有作业地点、安全通道及通往作业地点的通道都安装照明。</w:t>
      </w:r>
    </w:p>
    <w:p w14:paraId="5CC06BA0">
      <w:pPr>
        <w:tabs>
          <w:tab w:val="left" w:pos="0"/>
        </w:tabs>
        <w:ind w:firstLine="560"/>
        <w:rPr>
          <w:rFonts w:ascii="宋体" w:hAnsi="宋体" w:cs="宋体"/>
          <w:bCs/>
          <w:szCs w:val="28"/>
          <w:highlight w:val="black"/>
        </w:rPr>
      </w:pPr>
      <w:r>
        <w:rPr>
          <w:rFonts w:hint="eastAsia" w:ascii="宋体" w:hAnsi="宋体" w:cs="宋体"/>
          <w:bCs/>
          <w:szCs w:val="28"/>
          <w:highlight w:val="black"/>
        </w:rPr>
        <w:t>由向井下供电变压器低压出线侧的断路器之前引出照明电源，天井、天井至回采工作面、采掘工作面等照明采用36V，经局部照明变压器将380V电压降至220V、36V等。</w:t>
      </w:r>
    </w:p>
    <w:p w14:paraId="5CEDB343">
      <w:pPr>
        <w:tabs>
          <w:tab w:val="left" w:pos="0"/>
        </w:tabs>
        <w:ind w:firstLine="560"/>
        <w:rPr>
          <w:rFonts w:ascii="宋体" w:hAnsi="宋体" w:cs="宋体"/>
          <w:bCs/>
          <w:szCs w:val="28"/>
          <w:highlight w:val="black"/>
        </w:rPr>
      </w:pPr>
      <w:r>
        <w:rPr>
          <w:rFonts w:hint="eastAsia" w:ascii="宋体" w:hAnsi="宋体" w:cs="宋体"/>
          <w:bCs/>
          <w:szCs w:val="28"/>
          <w:highlight w:val="black"/>
        </w:rPr>
        <w:t>照明为独立的供电系统，该照明线路上严禁分接其他用电负荷。</w:t>
      </w:r>
    </w:p>
    <w:p w14:paraId="2602FEE3">
      <w:pPr>
        <w:tabs>
          <w:tab w:val="left" w:pos="0"/>
        </w:tabs>
        <w:ind w:firstLine="560"/>
        <w:rPr>
          <w:rFonts w:ascii="宋体" w:hAnsi="宋体" w:cs="宋体"/>
          <w:bCs/>
          <w:szCs w:val="28"/>
          <w:highlight w:val="black"/>
        </w:rPr>
      </w:pPr>
      <w:r>
        <w:rPr>
          <w:rFonts w:hint="eastAsia" w:ascii="宋体" w:hAnsi="宋体" w:cs="宋体"/>
          <w:bCs/>
          <w:szCs w:val="28"/>
          <w:highlight w:val="black"/>
        </w:rPr>
        <w:t>供电线路：采用WD-MYJY-3×6型无卤低烟阻燃线材，根据巷道情况敷设于顶部或侧面，以免受车辆损坏。</w:t>
      </w:r>
    </w:p>
    <w:p w14:paraId="5BF9135E">
      <w:pPr>
        <w:tabs>
          <w:tab w:val="left" w:pos="0"/>
        </w:tabs>
        <w:ind w:firstLine="560"/>
        <w:rPr>
          <w:rFonts w:ascii="宋体" w:hAnsi="宋体" w:cs="宋体"/>
          <w:bCs/>
          <w:szCs w:val="28"/>
          <w:highlight w:val="black"/>
        </w:rPr>
      </w:pPr>
      <w:r>
        <w:rPr>
          <w:rFonts w:hint="eastAsia" w:ascii="宋体" w:hAnsi="宋体" w:cs="宋体"/>
          <w:bCs/>
          <w:szCs w:val="28"/>
          <w:highlight w:val="black"/>
        </w:rPr>
        <w:t>井下照明采用具有防水、防潮、防尘功能的LED光源灯具。安装间距可根据道路情况适当增减。</w:t>
      </w:r>
    </w:p>
    <w:p w14:paraId="7D68F33B">
      <w:pPr>
        <w:tabs>
          <w:tab w:val="left" w:pos="0"/>
        </w:tabs>
        <w:ind w:firstLine="560"/>
        <w:rPr>
          <w:rFonts w:ascii="宋体" w:hAnsi="宋体" w:cs="宋体"/>
          <w:bCs/>
          <w:szCs w:val="28"/>
          <w:highlight w:val="black"/>
        </w:rPr>
      </w:pPr>
      <w:r>
        <w:rPr>
          <w:rFonts w:hint="eastAsia" w:ascii="宋体" w:hAnsi="宋体" w:cs="宋体"/>
          <w:bCs/>
          <w:szCs w:val="28"/>
          <w:highlight w:val="black"/>
        </w:rPr>
        <w:t>井下中央变电所、主排水泵房、主通风机房及监控室、生产调度室、通信站和网络中心等场所设置应急照明设施，采用装有带蓄电池的应急照明灯具，应急时间T≥180min。</w:t>
      </w:r>
    </w:p>
    <w:p w14:paraId="3E4828D4">
      <w:pPr>
        <w:pStyle w:val="63"/>
        <w:snapToGrid w:val="0"/>
        <w:spacing w:line="240" w:lineRule="auto"/>
        <w:ind w:left="0" w:firstLine="0" w:firstLineChars="0"/>
        <w:jc w:val="center"/>
        <w:rPr>
          <w:rFonts w:ascii="Times New Roman" w:hAnsi="Times New Roman" w:cs="Times New Roman"/>
          <w:b/>
          <w:sz w:val="21"/>
          <w:szCs w:val="21"/>
          <w:highlight w:val="black"/>
          <w:lang w:val="en-US" w:bidi="ar-SA"/>
        </w:rPr>
      </w:pPr>
      <w:r>
        <w:rPr>
          <w:rFonts w:ascii="Times New Roman" w:hAnsi="Times New Roman" w:cs="Times New Roman"/>
          <w:b/>
          <w:sz w:val="21"/>
          <w:szCs w:val="21"/>
          <w:highlight w:val="black"/>
          <w:lang w:val="en-US" w:bidi="ar-SA"/>
        </w:rPr>
        <w:t>表</w:t>
      </w:r>
      <w:r>
        <w:rPr>
          <w:rFonts w:hint="eastAsia" w:ascii="Times New Roman" w:hAnsi="Times New Roman" w:cs="Times New Roman"/>
          <w:b/>
          <w:sz w:val="21"/>
          <w:szCs w:val="21"/>
          <w:highlight w:val="black"/>
          <w:lang w:val="en-US" w:bidi="ar-SA"/>
        </w:rPr>
        <w:t>2-24</w:t>
      </w:r>
      <w:r>
        <w:rPr>
          <w:rFonts w:ascii="Times New Roman" w:hAnsi="Times New Roman" w:cs="Times New Roman"/>
          <w:b/>
          <w:sz w:val="21"/>
          <w:szCs w:val="21"/>
          <w:highlight w:val="black"/>
          <w:lang w:val="en-US" w:bidi="ar-SA"/>
        </w:rPr>
        <w:t xml:space="preserve"> 固定照明的照度标准表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4556"/>
        <w:gridCol w:w="2841"/>
      </w:tblGrid>
      <w:tr w14:paraId="742D6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660" w:type="pct"/>
            <w:tcBorders>
              <w:tl2br w:val="nil"/>
              <w:tr2bl w:val="nil"/>
            </w:tcBorders>
            <w:vAlign w:val="center"/>
          </w:tcPr>
          <w:p w14:paraId="7153135F">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序号</w:t>
            </w:r>
          </w:p>
        </w:tc>
        <w:tc>
          <w:tcPr>
            <w:tcW w:w="2673" w:type="pct"/>
            <w:tcBorders>
              <w:tl2br w:val="nil"/>
              <w:tr2bl w:val="nil"/>
            </w:tcBorders>
            <w:vAlign w:val="center"/>
          </w:tcPr>
          <w:p w14:paraId="1B1B12DC">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照明地点</w:t>
            </w:r>
          </w:p>
        </w:tc>
        <w:tc>
          <w:tcPr>
            <w:tcW w:w="1667" w:type="pct"/>
            <w:tcBorders>
              <w:tl2br w:val="nil"/>
              <w:tr2bl w:val="nil"/>
            </w:tcBorders>
            <w:vAlign w:val="center"/>
          </w:tcPr>
          <w:p w14:paraId="78AF3266">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照度值lx</w:t>
            </w:r>
          </w:p>
        </w:tc>
      </w:tr>
      <w:tr w14:paraId="18FFE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0BEB3C7D">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1</w:t>
            </w:r>
          </w:p>
        </w:tc>
        <w:tc>
          <w:tcPr>
            <w:tcW w:w="2673" w:type="pct"/>
            <w:tcBorders>
              <w:tl2br w:val="nil"/>
              <w:tr2bl w:val="nil"/>
            </w:tcBorders>
            <w:vAlign w:val="center"/>
          </w:tcPr>
          <w:p w14:paraId="5A7C2E4C">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一般电气设备硐室和其它硐室</w:t>
            </w:r>
          </w:p>
        </w:tc>
        <w:tc>
          <w:tcPr>
            <w:tcW w:w="1667" w:type="pct"/>
            <w:tcBorders>
              <w:tl2br w:val="nil"/>
              <w:tr2bl w:val="nil"/>
            </w:tcBorders>
            <w:vAlign w:val="center"/>
          </w:tcPr>
          <w:p w14:paraId="6908FDDC">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≥50</w:t>
            </w:r>
          </w:p>
        </w:tc>
      </w:tr>
      <w:tr w14:paraId="281E1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2BA017F8">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2</w:t>
            </w:r>
          </w:p>
        </w:tc>
        <w:tc>
          <w:tcPr>
            <w:tcW w:w="2673" w:type="pct"/>
            <w:tcBorders>
              <w:tl2br w:val="nil"/>
              <w:tr2bl w:val="nil"/>
            </w:tcBorders>
            <w:vAlign w:val="center"/>
          </w:tcPr>
          <w:p w14:paraId="37C46108">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配电室</w:t>
            </w:r>
          </w:p>
        </w:tc>
        <w:tc>
          <w:tcPr>
            <w:tcW w:w="1667" w:type="pct"/>
            <w:tcBorders>
              <w:tl2br w:val="nil"/>
              <w:tr2bl w:val="nil"/>
            </w:tcBorders>
            <w:vAlign w:val="center"/>
          </w:tcPr>
          <w:p w14:paraId="03CB44E1">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≥75</w:t>
            </w:r>
          </w:p>
        </w:tc>
      </w:tr>
      <w:tr w14:paraId="67928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268393F3">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3</w:t>
            </w:r>
          </w:p>
        </w:tc>
        <w:tc>
          <w:tcPr>
            <w:tcW w:w="2673" w:type="pct"/>
            <w:tcBorders>
              <w:tl2br w:val="nil"/>
              <w:tr2bl w:val="nil"/>
            </w:tcBorders>
            <w:vAlign w:val="center"/>
          </w:tcPr>
          <w:p w14:paraId="20CF8727">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主排水泵房</w:t>
            </w:r>
          </w:p>
        </w:tc>
        <w:tc>
          <w:tcPr>
            <w:tcW w:w="1667" w:type="pct"/>
            <w:tcBorders>
              <w:tl2br w:val="nil"/>
              <w:tr2bl w:val="nil"/>
            </w:tcBorders>
            <w:vAlign w:val="center"/>
          </w:tcPr>
          <w:p w14:paraId="5480ADA5">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≥75</w:t>
            </w:r>
          </w:p>
        </w:tc>
      </w:tr>
      <w:tr w14:paraId="22D3B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7A8EA1DB">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4</w:t>
            </w:r>
          </w:p>
        </w:tc>
        <w:tc>
          <w:tcPr>
            <w:tcW w:w="2673" w:type="pct"/>
            <w:tcBorders>
              <w:tl2br w:val="nil"/>
              <w:tr2bl w:val="nil"/>
            </w:tcBorders>
            <w:vAlign w:val="center"/>
          </w:tcPr>
          <w:p w14:paraId="4CE44312">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信号站、调度室</w:t>
            </w:r>
          </w:p>
        </w:tc>
        <w:tc>
          <w:tcPr>
            <w:tcW w:w="1667" w:type="pct"/>
            <w:tcBorders>
              <w:tl2br w:val="nil"/>
              <w:tr2bl w:val="nil"/>
            </w:tcBorders>
            <w:vAlign w:val="center"/>
          </w:tcPr>
          <w:p w14:paraId="6BEDF4C2">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≥75</w:t>
            </w:r>
          </w:p>
        </w:tc>
      </w:tr>
      <w:tr w14:paraId="4BC5F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2EA9A7D2">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5</w:t>
            </w:r>
          </w:p>
        </w:tc>
        <w:tc>
          <w:tcPr>
            <w:tcW w:w="2673" w:type="pct"/>
            <w:tcBorders>
              <w:tl2br w:val="nil"/>
              <w:tr2bl w:val="nil"/>
            </w:tcBorders>
            <w:vAlign w:val="center"/>
          </w:tcPr>
          <w:p w14:paraId="3D97E347">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中段车场及其附近巷道</w:t>
            </w:r>
          </w:p>
        </w:tc>
        <w:tc>
          <w:tcPr>
            <w:tcW w:w="1667" w:type="pct"/>
            <w:tcBorders>
              <w:tl2br w:val="nil"/>
              <w:tr2bl w:val="nil"/>
            </w:tcBorders>
            <w:vAlign w:val="center"/>
          </w:tcPr>
          <w:p w14:paraId="06F6F948">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≥15</w:t>
            </w:r>
          </w:p>
        </w:tc>
      </w:tr>
      <w:tr w14:paraId="1C83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0441DF4B">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6</w:t>
            </w:r>
          </w:p>
        </w:tc>
        <w:tc>
          <w:tcPr>
            <w:tcW w:w="2673" w:type="pct"/>
            <w:tcBorders>
              <w:tl2br w:val="nil"/>
              <w:tr2bl w:val="nil"/>
            </w:tcBorders>
            <w:vAlign w:val="center"/>
          </w:tcPr>
          <w:p w14:paraId="6E1FFF55">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运输巷道</w:t>
            </w:r>
          </w:p>
        </w:tc>
        <w:tc>
          <w:tcPr>
            <w:tcW w:w="1667" w:type="pct"/>
            <w:tcBorders>
              <w:tl2br w:val="nil"/>
              <w:tr2bl w:val="nil"/>
            </w:tcBorders>
            <w:vAlign w:val="center"/>
          </w:tcPr>
          <w:p w14:paraId="5C935DD5">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≥10</w:t>
            </w:r>
          </w:p>
        </w:tc>
      </w:tr>
      <w:tr w14:paraId="7A493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7FE7F582">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7</w:t>
            </w:r>
          </w:p>
        </w:tc>
        <w:tc>
          <w:tcPr>
            <w:tcW w:w="2673" w:type="pct"/>
            <w:tcBorders>
              <w:tl2br w:val="nil"/>
              <w:tr2bl w:val="nil"/>
            </w:tcBorders>
            <w:vAlign w:val="center"/>
          </w:tcPr>
          <w:p w14:paraId="00C287D2">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巷道交叉点</w:t>
            </w:r>
          </w:p>
        </w:tc>
        <w:tc>
          <w:tcPr>
            <w:tcW w:w="1667" w:type="pct"/>
            <w:tcBorders>
              <w:tl2br w:val="nil"/>
              <w:tr2bl w:val="nil"/>
            </w:tcBorders>
            <w:vAlign w:val="center"/>
          </w:tcPr>
          <w:p w14:paraId="41E1460D">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≥15</w:t>
            </w:r>
          </w:p>
        </w:tc>
      </w:tr>
      <w:tr w14:paraId="42F1A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0" w:type="pct"/>
            <w:tcBorders>
              <w:tl2br w:val="nil"/>
              <w:tr2bl w:val="nil"/>
            </w:tcBorders>
            <w:vAlign w:val="center"/>
          </w:tcPr>
          <w:p w14:paraId="656FADEC">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8</w:t>
            </w:r>
          </w:p>
        </w:tc>
        <w:tc>
          <w:tcPr>
            <w:tcW w:w="2673" w:type="pct"/>
            <w:tcBorders>
              <w:tl2br w:val="nil"/>
              <w:tr2bl w:val="nil"/>
            </w:tcBorders>
            <w:vAlign w:val="center"/>
          </w:tcPr>
          <w:p w14:paraId="08702329">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专用人行道</w:t>
            </w:r>
          </w:p>
        </w:tc>
        <w:tc>
          <w:tcPr>
            <w:tcW w:w="1667" w:type="pct"/>
            <w:tcBorders>
              <w:tl2br w:val="nil"/>
              <w:tr2bl w:val="nil"/>
            </w:tcBorders>
            <w:vAlign w:val="center"/>
          </w:tcPr>
          <w:p w14:paraId="51018900">
            <w:pPr>
              <w:widowControl/>
              <w:adjustRightInd w:val="0"/>
              <w:snapToGrid w:val="0"/>
              <w:spacing w:line="240" w:lineRule="atLeast"/>
              <w:ind w:firstLine="0" w:firstLineChars="0"/>
              <w:jc w:val="center"/>
              <w:textAlignment w:val="center"/>
              <w:rPr>
                <w:kern w:val="0"/>
                <w:sz w:val="21"/>
                <w:szCs w:val="21"/>
                <w:highlight w:val="black"/>
                <w:lang w:bidi="ar"/>
              </w:rPr>
            </w:pPr>
            <w:r>
              <w:rPr>
                <w:kern w:val="0"/>
                <w:sz w:val="21"/>
                <w:szCs w:val="21"/>
                <w:highlight w:val="black"/>
                <w:lang w:bidi="ar"/>
              </w:rPr>
              <w:t>≥15</w:t>
            </w:r>
          </w:p>
        </w:tc>
      </w:tr>
      <w:bookmarkEnd w:id="203"/>
      <w:bookmarkEnd w:id="204"/>
    </w:tbl>
    <w:p w14:paraId="4C6718C2">
      <w:pPr>
        <w:tabs>
          <w:tab w:val="left" w:pos="0"/>
        </w:tabs>
        <w:ind w:firstLine="560"/>
        <w:rPr>
          <w:rFonts w:ascii="宋体" w:hAnsi="宋体" w:cs="宋体"/>
          <w:bCs/>
          <w:szCs w:val="28"/>
          <w:highlight w:val="black"/>
        </w:rPr>
      </w:pPr>
      <w:r>
        <w:rPr>
          <w:rFonts w:hint="eastAsia" w:ascii="宋体" w:hAnsi="宋体" w:cs="宋体"/>
          <w:bCs/>
          <w:szCs w:val="28"/>
          <w:highlight w:val="black"/>
        </w:rPr>
        <w:t>（6）地面建筑物防雷设施</w:t>
      </w:r>
    </w:p>
    <w:p w14:paraId="2A2D9F39">
      <w:pPr>
        <w:tabs>
          <w:tab w:val="left" w:pos="0"/>
        </w:tabs>
        <w:ind w:firstLine="560"/>
        <w:rPr>
          <w:rFonts w:ascii="宋体" w:hAnsi="宋体" w:cs="宋体"/>
          <w:szCs w:val="28"/>
          <w:highlight w:val="black"/>
        </w:rPr>
      </w:pPr>
      <w:r>
        <w:rPr>
          <w:rFonts w:hint="eastAsia" w:ascii="宋体" w:hAnsi="宋体" w:cs="宋体"/>
          <w:bCs/>
          <w:szCs w:val="28"/>
          <w:highlight w:val="black"/>
        </w:rPr>
        <w:t>防雷：地表建筑物（高度在15m及以上孤立的高耸建筑</w:t>
      </w:r>
      <w:r>
        <w:rPr>
          <w:rFonts w:hint="eastAsia" w:ascii="宋体" w:hAnsi="宋体" w:cs="宋体"/>
          <w:szCs w:val="28"/>
          <w:highlight w:val="black"/>
        </w:rPr>
        <w:t>物）防雷按第三类防雷设施设计。</w:t>
      </w:r>
    </w:p>
    <w:p w14:paraId="334211E5">
      <w:pPr>
        <w:snapToGrid w:val="0"/>
        <w:ind w:firstLine="560"/>
        <w:rPr>
          <w:rFonts w:ascii="宋体" w:hAnsi="宋体" w:cs="宋体"/>
          <w:szCs w:val="28"/>
          <w:highlight w:val="black"/>
        </w:rPr>
      </w:pPr>
      <w:r>
        <w:rPr>
          <w:rFonts w:hint="eastAsia" w:ascii="宋体" w:hAnsi="宋体" w:cs="宋体"/>
          <w:szCs w:val="28"/>
          <w:highlight w:val="black"/>
        </w:rPr>
        <w:t>地表变电所防雷按第二类防雷设施设计。在屋顶采用Φ12热镀锌圆钢做成网格避雷带，利用Φ16热镀锌圆钢做防雷引下线，引下线上端与避雷带可靠连接成电气通路。</w:t>
      </w:r>
    </w:p>
    <w:p w14:paraId="08B53CE9">
      <w:pPr>
        <w:snapToGrid w:val="0"/>
        <w:ind w:firstLine="560"/>
        <w:rPr>
          <w:rFonts w:ascii="宋体" w:hAnsi="宋体" w:cs="宋体"/>
          <w:szCs w:val="28"/>
          <w:highlight w:val="black"/>
        </w:rPr>
      </w:pPr>
      <w:r>
        <w:rPr>
          <w:rFonts w:hint="eastAsia" w:ascii="宋体" w:hAnsi="宋体" w:cs="宋体"/>
          <w:szCs w:val="28"/>
          <w:highlight w:val="black"/>
        </w:rPr>
        <w:t>在变配电站进线端加设避雷器和浪涌吸收装置防止感应雷电过电压。变电所高低压侧均须考虑过电压保护，高压电缆馈电路均装设零序电流保护，由室外引入建筑物内的供电回路，在配电箱上要考虑防止过电压措施。</w:t>
      </w:r>
    </w:p>
    <w:p w14:paraId="2BEE6B65">
      <w:pPr>
        <w:snapToGrid w:val="0"/>
        <w:ind w:firstLine="560"/>
        <w:rPr>
          <w:rFonts w:ascii="宋体" w:hAnsi="宋体" w:cs="宋体"/>
          <w:szCs w:val="28"/>
          <w:highlight w:val="black"/>
        </w:rPr>
      </w:pPr>
      <w:r>
        <w:rPr>
          <w:rFonts w:hint="eastAsia" w:ascii="宋体" w:hAnsi="宋体" w:cs="宋体"/>
          <w:szCs w:val="28"/>
          <w:highlight w:val="black"/>
        </w:rPr>
        <w:t>接地：地面电气设备采用接零保护，距变电所较远的设备设重复接地保护。井下电气设备采用接地保护。</w:t>
      </w:r>
    </w:p>
    <w:p w14:paraId="749AD6BB">
      <w:pPr>
        <w:pStyle w:val="66"/>
        <w:numPr>
          <w:ilvl w:val="2"/>
          <w:numId w:val="0"/>
        </w:numPr>
        <w:spacing w:line="360" w:lineRule="auto"/>
        <w:rPr>
          <w:rFonts w:ascii="Times New Roman" w:hAnsi="Times New Roman" w:cs="Times New Roman"/>
          <w:lang w:val="zh-CN"/>
        </w:rPr>
      </w:pPr>
      <w:bookmarkStart w:id="205" w:name="_Toc528231079"/>
      <w:bookmarkStart w:id="206" w:name="_Toc9671"/>
      <w:bookmarkStart w:id="207" w:name="_Toc518635492"/>
      <w:bookmarkStart w:id="208" w:name="_Toc31869"/>
      <w:r>
        <w:rPr>
          <w:rFonts w:hint="eastAsia" w:ascii="宋体" w:hAnsi="宋体" w:cs="宋体"/>
          <w:bCs/>
        </w:rPr>
        <w:t xml:space="preserve">2.4.8.6 </w:t>
      </w:r>
      <w:bookmarkEnd w:id="205"/>
      <w:bookmarkEnd w:id="206"/>
      <w:bookmarkEnd w:id="207"/>
      <w:bookmarkEnd w:id="208"/>
      <w:r>
        <w:rPr>
          <w:rFonts w:hint="eastAsia" w:ascii="宋体" w:hAnsi="宋体" w:cs="宋体"/>
          <w:bCs/>
        </w:rPr>
        <w:t>主排水系统的供配电系统</w:t>
      </w:r>
    </w:p>
    <w:p w14:paraId="732CCA5A">
      <w:pPr>
        <w:tabs>
          <w:tab w:val="left" w:pos="1260"/>
        </w:tabs>
        <w:snapToGrid w:val="0"/>
        <w:ind w:firstLine="560"/>
        <w:rPr>
          <w:szCs w:val="28"/>
          <w:highlight w:val="black"/>
        </w:rPr>
      </w:pPr>
      <w:r>
        <w:rPr>
          <w:szCs w:val="28"/>
          <w:highlight w:val="black"/>
        </w:rPr>
        <w:t>井下水泵供电电源引自</w:t>
      </w:r>
      <w:r>
        <w:rPr>
          <w:rFonts w:hint="eastAsia"/>
          <w:szCs w:val="28"/>
          <w:highlight w:val="black"/>
        </w:rPr>
        <w:t>井下中央变电所低压开关柜</w:t>
      </w:r>
      <w:r>
        <w:rPr>
          <w:szCs w:val="28"/>
          <w:highlight w:val="black"/>
        </w:rPr>
        <w:t>。</w:t>
      </w:r>
    </w:p>
    <w:p w14:paraId="185BD9CE">
      <w:pPr>
        <w:pStyle w:val="66"/>
        <w:numPr>
          <w:ilvl w:val="2"/>
          <w:numId w:val="0"/>
        </w:numPr>
        <w:spacing w:line="360" w:lineRule="auto"/>
        <w:rPr>
          <w:rFonts w:ascii="Times New Roman" w:hAnsi="Times New Roman" w:cs="Times New Roman"/>
          <w:color w:val="0000FF"/>
          <w:sz w:val="26"/>
          <w:szCs w:val="26"/>
        </w:rPr>
      </w:pPr>
      <w:r>
        <w:rPr>
          <w:rFonts w:hint="eastAsia" w:ascii="宋体" w:hAnsi="宋体" w:cs="宋体"/>
          <w:bCs/>
        </w:rPr>
        <w:t>2.4.8.7 智能供配电系统</w:t>
      </w:r>
    </w:p>
    <w:p w14:paraId="16BF7819">
      <w:pPr>
        <w:tabs>
          <w:tab w:val="left" w:pos="1260"/>
        </w:tabs>
        <w:snapToGrid w:val="0"/>
        <w:ind w:firstLine="560"/>
        <w:rPr>
          <w:szCs w:val="28"/>
          <w:highlight w:val="black"/>
        </w:rPr>
      </w:pPr>
      <w:r>
        <w:rPr>
          <w:rFonts w:hint="eastAsia"/>
          <w:szCs w:val="28"/>
          <w:highlight w:val="black"/>
        </w:rPr>
        <w:t>（1）应急照明</w:t>
      </w:r>
    </w:p>
    <w:p w14:paraId="4A6F1CC4">
      <w:pPr>
        <w:tabs>
          <w:tab w:val="left" w:pos="1260"/>
        </w:tabs>
        <w:snapToGrid w:val="0"/>
        <w:ind w:firstLine="560"/>
        <w:rPr>
          <w:rFonts w:ascii="宋体" w:hAnsi="宋体" w:cs="宋体"/>
          <w:szCs w:val="28"/>
          <w:highlight w:val="black"/>
        </w:rPr>
      </w:pPr>
      <w:r>
        <w:rPr>
          <w:rFonts w:hint="eastAsia"/>
          <w:szCs w:val="28"/>
          <w:highlight w:val="black"/>
        </w:rPr>
        <w:t>井下配电室、主要排水泵</w:t>
      </w:r>
      <w:r>
        <w:rPr>
          <w:rFonts w:hint="eastAsia" w:ascii="宋体" w:hAnsi="宋体" w:cs="宋体"/>
          <w:szCs w:val="28"/>
          <w:highlight w:val="black"/>
        </w:rPr>
        <w:t>房、监控室、生产调度室、通信站和网络中心、通风机房、井口房、矿山救护值班室均设置应急照明，采用自带蓄电池的双头LED应急灯。该灯可自动检测正常照明电源电压，当电压低于设定值时，启动备用电池照明。非消防工作区域继续工作应急照明连续供电时间不应少于2h；消防应急照明和灯光疏散指示标志的备用电源的连续供电时间不应少于0.5h。</w:t>
      </w:r>
    </w:p>
    <w:p w14:paraId="23AF6232">
      <w:pPr>
        <w:snapToGrid w:val="0"/>
        <w:ind w:firstLine="560"/>
        <w:rPr>
          <w:rFonts w:ascii="宋体" w:hAnsi="宋体" w:cs="宋体"/>
          <w:szCs w:val="28"/>
          <w:highlight w:val="black"/>
        </w:rPr>
      </w:pPr>
      <w:r>
        <w:rPr>
          <w:rFonts w:hint="eastAsia" w:ascii="宋体" w:hAnsi="宋体" w:cs="宋体"/>
          <w:szCs w:val="28"/>
          <w:highlight w:val="black"/>
        </w:rPr>
        <w:t>（2）电能计量</w:t>
      </w:r>
    </w:p>
    <w:p w14:paraId="1A56ED96">
      <w:pPr>
        <w:snapToGrid w:val="0"/>
        <w:ind w:firstLine="560"/>
        <w:rPr>
          <w:rFonts w:ascii="宋体" w:hAnsi="宋体" w:cs="宋体"/>
          <w:szCs w:val="28"/>
          <w:highlight w:val="black"/>
        </w:rPr>
      </w:pPr>
      <w:r>
        <w:rPr>
          <w:rFonts w:hint="eastAsia" w:ascii="宋体" w:hAnsi="宋体" w:cs="宋体"/>
          <w:szCs w:val="28"/>
          <w:highlight w:val="black"/>
        </w:rPr>
        <w:t>在变电所、低压配电室低压进线柜装设多功能仪表，可实现电压、电流、电度的检测。</w:t>
      </w:r>
    </w:p>
    <w:p w14:paraId="13E549AB">
      <w:pPr>
        <w:pStyle w:val="4"/>
        <w:ind w:firstLine="0" w:firstLineChars="0"/>
      </w:pPr>
      <w:r>
        <w:t>2.4.</w:t>
      </w:r>
      <w:r>
        <w:rPr>
          <w:rFonts w:hint="eastAsia"/>
        </w:rPr>
        <w:t xml:space="preserve">9 </w:t>
      </w:r>
      <w:r>
        <w:t>防排水</w:t>
      </w:r>
    </w:p>
    <w:p w14:paraId="5E47E51C">
      <w:pPr>
        <w:ind w:firstLine="0" w:firstLineChars="0"/>
        <w:rPr>
          <w:rFonts w:ascii="宋体" w:hAnsi="宋体" w:cs="宋体"/>
          <w:szCs w:val="28"/>
        </w:rPr>
      </w:pPr>
      <w:r>
        <w:rPr>
          <w:rFonts w:hint="eastAsia" w:ascii="宋体" w:hAnsi="宋体" w:cs="宋体"/>
          <w:b/>
          <w:bCs/>
        </w:rPr>
        <w:t>2.4.9.1矿井涌水量</w:t>
      </w:r>
    </w:p>
    <w:p w14:paraId="072D41A9">
      <w:pPr>
        <w:ind w:firstLine="560"/>
        <w:rPr>
          <w:highlight w:val="black"/>
        </w:rPr>
      </w:pPr>
      <w:r>
        <w:rPr>
          <w:highlight w:val="black"/>
        </w:rPr>
        <w:t>本矿区水文地质条件</w:t>
      </w:r>
      <w:r>
        <w:rPr>
          <w:rFonts w:hint="eastAsia"/>
          <w:highlight w:val="black"/>
        </w:rPr>
        <w:t>中等</w:t>
      </w:r>
      <w:r>
        <w:rPr>
          <w:highlight w:val="black"/>
        </w:rPr>
        <w:t>，</w:t>
      </w:r>
      <w:r>
        <w:rPr>
          <w:rFonts w:hint="eastAsia"/>
          <w:highlight w:val="black"/>
        </w:rPr>
        <w:t>设计确认正常涌水量为665.7</w:t>
      </w:r>
      <w:r>
        <w:rPr>
          <w:highlight w:val="black"/>
        </w:rPr>
        <w:t>m</w:t>
      </w:r>
      <w:r>
        <w:rPr>
          <w:highlight w:val="black"/>
          <w:vertAlign w:val="superscript"/>
        </w:rPr>
        <w:t>3</w:t>
      </w:r>
      <w:r>
        <w:rPr>
          <w:highlight w:val="black"/>
        </w:rPr>
        <w:t>/d</w:t>
      </w:r>
      <w:r>
        <w:rPr>
          <w:rFonts w:hint="eastAsia"/>
          <w:highlight w:val="black"/>
        </w:rPr>
        <w:t>，最大涌水量为887.7</w:t>
      </w:r>
      <w:r>
        <w:rPr>
          <w:highlight w:val="black"/>
        </w:rPr>
        <w:t>m</w:t>
      </w:r>
      <w:r>
        <w:rPr>
          <w:highlight w:val="black"/>
          <w:vertAlign w:val="superscript"/>
        </w:rPr>
        <w:t>3</w:t>
      </w:r>
      <w:r>
        <w:rPr>
          <w:highlight w:val="black"/>
        </w:rPr>
        <w:t>/d。</w:t>
      </w:r>
    </w:p>
    <w:p w14:paraId="6E3CA5BE">
      <w:pPr>
        <w:keepNext/>
        <w:keepLines/>
        <w:numPr>
          <w:ilvl w:val="2"/>
          <w:numId w:val="0"/>
        </w:numPr>
        <w:tabs>
          <w:tab w:val="left" w:pos="0"/>
          <w:tab w:val="left" w:pos="284"/>
        </w:tabs>
        <w:snapToGrid w:val="0"/>
        <w:spacing w:line="520" w:lineRule="atLeast"/>
        <w:outlineLvl w:val="2"/>
        <w:rPr>
          <w:rFonts w:ascii="宋体" w:hAnsi="宋体" w:cs="宋体"/>
          <w:b/>
          <w:bCs/>
          <w:lang w:val="zh-TW"/>
        </w:rPr>
      </w:pPr>
      <w:r>
        <w:rPr>
          <w:rFonts w:hint="eastAsia" w:ascii="宋体" w:hAnsi="宋体" w:cs="宋体"/>
          <w:b/>
          <w:bCs/>
        </w:rPr>
        <w:t>2.4.9.2 井下排水方案及水泵选择</w:t>
      </w:r>
    </w:p>
    <w:p w14:paraId="27AF5074">
      <w:pPr>
        <w:ind w:firstLine="560"/>
        <w:rPr>
          <w:rFonts w:ascii="宋体" w:hAnsi="宋体" w:cs="宋体"/>
          <w:highlight w:val="black"/>
        </w:rPr>
      </w:pPr>
      <w:r>
        <w:rPr>
          <w:rFonts w:hint="eastAsia" w:ascii="宋体" w:hAnsi="宋体" w:cs="宋体"/>
          <w:highlight w:val="black"/>
        </w:rPr>
        <w:t>（1）排水方案</w:t>
      </w:r>
    </w:p>
    <w:p w14:paraId="0BAE314F">
      <w:pPr>
        <w:autoSpaceDE w:val="0"/>
        <w:autoSpaceDN w:val="0"/>
        <w:adjustRightInd w:val="0"/>
        <w:spacing w:line="520" w:lineRule="atLeast"/>
        <w:ind w:firstLine="520"/>
        <w:jc w:val="left"/>
        <w:rPr>
          <w:sz w:val="26"/>
          <w:highlight w:val="black"/>
        </w:rPr>
      </w:pPr>
      <w:bookmarkStart w:id="209" w:name="_Hlk50036256"/>
      <w:r>
        <w:rPr>
          <w:rFonts w:hint="eastAsia"/>
          <w:sz w:val="26"/>
          <w:highlight w:val="black"/>
        </w:rPr>
        <w:t>本次设计采用一段式机械排水方式。在管缆井井底-40m中段设置水仓、水泵房，中段的涌水自流至-40m中段水仓，通过水泵沿管缆井排至地表，存入供水池，沉淀后供给井下生产、除尘、消防用水</w:t>
      </w:r>
      <w:r>
        <w:rPr>
          <w:sz w:val="26"/>
          <w:highlight w:val="black"/>
        </w:rPr>
        <w:t>。</w:t>
      </w:r>
      <w:bookmarkEnd w:id="209"/>
    </w:p>
    <w:p w14:paraId="34A65BE5">
      <w:pPr>
        <w:pStyle w:val="5"/>
        <w:numPr>
          <w:ilvl w:val="3"/>
          <w:numId w:val="0"/>
        </w:numPr>
        <w:tabs>
          <w:tab w:val="clear" w:pos="360"/>
        </w:tabs>
        <w:spacing w:line="520" w:lineRule="atLeast"/>
        <w:ind w:firstLine="560" w:firstLineChars="200"/>
        <w:jc w:val="both"/>
        <w:rPr>
          <w:rFonts w:ascii="Times New Roman" w:hAnsi="Times New Roman"/>
          <w:szCs w:val="24"/>
          <w:highlight w:val="black"/>
        </w:rPr>
      </w:pPr>
      <w:r>
        <w:rPr>
          <w:rFonts w:hint="eastAsia"/>
          <w:highlight w:val="black"/>
        </w:rPr>
        <w:t>（2）</w:t>
      </w:r>
      <w:r>
        <w:rPr>
          <w:rFonts w:ascii="Times New Roman" w:hAnsi="Times New Roman"/>
          <w:szCs w:val="24"/>
          <w:highlight w:val="black"/>
        </w:rPr>
        <w:t>排水设备选型计算</w:t>
      </w:r>
    </w:p>
    <w:p w14:paraId="6D2042DF">
      <w:pPr>
        <w:ind w:firstLine="560"/>
        <w:rPr>
          <w:highlight w:val="black"/>
        </w:rPr>
      </w:pPr>
      <w:bookmarkStart w:id="210" w:name="_Hlk118447844"/>
      <w:r>
        <w:rPr>
          <w:rFonts w:hint="eastAsia"/>
          <w:highlight w:val="black"/>
        </w:rPr>
        <w:t>1）</w:t>
      </w:r>
      <w:r>
        <w:rPr>
          <w:highlight w:val="black"/>
        </w:rPr>
        <w:t>设计依据</w:t>
      </w:r>
    </w:p>
    <w:p w14:paraId="09B24752">
      <w:pPr>
        <w:ind w:firstLine="560"/>
        <w:rPr>
          <w:highlight w:val="black"/>
        </w:rPr>
      </w:pPr>
      <w:r>
        <w:rPr>
          <w:highlight w:val="black"/>
        </w:rPr>
        <w:t>排水扬程</w:t>
      </w:r>
      <w:r>
        <w:rPr>
          <w:rFonts w:hint="eastAsia"/>
          <w:highlight w:val="black"/>
        </w:rPr>
        <w:t>：208</w:t>
      </w:r>
      <w:r>
        <w:rPr>
          <w:highlight w:val="black"/>
        </w:rPr>
        <w:t>m</w:t>
      </w:r>
      <w:r>
        <w:rPr>
          <w:rFonts w:hint="eastAsia"/>
          <w:highlight w:val="black"/>
        </w:rPr>
        <w:t>。</w:t>
      </w:r>
    </w:p>
    <w:p w14:paraId="1766D442">
      <w:pPr>
        <w:ind w:firstLine="560"/>
        <w:rPr>
          <w:highlight w:val="black"/>
        </w:rPr>
      </w:pPr>
      <w:r>
        <w:rPr>
          <w:rFonts w:hint="eastAsia"/>
          <w:highlight w:val="black"/>
        </w:rPr>
        <w:t>排水量：围岩正常涌水量为665.7m</w:t>
      </w:r>
      <w:r>
        <w:rPr>
          <w:rFonts w:hint="eastAsia"/>
          <w:highlight w:val="black"/>
          <w:vertAlign w:val="superscript"/>
        </w:rPr>
        <w:t>3</w:t>
      </w:r>
      <w:r>
        <w:rPr>
          <w:rFonts w:hint="eastAsia"/>
          <w:highlight w:val="black"/>
        </w:rPr>
        <w:t>/d，最大涌水量为887.7m</w:t>
      </w:r>
      <w:r>
        <w:rPr>
          <w:rFonts w:hint="eastAsia"/>
          <w:highlight w:val="black"/>
          <w:vertAlign w:val="superscript"/>
        </w:rPr>
        <w:t>3</w:t>
      </w:r>
      <w:r>
        <w:rPr>
          <w:rFonts w:hint="eastAsia"/>
          <w:highlight w:val="black"/>
        </w:rPr>
        <w:t>/d。充填滤水222m</w:t>
      </w:r>
      <w:r>
        <w:rPr>
          <w:rFonts w:hint="eastAsia"/>
          <w:highlight w:val="black"/>
          <w:vertAlign w:val="superscript"/>
        </w:rPr>
        <w:t>3</w:t>
      </w:r>
      <w:r>
        <w:rPr>
          <w:rFonts w:hint="eastAsia"/>
          <w:highlight w:val="black"/>
        </w:rPr>
        <w:t>/d，故井下总的涌水量为：正常涌水量887.7m</w:t>
      </w:r>
      <w:r>
        <w:rPr>
          <w:rFonts w:hint="eastAsia"/>
          <w:highlight w:val="black"/>
          <w:vertAlign w:val="superscript"/>
        </w:rPr>
        <w:t>3</w:t>
      </w:r>
      <w:r>
        <w:rPr>
          <w:rFonts w:hint="eastAsia"/>
          <w:highlight w:val="black"/>
        </w:rPr>
        <w:t>，最大涌水量为1109.7m</w:t>
      </w:r>
      <w:r>
        <w:rPr>
          <w:rFonts w:hint="eastAsia"/>
          <w:highlight w:val="black"/>
          <w:vertAlign w:val="superscript"/>
        </w:rPr>
        <w:t>3</w:t>
      </w:r>
      <w:r>
        <w:rPr>
          <w:rFonts w:hint="eastAsia"/>
          <w:highlight w:val="black"/>
        </w:rPr>
        <w:t>/d。</w:t>
      </w:r>
    </w:p>
    <w:p w14:paraId="5EE995AE">
      <w:pPr>
        <w:ind w:firstLine="560"/>
        <w:rPr>
          <w:highlight w:val="black"/>
        </w:rPr>
      </w:pPr>
      <w:r>
        <w:rPr>
          <w:rFonts w:hint="eastAsia"/>
          <w:highlight w:val="black"/>
        </w:rPr>
        <w:t>2）</w:t>
      </w:r>
      <w:r>
        <w:rPr>
          <w:highlight w:val="black"/>
        </w:rPr>
        <w:t>水泵选择</w:t>
      </w:r>
    </w:p>
    <w:p w14:paraId="42202CC5">
      <w:pPr>
        <w:ind w:firstLine="560"/>
        <w:rPr>
          <w:highlight w:val="black"/>
        </w:rPr>
      </w:pPr>
      <w:r>
        <w:rPr>
          <w:highlight w:val="black"/>
        </w:rPr>
        <w:t>正常涌水量时</w:t>
      </w:r>
    </w:p>
    <w:p w14:paraId="6762655E">
      <w:pPr>
        <w:autoSpaceDE w:val="0"/>
        <w:autoSpaceDN w:val="0"/>
        <w:adjustRightInd w:val="0"/>
        <w:snapToGrid w:val="0"/>
        <w:spacing w:line="520" w:lineRule="atLeast"/>
        <w:ind w:firstLine="560"/>
        <w:jc w:val="center"/>
        <w:rPr>
          <w:szCs w:val="28"/>
          <w:highlight w:val="black"/>
        </w:rPr>
      </w:pPr>
      <w:r>
        <w:rPr>
          <w:szCs w:val="28"/>
          <w:highlight w:val="black"/>
        </w:rPr>
        <w:t>Q=Q</w:t>
      </w:r>
      <w:r>
        <w:rPr>
          <w:szCs w:val="28"/>
          <w:highlight w:val="black"/>
          <w:vertAlign w:val="subscript"/>
        </w:rPr>
        <w:t>1</w:t>
      </w:r>
      <w:r>
        <w:rPr>
          <w:szCs w:val="28"/>
          <w:highlight w:val="black"/>
        </w:rPr>
        <w:t>/20=</w:t>
      </w:r>
      <w:r>
        <w:rPr>
          <w:rFonts w:hint="eastAsia"/>
          <w:szCs w:val="28"/>
          <w:highlight w:val="black"/>
        </w:rPr>
        <w:t>887.7</w:t>
      </w:r>
      <w:r>
        <w:rPr>
          <w:szCs w:val="28"/>
          <w:highlight w:val="black"/>
        </w:rPr>
        <w:t>/20=</w:t>
      </w:r>
      <w:r>
        <w:rPr>
          <w:rFonts w:hint="eastAsia"/>
          <w:szCs w:val="28"/>
          <w:highlight w:val="black"/>
        </w:rPr>
        <w:t>44.4</w:t>
      </w:r>
      <w:r>
        <w:rPr>
          <w:szCs w:val="28"/>
          <w:highlight w:val="black"/>
        </w:rPr>
        <w:t>m</w:t>
      </w:r>
      <w:r>
        <w:rPr>
          <w:szCs w:val="28"/>
          <w:highlight w:val="black"/>
          <w:vertAlign w:val="superscript"/>
        </w:rPr>
        <w:t>3</w:t>
      </w:r>
      <w:r>
        <w:rPr>
          <w:szCs w:val="28"/>
          <w:highlight w:val="black"/>
        </w:rPr>
        <w:t>/h</w:t>
      </w:r>
    </w:p>
    <w:p w14:paraId="44D7C541">
      <w:pPr>
        <w:ind w:firstLine="560"/>
        <w:rPr>
          <w:highlight w:val="black"/>
        </w:rPr>
      </w:pPr>
      <w:r>
        <w:rPr>
          <w:highlight w:val="black"/>
        </w:rPr>
        <w:t>最大涌水量时</w:t>
      </w:r>
    </w:p>
    <w:p w14:paraId="24B71CFE">
      <w:pPr>
        <w:autoSpaceDE w:val="0"/>
        <w:autoSpaceDN w:val="0"/>
        <w:adjustRightInd w:val="0"/>
        <w:snapToGrid w:val="0"/>
        <w:spacing w:line="520" w:lineRule="atLeast"/>
        <w:ind w:firstLine="560"/>
        <w:jc w:val="center"/>
        <w:rPr>
          <w:szCs w:val="28"/>
          <w:highlight w:val="black"/>
        </w:rPr>
      </w:pPr>
      <w:r>
        <w:rPr>
          <w:szCs w:val="28"/>
          <w:highlight w:val="black"/>
        </w:rPr>
        <w:t>Q=Q</w:t>
      </w:r>
      <w:r>
        <w:rPr>
          <w:szCs w:val="28"/>
          <w:highlight w:val="black"/>
          <w:vertAlign w:val="subscript"/>
        </w:rPr>
        <w:t>2</w:t>
      </w:r>
      <w:r>
        <w:rPr>
          <w:szCs w:val="28"/>
          <w:highlight w:val="black"/>
        </w:rPr>
        <w:t>/(2×20)=</w:t>
      </w:r>
      <w:r>
        <w:rPr>
          <w:rFonts w:hint="eastAsia"/>
          <w:szCs w:val="28"/>
          <w:highlight w:val="black"/>
        </w:rPr>
        <w:t>1109.7</w:t>
      </w:r>
      <w:r>
        <w:rPr>
          <w:szCs w:val="28"/>
          <w:highlight w:val="black"/>
        </w:rPr>
        <w:t>/(2×20)=</w:t>
      </w:r>
      <w:r>
        <w:rPr>
          <w:rFonts w:hint="eastAsia"/>
          <w:szCs w:val="28"/>
          <w:highlight w:val="black"/>
        </w:rPr>
        <w:t>27.7</w:t>
      </w:r>
      <w:r>
        <w:rPr>
          <w:szCs w:val="28"/>
          <w:highlight w:val="black"/>
        </w:rPr>
        <w:t>m</w:t>
      </w:r>
      <w:r>
        <w:rPr>
          <w:szCs w:val="28"/>
          <w:highlight w:val="black"/>
          <w:vertAlign w:val="superscript"/>
        </w:rPr>
        <w:t>3</w:t>
      </w:r>
      <w:r>
        <w:rPr>
          <w:szCs w:val="28"/>
          <w:highlight w:val="black"/>
        </w:rPr>
        <w:t>/h</w:t>
      </w:r>
    </w:p>
    <w:p w14:paraId="1FDFEF9A">
      <w:pPr>
        <w:autoSpaceDE w:val="0"/>
        <w:autoSpaceDN w:val="0"/>
        <w:adjustRightInd w:val="0"/>
        <w:snapToGrid w:val="0"/>
        <w:spacing w:line="520" w:lineRule="atLeast"/>
        <w:ind w:firstLine="560"/>
        <w:rPr>
          <w:szCs w:val="28"/>
          <w:highlight w:val="black"/>
        </w:rPr>
      </w:pPr>
      <w:r>
        <w:rPr>
          <w:szCs w:val="28"/>
          <w:highlight w:val="black"/>
        </w:rPr>
        <w:t>式中：Q－水泵流量，m</w:t>
      </w:r>
      <w:r>
        <w:rPr>
          <w:szCs w:val="28"/>
          <w:highlight w:val="black"/>
          <w:vertAlign w:val="superscript"/>
        </w:rPr>
        <w:t>3</w:t>
      </w:r>
      <w:r>
        <w:rPr>
          <w:szCs w:val="28"/>
          <w:highlight w:val="black"/>
        </w:rPr>
        <w:t>/h；</w:t>
      </w:r>
    </w:p>
    <w:p w14:paraId="6CF7AAAE">
      <w:pPr>
        <w:autoSpaceDE w:val="0"/>
        <w:autoSpaceDN w:val="0"/>
        <w:adjustRightInd w:val="0"/>
        <w:snapToGrid w:val="0"/>
        <w:spacing w:line="520" w:lineRule="atLeast"/>
        <w:ind w:firstLine="1430" w:firstLineChars="511"/>
        <w:rPr>
          <w:szCs w:val="28"/>
          <w:highlight w:val="black"/>
        </w:rPr>
      </w:pPr>
      <w:r>
        <w:rPr>
          <w:szCs w:val="28"/>
          <w:highlight w:val="black"/>
        </w:rPr>
        <w:t>Q</w:t>
      </w:r>
      <w:r>
        <w:rPr>
          <w:szCs w:val="28"/>
          <w:highlight w:val="black"/>
          <w:vertAlign w:val="subscript"/>
        </w:rPr>
        <w:t>1</w:t>
      </w:r>
      <w:r>
        <w:rPr>
          <w:szCs w:val="28"/>
          <w:highlight w:val="black"/>
        </w:rPr>
        <w:t>－矿井正常涌水量，</w:t>
      </w:r>
      <w:r>
        <w:rPr>
          <w:rFonts w:hint="eastAsia"/>
          <w:szCs w:val="28"/>
          <w:highlight w:val="black"/>
        </w:rPr>
        <w:t>887.7</w:t>
      </w:r>
      <w:r>
        <w:rPr>
          <w:szCs w:val="28"/>
          <w:highlight w:val="black"/>
        </w:rPr>
        <w:t>m</w:t>
      </w:r>
      <w:r>
        <w:rPr>
          <w:szCs w:val="28"/>
          <w:highlight w:val="black"/>
          <w:vertAlign w:val="superscript"/>
        </w:rPr>
        <w:t>3</w:t>
      </w:r>
      <w:r>
        <w:rPr>
          <w:szCs w:val="28"/>
          <w:highlight w:val="black"/>
        </w:rPr>
        <w:t>/d；</w:t>
      </w:r>
    </w:p>
    <w:p w14:paraId="745BB6D7">
      <w:pPr>
        <w:autoSpaceDE w:val="0"/>
        <w:autoSpaceDN w:val="0"/>
        <w:adjustRightInd w:val="0"/>
        <w:snapToGrid w:val="0"/>
        <w:spacing w:line="520" w:lineRule="atLeast"/>
        <w:ind w:firstLine="1430" w:firstLineChars="511"/>
        <w:rPr>
          <w:szCs w:val="28"/>
          <w:highlight w:val="black"/>
        </w:rPr>
      </w:pPr>
      <w:r>
        <w:rPr>
          <w:szCs w:val="28"/>
          <w:highlight w:val="black"/>
        </w:rPr>
        <w:t>Q</w:t>
      </w:r>
      <w:r>
        <w:rPr>
          <w:szCs w:val="28"/>
          <w:highlight w:val="black"/>
          <w:vertAlign w:val="subscript"/>
        </w:rPr>
        <w:t>2</w:t>
      </w:r>
      <w:r>
        <w:rPr>
          <w:szCs w:val="28"/>
          <w:highlight w:val="black"/>
        </w:rPr>
        <w:t>－矿井最大涌水量，</w:t>
      </w:r>
      <w:r>
        <w:rPr>
          <w:rFonts w:hint="eastAsia"/>
          <w:szCs w:val="28"/>
          <w:highlight w:val="black"/>
        </w:rPr>
        <w:t>1109.7</w:t>
      </w:r>
      <w:r>
        <w:rPr>
          <w:szCs w:val="28"/>
          <w:highlight w:val="black"/>
        </w:rPr>
        <w:t>m</w:t>
      </w:r>
      <w:r>
        <w:rPr>
          <w:szCs w:val="28"/>
          <w:highlight w:val="black"/>
          <w:vertAlign w:val="superscript"/>
        </w:rPr>
        <w:t>3</w:t>
      </w:r>
      <w:r>
        <w:rPr>
          <w:szCs w:val="28"/>
          <w:highlight w:val="black"/>
        </w:rPr>
        <w:t>/d。</w:t>
      </w:r>
    </w:p>
    <w:p w14:paraId="7D824A04">
      <w:pPr>
        <w:autoSpaceDE w:val="0"/>
        <w:autoSpaceDN w:val="0"/>
        <w:adjustRightInd w:val="0"/>
        <w:snapToGrid w:val="0"/>
        <w:spacing w:line="520" w:lineRule="atLeast"/>
        <w:ind w:firstLine="560"/>
        <w:rPr>
          <w:szCs w:val="28"/>
          <w:highlight w:val="black"/>
        </w:rPr>
      </w:pPr>
      <w:r>
        <w:rPr>
          <w:szCs w:val="28"/>
          <w:highlight w:val="black"/>
        </w:rPr>
        <w:t>水泵扬程：H=K(H</w:t>
      </w:r>
      <w:r>
        <w:rPr>
          <w:szCs w:val="28"/>
          <w:highlight w:val="black"/>
          <w:vertAlign w:val="subscript"/>
        </w:rPr>
        <w:t>p</w:t>
      </w:r>
      <w:r>
        <w:rPr>
          <w:szCs w:val="28"/>
          <w:highlight w:val="black"/>
        </w:rPr>
        <w:t>+</w:t>
      </w:r>
      <w:r>
        <w:rPr>
          <w:rFonts w:hint="eastAsia"/>
          <w:szCs w:val="28"/>
          <w:highlight w:val="black"/>
        </w:rPr>
        <w:t>2.5</w:t>
      </w:r>
      <w:r>
        <w:rPr>
          <w:szCs w:val="28"/>
          <w:highlight w:val="black"/>
        </w:rPr>
        <w:t>)=1.</w:t>
      </w:r>
      <w:r>
        <w:rPr>
          <w:rFonts w:hint="eastAsia"/>
          <w:szCs w:val="28"/>
          <w:highlight w:val="black"/>
        </w:rPr>
        <w:t>3</w:t>
      </w:r>
      <w:r>
        <w:rPr>
          <w:szCs w:val="28"/>
          <w:highlight w:val="black"/>
        </w:rPr>
        <w:t>×(</w:t>
      </w:r>
      <w:r>
        <w:rPr>
          <w:rFonts w:hint="eastAsia"/>
          <w:szCs w:val="28"/>
          <w:highlight w:val="black"/>
        </w:rPr>
        <w:t>208</w:t>
      </w:r>
      <w:r>
        <w:rPr>
          <w:szCs w:val="28"/>
          <w:highlight w:val="black"/>
        </w:rPr>
        <w:t>+</w:t>
      </w:r>
      <w:r>
        <w:rPr>
          <w:rFonts w:hint="eastAsia"/>
          <w:szCs w:val="28"/>
          <w:highlight w:val="black"/>
        </w:rPr>
        <w:t>2.5</w:t>
      </w:r>
      <w:r>
        <w:rPr>
          <w:szCs w:val="28"/>
          <w:highlight w:val="black"/>
        </w:rPr>
        <w:t>)=</w:t>
      </w:r>
      <w:r>
        <w:rPr>
          <w:rFonts w:hint="eastAsia"/>
          <w:szCs w:val="28"/>
          <w:highlight w:val="black"/>
        </w:rPr>
        <w:t>277.6</w:t>
      </w:r>
      <w:r>
        <w:rPr>
          <w:szCs w:val="28"/>
          <w:highlight w:val="black"/>
        </w:rPr>
        <w:t>m</w:t>
      </w:r>
    </w:p>
    <w:p w14:paraId="0A5E7BA9">
      <w:pPr>
        <w:autoSpaceDE w:val="0"/>
        <w:autoSpaceDN w:val="0"/>
        <w:adjustRightInd w:val="0"/>
        <w:snapToGrid w:val="0"/>
        <w:spacing w:line="520" w:lineRule="atLeast"/>
        <w:ind w:firstLine="560"/>
        <w:rPr>
          <w:szCs w:val="28"/>
          <w:highlight w:val="black"/>
        </w:rPr>
      </w:pPr>
      <w:r>
        <w:rPr>
          <w:szCs w:val="28"/>
          <w:highlight w:val="black"/>
        </w:rPr>
        <w:t>式中：H－计算水泵所需扬程；</w:t>
      </w:r>
    </w:p>
    <w:p w14:paraId="65BAADC7">
      <w:pPr>
        <w:autoSpaceDE w:val="0"/>
        <w:autoSpaceDN w:val="0"/>
        <w:adjustRightInd w:val="0"/>
        <w:snapToGrid w:val="0"/>
        <w:spacing w:line="520" w:lineRule="atLeast"/>
        <w:ind w:firstLine="1430" w:firstLineChars="511"/>
        <w:rPr>
          <w:szCs w:val="28"/>
          <w:highlight w:val="black"/>
        </w:rPr>
      </w:pPr>
      <w:r>
        <w:rPr>
          <w:szCs w:val="28"/>
          <w:highlight w:val="black"/>
        </w:rPr>
        <w:t>K－扬程损失系数，取1.</w:t>
      </w:r>
      <w:r>
        <w:rPr>
          <w:rFonts w:hint="eastAsia"/>
          <w:szCs w:val="28"/>
          <w:highlight w:val="black"/>
        </w:rPr>
        <w:t>3</w:t>
      </w:r>
      <w:r>
        <w:rPr>
          <w:szCs w:val="28"/>
          <w:highlight w:val="black"/>
        </w:rPr>
        <w:t>；</w:t>
      </w:r>
    </w:p>
    <w:p w14:paraId="45A98BA7">
      <w:pPr>
        <w:autoSpaceDE w:val="0"/>
        <w:autoSpaceDN w:val="0"/>
        <w:adjustRightInd w:val="0"/>
        <w:snapToGrid w:val="0"/>
        <w:spacing w:line="520" w:lineRule="atLeast"/>
        <w:ind w:firstLine="1430" w:firstLineChars="511"/>
        <w:rPr>
          <w:szCs w:val="28"/>
          <w:highlight w:val="black"/>
        </w:rPr>
      </w:pPr>
      <w:r>
        <w:rPr>
          <w:szCs w:val="28"/>
          <w:highlight w:val="black"/>
        </w:rPr>
        <w:t>H</w:t>
      </w:r>
      <w:r>
        <w:rPr>
          <w:szCs w:val="28"/>
          <w:highlight w:val="black"/>
          <w:vertAlign w:val="subscript"/>
        </w:rPr>
        <w:t>p</w:t>
      </w:r>
      <w:r>
        <w:rPr>
          <w:szCs w:val="28"/>
          <w:highlight w:val="black"/>
        </w:rPr>
        <w:t>－一次排水高度。</w:t>
      </w:r>
    </w:p>
    <w:p w14:paraId="145F4FC6">
      <w:pPr>
        <w:ind w:firstLine="560"/>
        <w:rPr>
          <w:highlight w:val="black"/>
        </w:rPr>
      </w:pPr>
      <w:bookmarkStart w:id="211" w:name="_Hlk185543007"/>
      <w:r>
        <w:rPr>
          <w:highlight w:val="black"/>
        </w:rPr>
        <w:t>设计在</w:t>
      </w:r>
      <w:r>
        <w:rPr>
          <w:rFonts w:hint="eastAsia"/>
          <w:highlight w:val="black"/>
        </w:rPr>
        <w:t>-40</w:t>
      </w:r>
      <w:r>
        <w:rPr>
          <w:highlight w:val="black"/>
        </w:rPr>
        <w:t>m水泵房内布置3台</w:t>
      </w:r>
      <w:r>
        <w:rPr>
          <w:rFonts w:hint="eastAsia"/>
          <w:highlight w:val="black"/>
        </w:rPr>
        <w:t>M</w:t>
      </w:r>
      <w:r>
        <w:rPr>
          <w:highlight w:val="black"/>
        </w:rPr>
        <w:t>D</w:t>
      </w:r>
      <w:r>
        <w:rPr>
          <w:rFonts w:hint="eastAsia"/>
          <w:highlight w:val="black"/>
        </w:rPr>
        <w:t>54</w:t>
      </w:r>
      <w:r>
        <w:rPr>
          <w:highlight w:val="black"/>
        </w:rPr>
        <w:t>-</w:t>
      </w:r>
      <w:r>
        <w:rPr>
          <w:rFonts w:hint="eastAsia"/>
          <w:highlight w:val="black"/>
        </w:rPr>
        <w:t>24</w:t>
      </w:r>
      <w:r>
        <w:rPr>
          <w:highlight w:val="black"/>
        </w:rPr>
        <w:t>×</w:t>
      </w:r>
      <w:r>
        <w:rPr>
          <w:rFonts w:hint="eastAsia"/>
          <w:highlight w:val="black"/>
        </w:rPr>
        <w:t>12</w:t>
      </w:r>
      <w:r>
        <w:rPr>
          <w:highlight w:val="black"/>
        </w:rPr>
        <w:t>型卧式离心泵，每台水泵流量</w:t>
      </w:r>
      <w:r>
        <w:rPr>
          <w:rFonts w:hint="eastAsia"/>
          <w:highlight w:val="black"/>
        </w:rPr>
        <w:t>54</w:t>
      </w:r>
      <w:r>
        <w:rPr>
          <w:highlight w:val="black"/>
        </w:rPr>
        <w:t>m</w:t>
      </w:r>
      <w:r>
        <w:rPr>
          <w:highlight w:val="black"/>
          <w:vertAlign w:val="superscript"/>
        </w:rPr>
        <w:t>3</w:t>
      </w:r>
      <w:r>
        <w:rPr>
          <w:highlight w:val="black"/>
        </w:rPr>
        <w:t>/h，扬程</w:t>
      </w:r>
      <w:r>
        <w:rPr>
          <w:rFonts w:hint="eastAsia"/>
          <w:highlight w:val="black"/>
        </w:rPr>
        <w:t>288</w:t>
      </w:r>
      <w:r>
        <w:rPr>
          <w:highlight w:val="black"/>
        </w:rPr>
        <w:t>m，三台水泵一台工作，一台检修，一台备用，最大涌水量时，二台工作，一台备用。每台水泵配有一台</w:t>
      </w:r>
      <w:r>
        <w:rPr>
          <w:rFonts w:hint="eastAsia"/>
          <w:highlight w:val="black"/>
        </w:rPr>
        <w:t>Y-280S</w:t>
      </w:r>
      <w:r>
        <w:rPr>
          <w:highlight w:val="black"/>
        </w:rPr>
        <w:t>-2型电机，功率</w:t>
      </w:r>
      <w:r>
        <w:rPr>
          <w:rFonts w:hint="eastAsia"/>
          <w:highlight w:val="black"/>
        </w:rPr>
        <w:t>75</w:t>
      </w:r>
      <w:r>
        <w:rPr>
          <w:highlight w:val="black"/>
        </w:rPr>
        <w:t>kW，转速n=2980r/min，电压380V</w:t>
      </w:r>
      <w:bookmarkEnd w:id="211"/>
      <w:r>
        <w:rPr>
          <w:highlight w:val="black"/>
        </w:rPr>
        <w:t>。</w:t>
      </w:r>
    </w:p>
    <w:p w14:paraId="27842B0F">
      <w:pPr>
        <w:ind w:firstLine="560"/>
        <w:rPr>
          <w:highlight w:val="black"/>
        </w:rPr>
      </w:pPr>
      <w:r>
        <w:rPr>
          <w:rFonts w:hint="eastAsia"/>
          <w:highlight w:val="black"/>
        </w:rPr>
        <w:t>3）</w:t>
      </w:r>
      <w:r>
        <w:rPr>
          <w:highlight w:val="black"/>
        </w:rPr>
        <w:t>排水管路</w:t>
      </w:r>
    </w:p>
    <w:p w14:paraId="1474A6E8">
      <w:pPr>
        <w:ind w:firstLine="560"/>
        <w:rPr>
          <w:highlight w:val="black"/>
        </w:rPr>
      </w:pPr>
      <w:r>
        <w:rPr>
          <w:highlight w:val="black"/>
        </w:rPr>
        <w:t>a、排水管直径：</w:t>
      </w:r>
    </w:p>
    <w:p w14:paraId="5A33DE8F">
      <w:pPr>
        <w:snapToGrid w:val="0"/>
        <w:spacing w:line="520" w:lineRule="atLeast"/>
        <w:ind w:firstLine="520"/>
        <w:jc w:val="center"/>
        <w:rPr>
          <w:sz w:val="26"/>
          <w:highlight w:val="black"/>
        </w:rPr>
      </w:pPr>
      <w:r>
        <w:rPr>
          <w:position w:val="-26"/>
          <w:sz w:val="26"/>
          <w:highlight w:val="black"/>
        </w:rPr>
        <w:object>
          <v:shape id="_x0000_i1047" o:spt="75" type="#_x0000_t75" style="height:35.45pt;width:265.1pt;" o:ole="t" filled="f" o:preferrelative="t" stroked="f" coordsize="21600,21600">
            <v:path/>
            <v:fill on="f" focussize="0,0"/>
            <v:stroke on="f" joinstyle="miter"/>
            <v:imagedata r:id="rId74" o:title=""/>
            <o:lock v:ext="edit" aspectratio="t"/>
            <w10:wrap type="none"/>
            <w10:anchorlock/>
          </v:shape>
          <o:OLEObject Type="Embed" ProgID="Equation.DSMT4" ShapeID="_x0000_i1047" DrawAspect="Content" ObjectID="_1468075746" r:id="rId73">
            <o:LockedField>false</o:LockedField>
          </o:OLEObject>
        </w:object>
      </w:r>
      <w:r>
        <w:rPr>
          <w:sz w:val="26"/>
          <w:highlight w:val="black"/>
        </w:rPr>
        <w:t>取</w:t>
      </w:r>
      <w:r>
        <w:rPr>
          <w:rFonts w:hint="eastAsia"/>
          <w:sz w:val="26"/>
          <w:highlight w:val="black"/>
        </w:rPr>
        <w:t>133</w:t>
      </w:r>
      <w:r>
        <w:rPr>
          <w:sz w:val="26"/>
          <w:highlight w:val="black"/>
        </w:rPr>
        <w:t>mm</w:t>
      </w:r>
    </w:p>
    <w:p w14:paraId="12EDEA58">
      <w:pPr>
        <w:spacing w:line="520" w:lineRule="atLeast"/>
        <w:ind w:firstLine="560"/>
        <w:rPr>
          <w:szCs w:val="28"/>
          <w:highlight w:val="black"/>
        </w:rPr>
      </w:pPr>
      <w:r>
        <w:rPr>
          <w:szCs w:val="28"/>
          <w:highlight w:val="black"/>
        </w:rPr>
        <w:t>式中：n－水泵台数；</w:t>
      </w:r>
    </w:p>
    <w:p w14:paraId="4C43F601">
      <w:pPr>
        <w:spacing w:line="520" w:lineRule="atLeast"/>
        <w:ind w:firstLine="1400" w:firstLineChars="500"/>
        <w:rPr>
          <w:szCs w:val="28"/>
          <w:highlight w:val="black"/>
        </w:rPr>
      </w:pPr>
      <w:r>
        <w:rPr>
          <w:szCs w:val="28"/>
          <w:highlight w:val="black"/>
        </w:rPr>
        <w:t>Q－水泵流量，</w:t>
      </w:r>
      <w:r>
        <w:rPr>
          <w:rFonts w:hint="eastAsia"/>
          <w:szCs w:val="28"/>
          <w:highlight w:val="black"/>
        </w:rPr>
        <w:t>54</w:t>
      </w:r>
      <w:r>
        <w:rPr>
          <w:szCs w:val="28"/>
          <w:highlight w:val="black"/>
        </w:rPr>
        <w:t>m</w:t>
      </w:r>
      <w:r>
        <w:rPr>
          <w:szCs w:val="28"/>
          <w:highlight w:val="black"/>
          <w:vertAlign w:val="superscript"/>
        </w:rPr>
        <w:t>3</w:t>
      </w:r>
      <w:r>
        <w:rPr>
          <w:szCs w:val="28"/>
          <w:highlight w:val="black"/>
        </w:rPr>
        <w:t>/h；</w:t>
      </w:r>
    </w:p>
    <w:p w14:paraId="66415B81">
      <w:pPr>
        <w:spacing w:line="520" w:lineRule="atLeast"/>
        <w:ind w:firstLine="1400" w:firstLineChars="500"/>
        <w:rPr>
          <w:szCs w:val="28"/>
          <w:highlight w:val="black"/>
        </w:rPr>
      </w:pPr>
      <w:r>
        <w:rPr>
          <w:szCs w:val="28"/>
          <w:highlight w:val="black"/>
        </w:rPr>
        <w:t>V－排水管中流速，依据手册选取2m/s。</w:t>
      </w:r>
    </w:p>
    <w:p w14:paraId="74604737">
      <w:pPr>
        <w:spacing w:line="520" w:lineRule="atLeast"/>
        <w:ind w:firstLine="560"/>
        <w:rPr>
          <w:szCs w:val="28"/>
          <w:highlight w:val="black"/>
        </w:rPr>
      </w:pPr>
      <w:r>
        <w:rPr>
          <w:szCs w:val="28"/>
          <w:highlight w:val="black"/>
        </w:rPr>
        <w:t>b、排水管中流速验算：</w:t>
      </w:r>
    </w:p>
    <w:p w14:paraId="2C9903A4">
      <w:pPr>
        <w:snapToGrid w:val="0"/>
        <w:spacing w:line="520" w:lineRule="atLeast"/>
        <w:ind w:firstLine="520"/>
        <w:jc w:val="center"/>
        <w:rPr>
          <w:sz w:val="26"/>
          <w:highlight w:val="black"/>
        </w:rPr>
      </w:pPr>
      <w:r>
        <w:rPr>
          <w:position w:val="-24"/>
          <w:sz w:val="26"/>
          <w:highlight w:val="black"/>
        </w:rPr>
        <w:object>
          <v:shape id="_x0000_i1048" o:spt="75" type="#_x0000_t75" style="height:31.65pt;width:223.65pt;" o:ole="t" filled="f" o:preferrelative="t" stroked="f" coordsize="21600,21600">
            <v:path/>
            <v:fill on="f" focussize="0,0"/>
            <v:stroke on="f" joinstyle="miter"/>
            <v:imagedata r:id="rId76" o:title=""/>
            <o:lock v:ext="edit" aspectratio="t"/>
            <w10:wrap type="none"/>
            <w10:anchorlock/>
          </v:shape>
          <o:OLEObject Type="Embed" ProgID="Equation.DSMT4" ShapeID="_x0000_i1048" DrawAspect="Content" ObjectID="_1468075747" r:id="rId75">
            <o:LockedField>false</o:LockedField>
          </o:OLEObject>
        </w:object>
      </w:r>
    </w:p>
    <w:p w14:paraId="052D6B65">
      <w:pPr>
        <w:spacing w:line="520" w:lineRule="atLeast"/>
        <w:ind w:firstLine="560"/>
        <w:rPr>
          <w:szCs w:val="28"/>
          <w:highlight w:val="black"/>
        </w:rPr>
      </w:pPr>
      <w:r>
        <w:rPr>
          <w:szCs w:val="28"/>
          <w:highlight w:val="black"/>
        </w:rPr>
        <w:t>c、排水管壁厚：</w:t>
      </w:r>
    </w:p>
    <w:p w14:paraId="3A7DB9BD">
      <w:pPr>
        <w:snapToGrid w:val="0"/>
        <w:spacing w:line="520" w:lineRule="atLeast"/>
        <w:ind w:firstLine="520"/>
        <w:jc w:val="center"/>
        <w:rPr>
          <w:position w:val="-24"/>
          <w:sz w:val="26"/>
          <w:highlight w:val="black"/>
        </w:rPr>
      </w:pPr>
      <w:r>
        <w:rPr>
          <w:position w:val="-30"/>
          <w:sz w:val="26"/>
          <w:highlight w:val="black"/>
        </w:rPr>
        <w:object>
          <v:shape id="_x0000_i1049" o:spt="75" type="#_x0000_t75" style="height:34.9pt;width:362.2pt;" o:ole="t" filled="f" o:preferrelative="t" stroked="f" coordsize="21600,21600">
            <v:path/>
            <v:fill on="f" focussize="0,0"/>
            <v:stroke on="f" joinstyle="miter"/>
            <v:imagedata r:id="rId78" o:title=""/>
            <o:lock v:ext="edit" aspectratio="t"/>
            <w10:wrap type="none"/>
            <w10:anchorlock/>
          </v:shape>
          <o:OLEObject Type="Embed" ProgID="Equation.DSMT4" ShapeID="_x0000_i1049" DrawAspect="Content" ObjectID="_1468075748" r:id="rId77">
            <o:LockedField>false</o:LockedField>
          </o:OLEObject>
        </w:object>
      </w:r>
    </w:p>
    <w:p w14:paraId="044B5C68">
      <w:pPr>
        <w:spacing w:line="520" w:lineRule="atLeast"/>
        <w:ind w:firstLine="560"/>
        <w:rPr>
          <w:szCs w:val="28"/>
          <w:highlight w:val="black"/>
        </w:rPr>
      </w:pPr>
      <w:r>
        <w:rPr>
          <w:szCs w:val="28"/>
          <w:highlight w:val="black"/>
        </w:rPr>
        <w:t>式中：</w:t>
      </w:r>
      <w:r>
        <w:rPr>
          <w:szCs w:val="28"/>
          <w:highlight w:val="black"/>
        </w:rPr>
        <w:sym w:font="Symbol" w:char="F073"/>
      </w:r>
      <w:r>
        <w:rPr>
          <w:szCs w:val="28"/>
          <w:highlight w:val="black"/>
          <w:vertAlign w:val="subscript"/>
        </w:rPr>
        <w:t>ｘ</w:t>
      </w:r>
      <w:r>
        <w:rPr>
          <w:szCs w:val="28"/>
          <w:highlight w:val="black"/>
        </w:rPr>
        <w:t>－许用应力，无缝钢管</w:t>
      </w:r>
      <w:r>
        <w:rPr>
          <w:szCs w:val="28"/>
          <w:highlight w:val="black"/>
        </w:rPr>
        <w:sym w:font="Symbol" w:char="F073"/>
      </w:r>
      <w:r>
        <w:rPr>
          <w:szCs w:val="28"/>
          <w:highlight w:val="black"/>
          <w:vertAlign w:val="subscript"/>
        </w:rPr>
        <w:t>ｘ</w:t>
      </w:r>
      <w:r>
        <w:rPr>
          <w:szCs w:val="28"/>
          <w:highlight w:val="black"/>
        </w:rPr>
        <w:t>=100MPa；</w:t>
      </w:r>
    </w:p>
    <w:p w14:paraId="5A24C5F7">
      <w:pPr>
        <w:snapToGrid w:val="0"/>
        <w:spacing w:line="520" w:lineRule="atLeast"/>
        <w:ind w:firstLine="1400" w:firstLineChars="500"/>
        <w:rPr>
          <w:szCs w:val="28"/>
          <w:highlight w:val="black"/>
        </w:rPr>
      </w:pPr>
      <w:r>
        <w:rPr>
          <w:szCs w:val="28"/>
          <w:highlight w:val="black"/>
        </w:rPr>
        <w:t>P</w:t>
      </w:r>
      <w:r>
        <w:rPr>
          <w:szCs w:val="28"/>
          <w:highlight w:val="black"/>
          <w:vertAlign w:val="subscript"/>
        </w:rPr>
        <w:t>d</w:t>
      </w:r>
      <w:r>
        <w:rPr>
          <w:szCs w:val="28"/>
          <w:highlight w:val="black"/>
        </w:rPr>
        <w:t>－排水管最低点压力，</w:t>
      </w:r>
      <w:r>
        <w:rPr>
          <w:rFonts w:hint="eastAsia"/>
          <w:szCs w:val="28"/>
          <w:highlight w:val="black"/>
        </w:rPr>
        <w:t>2.2</w:t>
      </w:r>
      <w:r>
        <w:rPr>
          <w:szCs w:val="28"/>
          <w:highlight w:val="black"/>
        </w:rPr>
        <w:t>MPa；</w:t>
      </w:r>
    </w:p>
    <w:p w14:paraId="4FCB79CF">
      <w:pPr>
        <w:snapToGrid w:val="0"/>
        <w:spacing w:line="520" w:lineRule="atLeast"/>
        <w:ind w:firstLine="1400" w:firstLineChars="500"/>
        <w:rPr>
          <w:szCs w:val="28"/>
          <w:highlight w:val="black"/>
        </w:rPr>
      </w:pPr>
      <w:r>
        <w:rPr>
          <w:szCs w:val="28"/>
          <w:highlight w:val="black"/>
        </w:rPr>
        <w:t>a</w:t>
      </w:r>
      <w:r>
        <w:rPr>
          <w:szCs w:val="28"/>
          <w:highlight w:val="black"/>
          <w:vertAlign w:val="subscript"/>
        </w:rPr>
        <w:t>f</w:t>
      </w:r>
      <w:r>
        <w:rPr>
          <w:szCs w:val="28"/>
          <w:highlight w:val="black"/>
        </w:rPr>
        <w:t>－腐蚀系数，取2。</w:t>
      </w:r>
    </w:p>
    <w:p w14:paraId="4C0CD550">
      <w:pPr>
        <w:spacing w:line="520" w:lineRule="atLeast"/>
        <w:ind w:firstLine="560"/>
        <w:rPr>
          <w:szCs w:val="28"/>
          <w:highlight w:val="black"/>
        </w:rPr>
      </w:pPr>
      <w:r>
        <w:rPr>
          <w:szCs w:val="28"/>
          <w:highlight w:val="black"/>
        </w:rPr>
        <w:t>根据以上计算，选取φ</w:t>
      </w:r>
      <w:r>
        <w:rPr>
          <w:rFonts w:hint="eastAsia"/>
          <w:szCs w:val="28"/>
          <w:highlight w:val="black"/>
        </w:rPr>
        <w:t>133</w:t>
      </w:r>
      <w:r>
        <w:rPr>
          <w:szCs w:val="28"/>
          <w:highlight w:val="black"/>
        </w:rPr>
        <w:t>×</w:t>
      </w:r>
      <w:r>
        <w:rPr>
          <w:rFonts w:hint="eastAsia"/>
          <w:szCs w:val="28"/>
          <w:highlight w:val="black"/>
        </w:rPr>
        <w:t>3.5</w:t>
      </w:r>
      <w:r>
        <w:rPr>
          <w:szCs w:val="28"/>
          <w:highlight w:val="black"/>
        </w:rPr>
        <w:t>的</w:t>
      </w:r>
      <w:r>
        <w:rPr>
          <w:rFonts w:hint="eastAsia"/>
          <w:szCs w:val="28"/>
          <w:highlight w:val="black"/>
        </w:rPr>
        <w:t>镀锌</w:t>
      </w:r>
      <w:r>
        <w:rPr>
          <w:szCs w:val="28"/>
          <w:highlight w:val="black"/>
        </w:rPr>
        <w:t>无缝钢管</w:t>
      </w:r>
      <w:r>
        <w:rPr>
          <w:rFonts w:hint="eastAsia"/>
          <w:szCs w:val="28"/>
          <w:highlight w:val="black"/>
        </w:rPr>
        <w:t>（</w:t>
      </w:r>
      <w:r>
        <w:rPr>
          <w:szCs w:val="28"/>
          <w:highlight w:val="black"/>
        </w:rPr>
        <w:t>GB/T17395-2008</w:t>
      </w:r>
      <w:r>
        <w:rPr>
          <w:rFonts w:hint="eastAsia"/>
          <w:szCs w:val="28"/>
          <w:highlight w:val="black"/>
        </w:rPr>
        <w:t>）</w:t>
      </w:r>
      <w:r>
        <w:rPr>
          <w:szCs w:val="28"/>
          <w:highlight w:val="black"/>
        </w:rPr>
        <w:t>作为主排水管，满足排水经济流速要求和强度要求，在</w:t>
      </w:r>
      <w:r>
        <w:rPr>
          <w:rFonts w:hint="eastAsia"/>
          <w:szCs w:val="28"/>
          <w:highlight w:val="black"/>
        </w:rPr>
        <w:t>斜管子道</w:t>
      </w:r>
      <w:r>
        <w:rPr>
          <w:szCs w:val="28"/>
          <w:highlight w:val="black"/>
        </w:rPr>
        <w:t>内安装此规格排水管路2条。管道沿</w:t>
      </w:r>
      <w:r>
        <w:rPr>
          <w:rFonts w:hint="eastAsia"/>
          <w:szCs w:val="28"/>
          <w:highlight w:val="black"/>
        </w:rPr>
        <w:t>斜管子道</w:t>
      </w:r>
      <w:r>
        <w:rPr>
          <w:szCs w:val="28"/>
          <w:highlight w:val="black"/>
        </w:rPr>
        <w:t>敷设时，用支架固定于巷道壁上。符合规范。</w:t>
      </w:r>
    </w:p>
    <w:p w14:paraId="2360331C">
      <w:pPr>
        <w:tabs>
          <w:tab w:val="left" w:pos="360"/>
        </w:tabs>
        <w:spacing w:line="520" w:lineRule="atLeast"/>
        <w:ind w:left="694" w:leftChars="248" w:firstLine="560"/>
        <w:rPr>
          <w:sz w:val="26"/>
          <w:highlight w:val="black"/>
          <w:lang w:val="zh-CN"/>
        </w:rPr>
      </w:pPr>
      <w:r>
        <w:rPr>
          <w:szCs w:val="28"/>
          <w:highlight w:val="black"/>
          <w:lang w:val="zh-CN"/>
        </w:rPr>
        <w:t>d、管路中扬程损失：</w:t>
      </w:r>
    </w:p>
    <w:p w14:paraId="3C9572DE">
      <w:pPr>
        <w:tabs>
          <w:tab w:val="left" w:pos="360"/>
        </w:tabs>
        <w:snapToGrid w:val="0"/>
        <w:spacing w:line="520" w:lineRule="atLeast"/>
        <w:ind w:left="357" w:firstLine="995" w:firstLineChars="383"/>
        <w:jc w:val="center"/>
        <w:rPr>
          <w:sz w:val="26"/>
          <w:highlight w:val="black"/>
          <w:lang w:val="zh-CN"/>
        </w:rPr>
      </w:pPr>
      <w:r>
        <w:rPr>
          <w:sz w:val="26"/>
          <w:highlight w:val="black"/>
          <w:lang w:val="zh-CN"/>
        </w:rPr>
        <w:t>Hp+Hx=RQ</w:t>
      </w:r>
      <w:r>
        <w:rPr>
          <w:sz w:val="26"/>
          <w:highlight w:val="black"/>
          <w:vertAlign w:val="superscript"/>
          <w:lang w:val="zh-CN"/>
        </w:rPr>
        <w:t>2</w:t>
      </w:r>
      <w:r>
        <w:rPr>
          <w:sz w:val="26"/>
          <w:highlight w:val="black"/>
          <w:lang w:val="zh-CN"/>
        </w:rPr>
        <w:t>=</w:t>
      </w:r>
      <w:r>
        <w:rPr>
          <w:position w:val="-34"/>
          <w:sz w:val="26"/>
          <w:highlight w:val="black"/>
        </w:rPr>
        <w:drawing>
          <wp:inline distT="0" distB="0" distL="114300" distR="114300">
            <wp:extent cx="716280" cy="491490"/>
            <wp:effectExtent l="0" t="0" r="0" b="0"/>
            <wp:docPr id="3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1"/>
                    <pic:cNvPicPr>
                      <a:picLocks noChangeAspect="1"/>
                    </pic:cNvPicPr>
                  </pic:nvPicPr>
                  <pic:blipFill>
                    <a:blip r:embed="rId79"/>
                    <a:stretch>
                      <a:fillRect/>
                    </a:stretch>
                  </pic:blipFill>
                  <pic:spPr>
                    <a:xfrm>
                      <a:off x="0" y="0"/>
                      <a:ext cx="716280" cy="491490"/>
                    </a:xfrm>
                    <a:prstGeom prst="rect">
                      <a:avLst/>
                    </a:prstGeom>
                    <a:noFill/>
                    <a:ln>
                      <a:noFill/>
                    </a:ln>
                  </pic:spPr>
                </pic:pic>
              </a:graphicData>
            </a:graphic>
          </wp:inline>
        </w:drawing>
      </w:r>
    </w:p>
    <w:p w14:paraId="4C64833E">
      <w:pPr>
        <w:tabs>
          <w:tab w:val="left" w:pos="360"/>
        </w:tabs>
        <w:spacing w:line="520" w:lineRule="atLeast"/>
        <w:ind w:left="1" w:firstLine="560"/>
        <w:rPr>
          <w:szCs w:val="28"/>
          <w:highlight w:val="black"/>
          <w:lang w:val="zh-CN"/>
        </w:rPr>
      </w:pPr>
      <w:r>
        <w:rPr>
          <w:szCs w:val="28"/>
          <w:highlight w:val="black"/>
          <w:lang w:val="zh-CN"/>
        </w:rPr>
        <w:t>式中：Hp-排水管路扬程损失，m；</w:t>
      </w:r>
    </w:p>
    <w:p w14:paraId="470BBE22">
      <w:pPr>
        <w:tabs>
          <w:tab w:val="left" w:pos="0"/>
        </w:tabs>
        <w:spacing w:line="520" w:lineRule="atLeast"/>
        <w:ind w:firstLine="1386" w:firstLineChars="495"/>
        <w:rPr>
          <w:szCs w:val="28"/>
          <w:highlight w:val="black"/>
          <w:lang w:val="zh-CN"/>
        </w:rPr>
      </w:pPr>
      <w:r>
        <w:rPr>
          <w:szCs w:val="28"/>
          <w:highlight w:val="black"/>
          <w:lang w:val="zh-CN"/>
        </w:rPr>
        <w:t>Hx</w:t>
      </w:r>
      <w:r>
        <w:rPr>
          <w:szCs w:val="28"/>
          <w:highlight w:val="black"/>
        </w:rPr>
        <w:t>－</w:t>
      </w:r>
      <w:r>
        <w:rPr>
          <w:szCs w:val="28"/>
          <w:highlight w:val="black"/>
          <w:lang w:val="zh-CN"/>
        </w:rPr>
        <w:t>吸水管路吸程损失，m；</w:t>
      </w:r>
    </w:p>
    <w:p w14:paraId="288A0BAC">
      <w:pPr>
        <w:tabs>
          <w:tab w:val="left" w:pos="0"/>
          <w:tab w:val="left" w:pos="360"/>
        </w:tabs>
        <w:spacing w:line="520" w:lineRule="atLeast"/>
        <w:ind w:firstLine="1386" w:firstLineChars="495"/>
        <w:rPr>
          <w:szCs w:val="28"/>
          <w:highlight w:val="black"/>
          <w:lang w:val="zh-CN"/>
        </w:rPr>
      </w:pPr>
      <w:r>
        <w:rPr>
          <w:szCs w:val="28"/>
          <w:highlight w:val="black"/>
          <w:lang w:val="zh-CN"/>
        </w:rPr>
        <w:t>λ</w:t>
      </w:r>
      <w:r>
        <w:rPr>
          <w:szCs w:val="28"/>
          <w:highlight w:val="black"/>
        </w:rPr>
        <w:t>－</w:t>
      </w:r>
      <w:r>
        <w:rPr>
          <w:szCs w:val="28"/>
          <w:highlight w:val="black"/>
          <w:lang w:val="zh-CN"/>
        </w:rPr>
        <w:t>摩擦阻力系数，0.0</w:t>
      </w:r>
      <w:r>
        <w:rPr>
          <w:rFonts w:hint="eastAsia"/>
          <w:szCs w:val="28"/>
          <w:highlight w:val="black"/>
          <w:lang w:val="zh-CN"/>
        </w:rPr>
        <w:t>392</w:t>
      </w:r>
      <w:r>
        <w:rPr>
          <w:szCs w:val="28"/>
          <w:highlight w:val="black"/>
          <w:lang w:val="zh-CN"/>
        </w:rPr>
        <w:t>；</w:t>
      </w:r>
    </w:p>
    <w:p w14:paraId="52EE9FD9">
      <w:pPr>
        <w:tabs>
          <w:tab w:val="left" w:pos="0"/>
          <w:tab w:val="left" w:pos="360"/>
        </w:tabs>
        <w:spacing w:line="520" w:lineRule="atLeast"/>
        <w:ind w:firstLine="1386" w:firstLineChars="495"/>
        <w:rPr>
          <w:szCs w:val="28"/>
          <w:highlight w:val="black"/>
          <w:lang w:val="zh-CN"/>
        </w:rPr>
      </w:pPr>
      <w:r>
        <w:rPr>
          <w:szCs w:val="28"/>
          <w:highlight w:val="black"/>
          <w:lang w:val="zh-CN"/>
        </w:rPr>
        <w:t>L</w:t>
      </w:r>
      <w:r>
        <w:rPr>
          <w:szCs w:val="28"/>
          <w:highlight w:val="black"/>
          <w:vertAlign w:val="subscript"/>
          <w:lang w:val="zh-CN"/>
        </w:rPr>
        <w:t>j</w:t>
      </w:r>
      <w:r>
        <w:rPr>
          <w:szCs w:val="28"/>
          <w:highlight w:val="black"/>
        </w:rPr>
        <w:t>－</w:t>
      </w:r>
      <w:r>
        <w:rPr>
          <w:szCs w:val="28"/>
          <w:highlight w:val="black"/>
          <w:lang w:val="zh-CN"/>
        </w:rPr>
        <w:t>管路等值长度。</w:t>
      </w:r>
    </w:p>
    <w:p w14:paraId="277723EC">
      <w:pPr>
        <w:tabs>
          <w:tab w:val="left" w:pos="360"/>
        </w:tabs>
        <w:snapToGrid w:val="0"/>
        <w:spacing w:line="520" w:lineRule="atLeast"/>
        <w:ind w:left="607" w:leftChars="124" w:hanging="260" w:hangingChars="100"/>
        <w:jc w:val="center"/>
        <w:rPr>
          <w:sz w:val="26"/>
          <w:highlight w:val="black"/>
          <w:lang w:val="zh-CN"/>
        </w:rPr>
      </w:pPr>
      <w:r>
        <w:rPr>
          <w:sz w:val="26"/>
          <w:highlight w:val="black"/>
          <w:lang w:val="zh-CN"/>
        </w:rPr>
        <w:t>Hp+Hx=RQ</w:t>
      </w:r>
      <w:r>
        <w:rPr>
          <w:sz w:val="26"/>
          <w:highlight w:val="black"/>
          <w:vertAlign w:val="superscript"/>
          <w:lang w:val="zh-CN"/>
        </w:rPr>
        <w:t>2</w:t>
      </w:r>
      <w:r>
        <w:rPr>
          <w:sz w:val="26"/>
          <w:highlight w:val="black"/>
          <w:lang w:val="zh-CN"/>
        </w:rPr>
        <w:t>=</w:t>
      </w:r>
      <w:r>
        <w:rPr>
          <w:position w:val="-34"/>
          <w:sz w:val="26"/>
          <w:highlight w:val="black"/>
        </w:rPr>
        <w:drawing>
          <wp:inline distT="0" distB="0" distL="114300" distR="114300">
            <wp:extent cx="716280" cy="491490"/>
            <wp:effectExtent l="0" t="0" r="0" b="0"/>
            <wp:docPr id="3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2"/>
                    <pic:cNvPicPr>
                      <a:picLocks noChangeAspect="1"/>
                    </pic:cNvPicPr>
                  </pic:nvPicPr>
                  <pic:blipFill>
                    <a:blip r:embed="rId79"/>
                    <a:stretch>
                      <a:fillRect/>
                    </a:stretch>
                  </pic:blipFill>
                  <pic:spPr>
                    <a:xfrm>
                      <a:off x="0" y="0"/>
                      <a:ext cx="716280" cy="491490"/>
                    </a:xfrm>
                    <a:prstGeom prst="rect">
                      <a:avLst/>
                    </a:prstGeom>
                    <a:noFill/>
                    <a:ln>
                      <a:noFill/>
                    </a:ln>
                  </pic:spPr>
                </pic:pic>
              </a:graphicData>
            </a:graphic>
          </wp:inline>
        </w:drawing>
      </w:r>
      <w:r>
        <w:rPr>
          <w:sz w:val="26"/>
          <w:highlight w:val="black"/>
          <w:lang w:val="zh-CN"/>
        </w:rPr>
        <w:t>=</w:t>
      </w:r>
      <w:r>
        <w:rPr>
          <w:position w:val="-24"/>
          <w:sz w:val="26"/>
          <w:highlight w:val="black"/>
        </w:rPr>
        <w:object>
          <v:shape id="_x0000_i1050" o:spt="75" type="#_x0000_t75" style="height:33.25pt;width:160.9pt;" o:ole="t" fillcolor="#000005" filled="f" o:preferrelative="t" stroked="f" coordsize="21600,21600">
            <v:path/>
            <v:fill on="f" focussize="0,0"/>
            <v:stroke on="f" joinstyle="miter"/>
            <v:imagedata r:id="rId81" o:title=""/>
            <o:lock v:ext="edit" aspectratio="t"/>
            <w10:wrap type="none"/>
            <w10:anchorlock/>
          </v:shape>
          <o:OLEObject Type="Embed" ProgID="Equation.DSMT4" ShapeID="_x0000_i1050" DrawAspect="Content" ObjectID="_1468075749" r:id="rId80">
            <o:LockedField>false</o:LockedField>
          </o:OLEObject>
        </w:object>
      </w:r>
    </w:p>
    <w:p w14:paraId="20A9D147">
      <w:pPr>
        <w:snapToGrid w:val="0"/>
        <w:spacing w:line="240" w:lineRule="auto"/>
        <w:ind w:firstLine="0" w:firstLineChars="0"/>
        <w:jc w:val="center"/>
        <w:rPr>
          <w:b/>
          <w:sz w:val="21"/>
          <w:szCs w:val="21"/>
          <w:highlight w:val="black"/>
        </w:rPr>
      </w:pPr>
      <w:r>
        <w:rPr>
          <w:rFonts w:hint="eastAsia"/>
          <w:b/>
          <w:sz w:val="21"/>
          <w:szCs w:val="21"/>
          <w:highlight w:val="black"/>
        </w:rPr>
        <w:t xml:space="preserve">表2-25 </w:t>
      </w:r>
      <w:r>
        <w:rPr>
          <w:b/>
          <w:sz w:val="21"/>
          <w:szCs w:val="21"/>
          <w:highlight w:val="black"/>
        </w:rPr>
        <w:t>管路等值长度L</w:t>
      </w:r>
      <w:r>
        <w:rPr>
          <w:b/>
          <w:sz w:val="21"/>
          <w:szCs w:val="21"/>
          <w:highlight w:val="black"/>
          <w:vertAlign w:val="subscript"/>
        </w:rPr>
        <w:t>j</w:t>
      </w:r>
      <w:r>
        <w:rPr>
          <w:b/>
          <w:sz w:val="21"/>
          <w:szCs w:val="21"/>
          <w:highlight w:val="black"/>
        </w:rPr>
        <w:t>计算</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10"/>
        <w:gridCol w:w="1735"/>
        <w:gridCol w:w="3777"/>
      </w:tblGrid>
      <w:tr w14:paraId="6E444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2DCE61A4">
            <w:pPr>
              <w:spacing w:line="240" w:lineRule="auto"/>
              <w:ind w:firstLine="0" w:firstLineChars="0"/>
              <w:jc w:val="center"/>
              <w:rPr>
                <w:sz w:val="21"/>
                <w:szCs w:val="21"/>
                <w:highlight w:val="black"/>
              </w:rPr>
            </w:pPr>
            <w:r>
              <w:rPr>
                <w:sz w:val="21"/>
                <w:szCs w:val="21"/>
                <w:highlight w:val="black"/>
              </w:rPr>
              <w:t>管件名称</w:t>
            </w:r>
          </w:p>
        </w:tc>
        <w:tc>
          <w:tcPr>
            <w:tcW w:w="1018" w:type="pct"/>
            <w:tcBorders>
              <w:tl2br w:val="nil"/>
              <w:tr2bl w:val="nil"/>
            </w:tcBorders>
            <w:vAlign w:val="center"/>
          </w:tcPr>
          <w:p w14:paraId="6184AA0A">
            <w:pPr>
              <w:spacing w:line="240" w:lineRule="auto"/>
              <w:ind w:firstLine="0" w:firstLineChars="0"/>
              <w:jc w:val="center"/>
              <w:rPr>
                <w:sz w:val="21"/>
                <w:szCs w:val="21"/>
                <w:highlight w:val="black"/>
              </w:rPr>
            </w:pPr>
            <w:r>
              <w:rPr>
                <w:sz w:val="21"/>
                <w:szCs w:val="21"/>
                <w:highlight w:val="black"/>
              </w:rPr>
              <w:t>数量</w:t>
            </w:r>
          </w:p>
        </w:tc>
        <w:tc>
          <w:tcPr>
            <w:tcW w:w="2216" w:type="pct"/>
            <w:tcBorders>
              <w:tl2br w:val="nil"/>
              <w:tr2bl w:val="nil"/>
            </w:tcBorders>
            <w:vAlign w:val="center"/>
          </w:tcPr>
          <w:p w14:paraId="397C3D31">
            <w:pPr>
              <w:spacing w:line="240" w:lineRule="auto"/>
              <w:ind w:firstLine="0" w:firstLineChars="0"/>
              <w:jc w:val="center"/>
              <w:rPr>
                <w:sz w:val="21"/>
                <w:szCs w:val="21"/>
                <w:highlight w:val="black"/>
              </w:rPr>
            </w:pPr>
            <w:r>
              <w:rPr>
                <w:sz w:val="21"/>
                <w:szCs w:val="21"/>
                <w:highlight w:val="black"/>
              </w:rPr>
              <w:t>等值长度</w:t>
            </w:r>
            <w:r>
              <w:rPr>
                <w:rFonts w:hint="eastAsia"/>
                <w:sz w:val="21"/>
                <w:szCs w:val="21"/>
                <w:highlight w:val="black"/>
              </w:rPr>
              <w:t>（</w:t>
            </w:r>
            <w:r>
              <w:rPr>
                <w:sz w:val="21"/>
                <w:szCs w:val="21"/>
                <w:highlight w:val="black"/>
              </w:rPr>
              <w:t>m</w:t>
            </w:r>
            <w:r>
              <w:rPr>
                <w:rFonts w:hint="eastAsia"/>
                <w:sz w:val="21"/>
                <w:szCs w:val="21"/>
                <w:highlight w:val="black"/>
              </w:rPr>
              <w:t>）</w:t>
            </w:r>
          </w:p>
        </w:tc>
      </w:tr>
      <w:tr w14:paraId="50B44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4C9B96AD">
            <w:pPr>
              <w:spacing w:line="240" w:lineRule="auto"/>
              <w:ind w:firstLine="0" w:firstLineChars="0"/>
              <w:jc w:val="center"/>
              <w:rPr>
                <w:sz w:val="21"/>
                <w:szCs w:val="21"/>
                <w:highlight w:val="black"/>
              </w:rPr>
            </w:pPr>
            <w:r>
              <w:rPr>
                <w:sz w:val="21"/>
                <w:szCs w:val="21"/>
                <w:highlight w:val="black"/>
              </w:rPr>
              <w:t>直线段钢管</w:t>
            </w:r>
          </w:p>
        </w:tc>
        <w:tc>
          <w:tcPr>
            <w:tcW w:w="1018" w:type="pct"/>
            <w:tcBorders>
              <w:tl2br w:val="nil"/>
              <w:tr2bl w:val="nil"/>
            </w:tcBorders>
            <w:vAlign w:val="center"/>
          </w:tcPr>
          <w:p w14:paraId="07F04849">
            <w:pPr>
              <w:spacing w:line="240" w:lineRule="auto"/>
              <w:ind w:firstLine="0" w:firstLineChars="0"/>
              <w:jc w:val="center"/>
              <w:rPr>
                <w:sz w:val="21"/>
                <w:szCs w:val="21"/>
                <w:highlight w:val="black"/>
              </w:rPr>
            </w:pPr>
            <w:r>
              <w:rPr>
                <w:rFonts w:hint="eastAsia"/>
                <w:sz w:val="21"/>
                <w:szCs w:val="21"/>
                <w:highlight w:val="black"/>
              </w:rPr>
              <w:t>1785</w:t>
            </w:r>
            <w:r>
              <w:rPr>
                <w:sz w:val="21"/>
                <w:szCs w:val="21"/>
                <w:highlight w:val="black"/>
              </w:rPr>
              <w:t>m</w:t>
            </w:r>
          </w:p>
        </w:tc>
        <w:tc>
          <w:tcPr>
            <w:tcW w:w="2216" w:type="pct"/>
            <w:tcBorders>
              <w:tl2br w:val="nil"/>
              <w:tr2bl w:val="nil"/>
            </w:tcBorders>
            <w:vAlign w:val="center"/>
          </w:tcPr>
          <w:p w14:paraId="2811DF67">
            <w:pPr>
              <w:spacing w:line="240" w:lineRule="auto"/>
              <w:ind w:firstLine="0" w:firstLineChars="0"/>
              <w:jc w:val="center"/>
              <w:rPr>
                <w:sz w:val="21"/>
                <w:szCs w:val="21"/>
                <w:highlight w:val="black"/>
              </w:rPr>
            </w:pPr>
            <w:r>
              <w:rPr>
                <w:rFonts w:hint="eastAsia"/>
                <w:sz w:val="21"/>
                <w:szCs w:val="21"/>
                <w:highlight w:val="black"/>
              </w:rPr>
              <w:t>1785</w:t>
            </w:r>
          </w:p>
        </w:tc>
      </w:tr>
      <w:tr w14:paraId="2D6CC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2EE71CC6">
            <w:pPr>
              <w:spacing w:line="240" w:lineRule="auto"/>
              <w:ind w:firstLine="0" w:firstLineChars="0"/>
              <w:jc w:val="center"/>
              <w:rPr>
                <w:sz w:val="21"/>
                <w:szCs w:val="21"/>
                <w:highlight w:val="black"/>
              </w:rPr>
            </w:pPr>
            <w:r>
              <w:rPr>
                <w:sz w:val="21"/>
                <w:szCs w:val="21"/>
                <w:highlight w:val="black"/>
              </w:rPr>
              <w:t>闸阀</w:t>
            </w:r>
          </w:p>
        </w:tc>
        <w:tc>
          <w:tcPr>
            <w:tcW w:w="1018" w:type="pct"/>
            <w:tcBorders>
              <w:tl2br w:val="nil"/>
              <w:tr2bl w:val="nil"/>
            </w:tcBorders>
            <w:vAlign w:val="center"/>
          </w:tcPr>
          <w:p w14:paraId="73479418">
            <w:pPr>
              <w:spacing w:line="240" w:lineRule="auto"/>
              <w:ind w:firstLine="0" w:firstLineChars="0"/>
              <w:jc w:val="center"/>
              <w:rPr>
                <w:sz w:val="21"/>
                <w:szCs w:val="21"/>
                <w:highlight w:val="black"/>
              </w:rPr>
            </w:pPr>
            <w:r>
              <w:rPr>
                <w:sz w:val="21"/>
                <w:szCs w:val="21"/>
                <w:highlight w:val="black"/>
              </w:rPr>
              <w:t>2个</w:t>
            </w:r>
          </w:p>
        </w:tc>
        <w:tc>
          <w:tcPr>
            <w:tcW w:w="2216" w:type="pct"/>
            <w:tcBorders>
              <w:tl2br w:val="nil"/>
              <w:tr2bl w:val="nil"/>
            </w:tcBorders>
            <w:vAlign w:val="center"/>
          </w:tcPr>
          <w:p w14:paraId="1C095774">
            <w:pPr>
              <w:spacing w:line="240" w:lineRule="auto"/>
              <w:ind w:firstLine="0" w:firstLineChars="0"/>
              <w:jc w:val="center"/>
              <w:rPr>
                <w:sz w:val="21"/>
                <w:szCs w:val="21"/>
                <w:highlight w:val="black"/>
              </w:rPr>
            </w:pPr>
            <w:r>
              <w:rPr>
                <w:sz w:val="21"/>
                <w:szCs w:val="21"/>
                <w:highlight w:val="black"/>
              </w:rPr>
              <w:t>2×1.64=3.28</w:t>
            </w:r>
          </w:p>
        </w:tc>
      </w:tr>
      <w:tr w14:paraId="2EC4E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40CE4BE5">
            <w:pPr>
              <w:spacing w:line="240" w:lineRule="auto"/>
              <w:ind w:firstLine="0" w:firstLineChars="0"/>
              <w:jc w:val="center"/>
              <w:rPr>
                <w:sz w:val="21"/>
                <w:szCs w:val="21"/>
                <w:highlight w:val="black"/>
              </w:rPr>
            </w:pPr>
            <w:r>
              <w:rPr>
                <w:sz w:val="21"/>
                <w:szCs w:val="21"/>
                <w:highlight w:val="black"/>
              </w:rPr>
              <w:t>逆止阀</w:t>
            </w:r>
          </w:p>
        </w:tc>
        <w:tc>
          <w:tcPr>
            <w:tcW w:w="1018" w:type="pct"/>
            <w:tcBorders>
              <w:tl2br w:val="nil"/>
              <w:tr2bl w:val="nil"/>
            </w:tcBorders>
            <w:vAlign w:val="center"/>
          </w:tcPr>
          <w:p w14:paraId="45426130">
            <w:pPr>
              <w:spacing w:line="240" w:lineRule="auto"/>
              <w:ind w:firstLine="0" w:firstLineChars="0"/>
              <w:jc w:val="center"/>
              <w:rPr>
                <w:sz w:val="21"/>
                <w:szCs w:val="21"/>
                <w:highlight w:val="black"/>
              </w:rPr>
            </w:pPr>
            <w:r>
              <w:rPr>
                <w:sz w:val="21"/>
                <w:szCs w:val="21"/>
                <w:highlight w:val="black"/>
              </w:rPr>
              <w:t>1个</w:t>
            </w:r>
          </w:p>
        </w:tc>
        <w:tc>
          <w:tcPr>
            <w:tcW w:w="2216" w:type="pct"/>
            <w:tcBorders>
              <w:tl2br w:val="nil"/>
              <w:tr2bl w:val="nil"/>
            </w:tcBorders>
            <w:vAlign w:val="center"/>
          </w:tcPr>
          <w:p w14:paraId="1E9755D7">
            <w:pPr>
              <w:spacing w:line="240" w:lineRule="auto"/>
              <w:ind w:firstLine="0" w:firstLineChars="0"/>
              <w:jc w:val="center"/>
              <w:rPr>
                <w:sz w:val="21"/>
                <w:szCs w:val="21"/>
                <w:highlight w:val="black"/>
              </w:rPr>
            </w:pPr>
            <w:r>
              <w:rPr>
                <w:sz w:val="21"/>
                <w:szCs w:val="21"/>
                <w:highlight w:val="black"/>
              </w:rPr>
              <w:t>3.6</w:t>
            </w:r>
          </w:p>
        </w:tc>
      </w:tr>
      <w:tr w14:paraId="200D5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52BA95D4">
            <w:pPr>
              <w:spacing w:line="240" w:lineRule="auto"/>
              <w:ind w:firstLine="0" w:firstLineChars="0"/>
              <w:jc w:val="center"/>
              <w:rPr>
                <w:sz w:val="21"/>
                <w:szCs w:val="21"/>
                <w:highlight w:val="black"/>
              </w:rPr>
            </w:pPr>
            <w:r>
              <w:rPr>
                <w:sz w:val="21"/>
                <w:szCs w:val="21"/>
                <w:highlight w:val="black"/>
              </w:rPr>
              <w:t>底阀</w:t>
            </w:r>
          </w:p>
        </w:tc>
        <w:tc>
          <w:tcPr>
            <w:tcW w:w="1018" w:type="pct"/>
            <w:tcBorders>
              <w:tl2br w:val="nil"/>
              <w:tr2bl w:val="nil"/>
            </w:tcBorders>
            <w:vAlign w:val="center"/>
          </w:tcPr>
          <w:p w14:paraId="5B12D1B0">
            <w:pPr>
              <w:spacing w:line="240" w:lineRule="auto"/>
              <w:ind w:firstLine="0" w:firstLineChars="0"/>
              <w:jc w:val="center"/>
              <w:rPr>
                <w:sz w:val="21"/>
                <w:szCs w:val="21"/>
                <w:highlight w:val="black"/>
              </w:rPr>
            </w:pPr>
            <w:r>
              <w:rPr>
                <w:sz w:val="21"/>
                <w:szCs w:val="21"/>
                <w:highlight w:val="black"/>
              </w:rPr>
              <w:t>1个</w:t>
            </w:r>
          </w:p>
        </w:tc>
        <w:tc>
          <w:tcPr>
            <w:tcW w:w="2216" w:type="pct"/>
            <w:tcBorders>
              <w:tl2br w:val="nil"/>
              <w:tr2bl w:val="nil"/>
            </w:tcBorders>
            <w:vAlign w:val="center"/>
          </w:tcPr>
          <w:p w14:paraId="7C032773">
            <w:pPr>
              <w:spacing w:line="240" w:lineRule="auto"/>
              <w:ind w:firstLine="0" w:firstLineChars="0"/>
              <w:jc w:val="center"/>
              <w:rPr>
                <w:sz w:val="21"/>
                <w:szCs w:val="21"/>
                <w:highlight w:val="black"/>
              </w:rPr>
            </w:pPr>
            <w:r>
              <w:rPr>
                <w:sz w:val="21"/>
                <w:szCs w:val="21"/>
                <w:highlight w:val="black"/>
              </w:rPr>
              <w:t>4.1</w:t>
            </w:r>
          </w:p>
        </w:tc>
      </w:tr>
      <w:tr w14:paraId="6DE7A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39E1A336">
            <w:pPr>
              <w:spacing w:line="240" w:lineRule="auto"/>
              <w:ind w:firstLine="0" w:firstLineChars="0"/>
              <w:jc w:val="center"/>
              <w:rPr>
                <w:sz w:val="21"/>
                <w:szCs w:val="21"/>
                <w:highlight w:val="black"/>
              </w:rPr>
            </w:pPr>
            <w:r>
              <w:rPr>
                <w:sz w:val="21"/>
                <w:szCs w:val="21"/>
                <w:highlight w:val="black"/>
              </w:rPr>
              <w:t>弯头</w:t>
            </w:r>
          </w:p>
        </w:tc>
        <w:tc>
          <w:tcPr>
            <w:tcW w:w="1018" w:type="pct"/>
            <w:tcBorders>
              <w:tl2br w:val="nil"/>
              <w:tr2bl w:val="nil"/>
            </w:tcBorders>
            <w:vAlign w:val="center"/>
          </w:tcPr>
          <w:p w14:paraId="203F272F">
            <w:pPr>
              <w:spacing w:line="240" w:lineRule="auto"/>
              <w:ind w:firstLine="0" w:firstLineChars="0"/>
              <w:jc w:val="center"/>
              <w:rPr>
                <w:sz w:val="21"/>
                <w:szCs w:val="21"/>
                <w:highlight w:val="black"/>
              </w:rPr>
            </w:pPr>
            <w:r>
              <w:rPr>
                <w:rFonts w:hint="eastAsia"/>
                <w:sz w:val="21"/>
                <w:szCs w:val="21"/>
                <w:highlight w:val="black"/>
              </w:rPr>
              <w:t>12</w:t>
            </w:r>
            <w:r>
              <w:rPr>
                <w:sz w:val="21"/>
                <w:szCs w:val="21"/>
                <w:highlight w:val="black"/>
              </w:rPr>
              <w:t>个</w:t>
            </w:r>
          </w:p>
        </w:tc>
        <w:tc>
          <w:tcPr>
            <w:tcW w:w="2216" w:type="pct"/>
            <w:tcBorders>
              <w:tl2br w:val="nil"/>
              <w:tr2bl w:val="nil"/>
            </w:tcBorders>
            <w:vAlign w:val="center"/>
          </w:tcPr>
          <w:p w14:paraId="31CF0460">
            <w:pPr>
              <w:spacing w:line="240" w:lineRule="auto"/>
              <w:ind w:firstLine="0" w:firstLineChars="0"/>
              <w:jc w:val="center"/>
              <w:rPr>
                <w:sz w:val="21"/>
                <w:szCs w:val="21"/>
                <w:highlight w:val="black"/>
              </w:rPr>
            </w:pPr>
            <w:r>
              <w:rPr>
                <w:rFonts w:hint="eastAsia"/>
                <w:sz w:val="21"/>
                <w:szCs w:val="21"/>
                <w:highlight w:val="black"/>
              </w:rPr>
              <w:t>12</w:t>
            </w:r>
            <w:r>
              <w:rPr>
                <w:sz w:val="21"/>
                <w:szCs w:val="21"/>
                <w:highlight w:val="black"/>
              </w:rPr>
              <w:t>×2.78=</w:t>
            </w:r>
            <w:r>
              <w:rPr>
                <w:rFonts w:hint="eastAsia"/>
                <w:sz w:val="21"/>
                <w:szCs w:val="21"/>
                <w:highlight w:val="black"/>
              </w:rPr>
              <w:t>33.36</w:t>
            </w:r>
          </w:p>
        </w:tc>
      </w:tr>
      <w:tr w14:paraId="258E9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6B621A70">
            <w:pPr>
              <w:spacing w:line="240" w:lineRule="auto"/>
              <w:ind w:firstLine="0" w:firstLineChars="0"/>
              <w:jc w:val="center"/>
              <w:rPr>
                <w:sz w:val="21"/>
                <w:szCs w:val="21"/>
                <w:highlight w:val="black"/>
              </w:rPr>
            </w:pPr>
            <w:r>
              <w:rPr>
                <w:sz w:val="21"/>
                <w:szCs w:val="21"/>
                <w:highlight w:val="black"/>
              </w:rPr>
              <w:t>异径管</w:t>
            </w:r>
          </w:p>
        </w:tc>
        <w:tc>
          <w:tcPr>
            <w:tcW w:w="1018" w:type="pct"/>
            <w:tcBorders>
              <w:tl2br w:val="nil"/>
              <w:tr2bl w:val="nil"/>
            </w:tcBorders>
            <w:vAlign w:val="center"/>
          </w:tcPr>
          <w:p w14:paraId="2D9D1C05">
            <w:pPr>
              <w:spacing w:line="240" w:lineRule="auto"/>
              <w:ind w:firstLine="0" w:firstLineChars="0"/>
              <w:jc w:val="center"/>
              <w:rPr>
                <w:sz w:val="21"/>
                <w:szCs w:val="21"/>
                <w:highlight w:val="black"/>
              </w:rPr>
            </w:pPr>
            <w:r>
              <w:rPr>
                <w:sz w:val="21"/>
                <w:szCs w:val="21"/>
                <w:highlight w:val="black"/>
              </w:rPr>
              <w:t>1个</w:t>
            </w:r>
          </w:p>
        </w:tc>
        <w:tc>
          <w:tcPr>
            <w:tcW w:w="2216" w:type="pct"/>
            <w:tcBorders>
              <w:tl2br w:val="nil"/>
              <w:tr2bl w:val="nil"/>
            </w:tcBorders>
            <w:vAlign w:val="center"/>
          </w:tcPr>
          <w:p w14:paraId="7F48C3DB">
            <w:pPr>
              <w:spacing w:line="240" w:lineRule="auto"/>
              <w:ind w:firstLine="0" w:firstLineChars="0"/>
              <w:jc w:val="center"/>
              <w:rPr>
                <w:sz w:val="21"/>
                <w:szCs w:val="21"/>
                <w:highlight w:val="black"/>
              </w:rPr>
            </w:pPr>
            <w:r>
              <w:rPr>
                <w:sz w:val="21"/>
                <w:szCs w:val="21"/>
                <w:highlight w:val="black"/>
              </w:rPr>
              <w:t>1.11</w:t>
            </w:r>
          </w:p>
        </w:tc>
      </w:tr>
      <w:tr w14:paraId="6214A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66" w:type="pct"/>
            <w:tcBorders>
              <w:tl2br w:val="nil"/>
              <w:tr2bl w:val="nil"/>
            </w:tcBorders>
            <w:vAlign w:val="center"/>
          </w:tcPr>
          <w:p w14:paraId="69A2D88D">
            <w:pPr>
              <w:spacing w:line="240" w:lineRule="auto"/>
              <w:ind w:firstLine="0" w:firstLineChars="0"/>
              <w:jc w:val="center"/>
              <w:rPr>
                <w:sz w:val="21"/>
                <w:szCs w:val="21"/>
                <w:highlight w:val="black"/>
              </w:rPr>
            </w:pPr>
            <w:r>
              <w:rPr>
                <w:sz w:val="21"/>
                <w:szCs w:val="21"/>
                <w:highlight w:val="black"/>
              </w:rPr>
              <w:t>直流三通</w:t>
            </w:r>
          </w:p>
        </w:tc>
        <w:tc>
          <w:tcPr>
            <w:tcW w:w="1018" w:type="pct"/>
            <w:tcBorders>
              <w:tl2br w:val="nil"/>
              <w:tr2bl w:val="nil"/>
            </w:tcBorders>
            <w:vAlign w:val="center"/>
          </w:tcPr>
          <w:p w14:paraId="275A92C2">
            <w:pPr>
              <w:spacing w:line="240" w:lineRule="auto"/>
              <w:ind w:firstLine="0" w:firstLineChars="0"/>
              <w:jc w:val="center"/>
              <w:rPr>
                <w:sz w:val="21"/>
                <w:szCs w:val="21"/>
                <w:highlight w:val="black"/>
              </w:rPr>
            </w:pPr>
            <w:r>
              <w:rPr>
                <w:sz w:val="21"/>
                <w:szCs w:val="21"/>
                <w:highlight w:val="black"/>
              </w:rPr>
              <w:t>4个</w:t>
            </w:r>
          </w:p>
        </w:tc>
        <w:tc>
          <w:tcPr>
            <w:tcW w:w="2216" w:type="pct"/>
            <w:tcBorders>
              <w:tl2br w:val="nil"/>
              <w:tr2bl w:val="nil"/>
            </w:tcBorders>
            <w:vAlign w:val="center"/>
          </w:tcPr>
          <w:p w14:paraId="58BCE7C7">
            <w:pPr>
              <w:spacing w:line="240" w:lineRule="auto"/>
              <w:ind w:firstLine="0" w:firstLineChars="0"/>
              <w:jc w:val="center"/>
              <w:rPr>
                <w:sz w:val="21"/>
                <w:szCs w:val="21"/>
                <w:highlight w:val="black"/>
              </w:rPr>
            </w:pPr>
            <w:r>
              <w:rPr>
                <w:sz w:val="21"/>
                <w:szCs w:val="21"/>
                <w:highlight w:val="black"/>
              </w:rPr>
              <w:t>4×1.11=4.44</w:t>
            </w:r>
          </w:p>
        </w:tc>
      </w:tr>
      <w:tr w14:paraId="1E70C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84" w:type="pct"/>
            <w:gridSpan w:val="2"/>
            <w:tcBorders>
              <w:tl2br w:val="nil"/>
              <w:tr2bl w:val="nil"/>
            </w:tcBorders>
            <w:vAlign w:val="center"/>
          </w:tcPr>
          <w:p w14:paraId="4E1E80AF">
            <w:pPr>
              <w:spacing w:line="240" w:lineRule="auto"/>
              <w:ind w:firstLine="0" w:firstLineChars="0"/>
              <w:jc w:val="center"/>
              <w:rPr>
                <w:sz w:val="21"/>
                <w:szCs w:val="21"/>
                <w:highlight w:val="black"/>
              </w:rPr>
            </w:pPr>
            <w:r>
              <w:rPr>
                <w:sz w:val="21"/>
                <w:szCs w:val="21"/>
                <w:highlight w:val="black"/>
              </w:rPr>
              <w:t>合计</w:t>
            </w:r>
          </w:p>
        </w:tc>
        <w:tc>
          <w:tcPr>
            <w:tcW w:w="2216" w:type="pct"/>
            <w:tcBorders>
              <w:tl2br w:val="nil"/>
              <w:tr2bl w:val="nil"/>
            </w:tcBorders>
            <w:vAlign w:val="center"/>
          </w:tcPr>
          <w:p w14:paraId="033B8BD9">
            <w:pPr>
              <w:spacing w:line="240" w:lineRule="auto"/>
              <w:ind w:firstLine="0" w:firstLineChars="0"/>
              <w:jc w:val="center"/>
              <w:rPr>
                <w:sz w:val="21"/>
                <w:szCs w:val="21"/>
                <w:highlight w:val="black"/>
              </w:rPr>
            </w:pPr>
            <w:r>
              <w:rPr>
                <w:rFonts w:hint="eastAsia"/>
                <w:sz w:val="21"/>
                <w:szCs w:val="21"/>
                <w:highlight w:val="black"/>
              </w:rPr>
              <w:t>1834.89</w:t>
            </w:r>
          </w:p>
        </w:tc>
      </w:tr>
    </w:tbl>
    <w:p w14:paraId="67BEC625">
      <w:pPr>
        <w:ind w:firstLine="560"/>
        <w:rPr>
          <w:highlight w:val="black"/>
          <w:lang w:val="zh-CN"/>
        </w:rPr>
      </w:pPr>
      <w:r>
        <w:rPr>
          <w:highlight w:val="black"/>
          <w:lang w:val="zh-CN"/>
        </w:rPr>
        <w:t>管路中扬程损失：</w:t>
      </w:r>
    </w:p>
    <w:p w14:paraId="1CC45F32">
      <w:pPr>
        <w:tabs>
          <w:tab w:val="left" w:pos="360"/>
        </w:tabs>
        <w:spacing w:line="520" w:lineRule="atLeast"/>
        <w:ind w:left="386" w:hanging="386" w:hangingChars="138"/>
        <w:jc w:val="center"/>
        <w:rPr>
          <w:szCs w:val="28"/>
          <w:highlight w:val="black"/>
          <w:lang w:val="zh-CN"/>
        </w:rPr>
      </w:pPr>
      <w:r>
        <w:rPr>
          <w:szCs w:val="28"/>
          <w:highlight w:val="black"/>
          <w:lang w:val="zh-CN"/>
        </w:rPr>
        <w:t>Hp+Hx=0.</w:t>
      </w:r>
      <w:r>
        <w:rPr>
          <w:rFonts w:hint="eastAsia"/>
          <w:szCs w:val="28"/>
          <w:highlight w:val="black"/>
          <w:lang w:val="zh-CN"/>
        </w:rPr>
        <w:t>03981834.89</w:t>
      </w:r>
      <w:r>
        <w:rPr>
          <w:szCs w:val="28"/>
          <w:highlight w:val="black"/>
          <w:lang w:val="zh-CN"/>
        </w:rPr>
        <w:t>=</w:t>
      </w:r>
      <w:r>
        <w:rPr>
          <w:rFonts w:hint="eastAsia"/>
          <w:szCs w:val="28"/>
          <w:highlight w:val="black"/>
          <w:lang w:val="zh-CN"/>
        </w:rPr>
        <w:t>36</w:t>
      </w:r>
      <w:r>
        <w:rPr>
          <w:szCs w:val="28"/>
          <w:highlight w:val="black"/>
          <w:lang w:val="zh-CN"/>
        </w:rPr>
        <w:t>m</w:t>
      </w:r>
    </w:p>
    <w:p w14:paraId="3484CE44">
      <w:pPr>
        <w:ind w:firstLine="560"/>
        <w:rPr>
          <w:highlight w:val="black"/>
          <w:lang w:val="zh-CN"/>
        </w:rPr>
      </w:pPr>
      <w:r>
        <w:rPr>
          <w:highlight w:val="black"/>
          <w:lang w:val="zh-CN"/>
        </w:rPr>
        <w:t>水泵总扬程：</w:t>
      </w:r>
    </w:p>
    <w:p w14:paraId="65E9DD05">
      <w:pPr>
        <w:tabs>
          <w:tab w:val="left" w:pos="360"/>
        </w:tabs>
        <w:spacing w:line="520" w:lineRule="atLeast"/>
        <w:ind w:left="560" w:hanging="560" w:hangingChars="200"/>
        <w:jc w:val="center"/>
        <w:rPr>
          <w:szCs w:val="28"/>
          <w:highlight w:val="black"/>
        </w:rPr>
      </w:pPr>
      <w:r>
        <w:rPr>
          <w:szCs w:val="28"/>
          <w:highlight w:val="black"/>
        </w:rPr>
        <w:t>H</w:t>
      </w:r>
      <w:r>
        <w:rPr>
          <w:szCs w:val="28"/>
          <w:highlight w:val="black"/>
          <w:vertAlign w:val="subscript"/>
        </w:rPr>
        <w:t>S</w:t>
      </w:r>
      <w:r>
        <w:rPr>
          <w:szCs w:val="28"/>
          <w:highlight w:val="black"/>
        </w:rPr>
        <w:t>=H+1.7×(Hp+Hx)=</w:t>
      </w:r>
      <w:r>
        <w:rPr>
          <w:rFonts w:hint="eastAsia"/>
          <w:szCs w:val="28"/>
          <w:highlight w:val="black"/>
        </w:rPr>
        <w:t>213.5</w:t>
      </w:r>
      <w:r>
        <w:rPr>
          <w:szCs w:val="28"/>
          <w:highlight w:val="black"/>
        </w:rPr>
        <w:t>+1.7×</w:t>
      </w:r>
      <w:r>
        <w:rPr>
          <w:rFonts w:hint="eastAsia"/>
          <w:szCs w:val="28"/>
          <w:highlight w:val="black"/>
        </w:rPr>
        <w:t>36</w:t>
      </w:r>
      <w:r>
        <w:rPr>
          <w:szCs w:val="28"/>
          <w:highlight w:val="black"/>
        </w:rPr>
        <w:t>=</w:t>
      </w:r>
      <w:r>
        <w:rPr>
          <w:rFonts w:hint="eastAsia"/>
          <w:szCs w:val="28"/>
          <w:highlight w:val="black"/>
        </w:rPr>
        <w:t>274.7</w:t>
      </w:r>
      <w:r>
        <w:rPr>
          <w:szCs w:val="28"/>
          <w:highlight w:val="black"/>
        </w:rPr>
        <w:t>m</w:t>
      </w:r>
    </w:p>
    <w:p w14:paraId="57D0EC3F">
      <w:pPr>
        <w:spacing w:line="520" w:lineRule="atLeast"/>
        <w:ind w:firstLine="560"/>
        <w:rPr>
          <w:szCs w:val="28"/>
          <w:highlight w:val="black"/>
        </w:rPr>
      </w:pPr>
      <w:r>
        <w:rPr>
          <w:szCs w:val="28"/>
          <w:highlight w:val="black"/>
        </w:rPr>
        <w:t>设计选用3台</w:t>
      </w:r>
      <w:r>
        <w:rPr>
          <w:rFonts w:hint="eastAsia"/>
          <w:szCs w:val="28"/>
          <w:highlight w:val="black"/>
        </w:rPr>
        <w:t>M</w:t>
      </w:r>
      <w:r>
        <w:rPr>
          <w:szCs w:val="28"/>
          <w:highlight w:val="black"/>
        </w:rPr>
        <w:t>D</w:t>
      </w:r>
      <w:r>
        <w:rPr>
          <w:rFonts w:hint="eastAsia"/>
          <w:szCs w:val="28"/>
          <w:highlight w:val="black"/>
        </w:rPr>
        <w:t>54</w:t>
      </w:r>
      <w:r>
        <w:rPr>
          <w:szCs w:val="28"/>
          <w:highlight w:val="black"/>
        </w:rPr>
        <w:t>-</w:t>
      </w:r>
      <w:r>
        <w:rPr>
          <w:rFonts w:hint="eastAsia"/>
          <w:szCs w:val="28"/>
          <w:highlight w:val="black"/>
        </w:rPr>
        <w:t>24</w:t>
      </w:r>
      <w:r>
        <w:rPr>
          <w:szCs w:val="28"/>
          <w:highlight w:val="black"/>
        </w:rPr>
        <w:t>×</w:t>
      </w:r>
      <w:r>
        <w:rPr>
          <w:rFonts w:hint="eastAsia"/>
          <w:szCs w:val="28"/>
          <w:highlight w:val="black"/>
        </w:rPr>
        <w:t>12</w:t>
      </w:r>
      <w:r>
        <w:rPr>
          <w:szCs w:val="28"/>
          <w:highlight w:val="black"/>
        </w:rPr>
        <w:t>型卧式离心泵，扬程</w:t>
      </w:r>
      <w:r>
        <w:rPr>
          <w:rFonts w:hint="eastAsia"/>
          <w:szCs w:val="28"/>
          <w:highlight w:val="black"/>
        </w:rPr>
        <w:t>288</w:t>
      </w:r>
      <w:r>
        <w:rPr>
          <w:szCs w:val="28"/>
          <w:highlight w:val="black"/>
        </w:rPr>
        <w:t>m，大于所需扬程</w:t>
      </w:r>
      <w:r>
        <w:rPr>
          <w:rFonts w:hint="eastAsia"/>
          <w:szCs w:val="28"/>
          <w:highlight w:val="black"/>
        </w:rPr>
        <w:t>274.7</w:t>
      </w:r>
      <w:r>
        <w:rPr>
          <w:szCs w:val="28"/>
          <w:highlight w:val="black"/>
        </w:rPr>
        <w:t>m，满足扬程要求。</w:t>
      </w:r>
    </w:p>
    <w:p w14:paraId="05040827">
      <w:pPr>
        <w:ind w:firstLine="560"/>
        <w:rPr>
          <w:highlight w:val="black"/>
        </w:rPr>
      </w:pPr>
      <w:r>
        <w:rPr>
          <w:rFonts w:hint="eastAsia"/>
          <w:highlight w:val="black"/>
        </w:rPr>
        <w:t>4）</w:t>
      </w:r>
      <w:r>
        <w:rPr>
          <w:highlight w:val="black"/>
        </w:rPr>
        <w:t>电动机选型</w:t>
      </w:r>
    </w:p>
    <w:p w14:paraId="06B97CCA">
      <w:pPr>
        <w:ind w:firstLine="560"/>
        <w:rPr>
          <w:highlight w:val="black"/>
        </w:rPr>
      </w:pPr>
      <w:r>
        <w:rPr>
          <w:highlight w:val="black"/>
        </w:rPr>
        <w:t>水泵轴功率</w:t>
      </w:r>
    </w:p>
    <w:p w14:paraId="14F502D7">
      <w:pPr>
        <w:snapToGrid w:val="0"/>
        <w:spacing w:after="120" w:line="520" w:lineRule="atLeast"/>
        <w:ind w:firstLine="560"/>
        <w:jc w:val="center"/>
        <w:rPr>
          <w:sz w:val="26"/>
          <w:highlight w:val="black"/>
        </w:rPr>
      </w:pPr>
      <w:r>
        <w:rPr>
          <w:position w:val="-24"/>
          <w:szCs w:val="28"/>
          <w:highlight w:val="black"/>
        </w:rPr>
        <w:object>
          <v:shape id="_x0000_i1051" o:spt="75" type="#_x0000_t75" style="height:31.65pt;width:280.35pt;" o:ole="t" filled="f" o:preferrelative="t" stroked="f" coordsize="21600,21600">
            <v:path/>
            <v:fill on="f" focussize="0,0"/>
            <v:stroke on="f" joinstyle="miter"/>
            <v:imagedata r:id="rId83" o:title=""/>
            <o:lock v:ext="edit" aspectratio="t"/>
            <w10:wrap type="none"/>
            <w10:anchorlock/>
          </v:shape>
          <o:OLEObject Type="Embed" ProgID="Equation.DSMT4" ShapeID="_x0000_i1051" DrawAspect="Content" ObjectID="_1468075750" r:id="rId82">
            <o:LockedField>false</o:LockedField>
          </o:OLEObject>
        </w:object>
      </w:r>
    </w:p>
    <w:p w14:paraId="167AA117">
      <w:pPr>
        <w:snapToGrid w:val="0"/>
        <w:spacing w:line="520" w:lineRule="atLeast"/>
        <w:ind w:firstLine="560"/>
        <w:rPr>
          <w:szCs w:val="28"/>
          <w:highlight w:val="black"/>
        </w:rPr>
      </w:pPr>
      <w:r>
        <w:rPr>
          <w:szCs w:val="28"/>
          <w:highlight w:val="black"/>
        </w:rPr>
        <w:t>式中：N</w:t>
      </w:r>
      <w:r>
        <w:rPr>
          <w:szCs w:val="28"/>
          <w:highlight w:val="black"/>
          <w:vertAlign w:val="subscript"/>
        </w:rPr>
        <w:t>z</w:t>
      </w:r>
      <w:r>
        <w:rPr>
          <w:szCs w:val="28"/>
          <w:highlight w:val="black"/>
        </w:rPr>
        <w:t>－水泵轴功率，kW；</w:t>
      </w:r>
    </w:p>
    <w:p w14:paraId="79829E8F">
      <w:pPr>
        <w:snapToGrid w:val="0"/>
        <w:spacing w:line="520" w:lineRule="atLeast"/>
        <w:ind w:firstLine="1386" w:firstLineChars="495"/>
        <w:rPr>
          <w:szCs w:val="28"/>
          <w:highlight w:val="black"/>
        </w:rPr>
      </w:pPr>
      <w:r>
        <w:rPr>
          <w:szCs w:val="28"/>
          <w:highlight w:val="black"/>
        </w:rPr>
        <w:t>ρ</w:t>
      </w:r>
      <w:r>
        <w:rPr>
          <w:szCs w:val="28"/>
          <w:highlight w:val="black"/>
          <w:vertAlign w:val="subscript"/>
        </w:rPr>
        <w:t>s</w:t>
      </w:r>
      <w:r>
        <w:rPr>
          <w:szCs w:val="28"/>
          <w:highlight w:val="black"/>
        </w:rPr>
        <w:t>－矿井水密度，取1050kg/m</w:t>
      </w:r>
      <w:r>
        <w:rPr>
          <w:szCs w:val="28"/>
          <w:highlight w:val="black"/>
          <w:vertAlign w:val="superscript"/>
        </w:rPr>
        <w:t>3</w:t>
      </w:r>
      <w:r>
        <w:rPr>
          <w:szCs w:val="28"/>
          <w:highlight w:val="black"/>
        </w:rPr>
        <w:t>。</w:t>
      </w:r>
    </w:p>
    <w:p w14:paraId="2309BE6D">
      <w:pPr>
        <w:snapToGrid w:val="0"/>
        <w:spacing w:line="520" w:lineRule="atLeast"/>
        <w:ind w:firstLine="560"/>
        <w:rPr>
          <w:szCs w:val="28"/>
          <w:highlight w:val="black"/>
        </w:rPr>
      </w:pPr>
      <w:r>
        <w:rPr>
          <w:szCs w:val="28"/>
          <w:highlight w:val="black"/>
        </w:rPr>
        <w:t>电动机功率</w:t>
      </w:r>
    </w:p>
    <w:p w14:paraId="47DB136B">
      <w:pPr>
        <w:snapToGrid w:val="0"/>
        <w:spacing w:after="156" w:afterLines="50" w:line="520" w:lineRule="atLeast"/>
        <w:ind w:firstLine="520"/>
        <w:jc w:val="center"/>
        <w:rPr>
          <w:sz w:val="26"/>
          <w:highlight w:val="black"/>
        </w:rPr>
      </w:pPr>
      <w:r>
        <w:rPr>
          <w:position w:val="-30"/>
          <w:sz w:val="26"/>
          <w:highlight w:val="black"/>
        </w:rPr>
        <w:object>
          <v:shape id="_x0000_i1052" o:spt="75" type="#_x0000_t75" style="height:34.35pt;width:166.9pt;" o:ole="t" filled="f" o:preferrelative="t" stroked="f" coordsize="21600,21600">
            <v:path/>
            <v:fill on="f" focussize="0,0"/>
            <v:stroke on="f" joinstyle="miter"/>
            <v:imagedata r:id="rId85" o:title=""/>
            <o:lock v:ext="edit" aspectratio="t"/>
            <w10:wrap type="none"/>
            <w10:anchorlock/>
          </v:shape>
          <o:OLEObject Type="Embed" ProgID="Equation.DSMT4" ShapeID="_x0000_i1052" DrawAspect="Content" ObjectID="_1468075751" r:id="rId84">
            <o:LockedField>false</o:LockedField>
          </o:OLEObject>
        </w:object>
      </w:r>
    </w:p>
    <w:p w14:paraId="3A84D613">
      <w:pPr>
        <w:ind w:firstLine="560"/>
        <w:rPr>
          <w:highlight w:val="black"/>
        </w:rPr>
      </w:pPr>
      <w:r>
        <w:rPr>
          <w:highlight w:val="black"/>
        </w:rPr>
        <w:t>式中：Nd－电动机功率，kW；</w:t>
      </w:r>
    </w:p>
    <w:p w14:paraId="15156774">
      <w:pPr>
        <w:ind w:firstLine="560"/>
        <w:rPr>
          <w:highlight w:val="black"/>
        </w:rPr>
      </w:pPr>
      <w:r>
        <w:rPr>
          <w:highlight w:val="black"/>
        </w:rPr>
        <w:t>ηch－传动效率，去0.98。</w:t>
      </w:r>
    </w:p>
    <w:p w14:paraId="712E8ABB">
      <w:pPr>
        <w:ind w:firstLine="560"/>
        <w:rPr>
          <w:highlight w:val="black"/>
        </w:rPr>
      </w:pPr>
      <w:r>
        <w:rPr>
          <w:highlight w:val="black"/>
        </w:rPr>
        <w:t>K－富裕系数，当Q</w:t>
      </w:r>
      <w:r>
        <w:rPr>
          <w:rFonts w:hint="eastAsia"/>
          <w:highlight w:val="black"/>
        </w:rPr>
        <w:t>&lt;</w:t>
      </w:r>
      <w:r>
        <w:rPr>
          <w:highlight w:val="black"/>
        </w:rPr>
        <w:t>20m</w:t>
      </w:r>
      <w:r>
        <w:rPr>
          <w:highlight w:val="black"/>
          <w:vertAlign w:val="superscript"/>
        </w:rPr>
        <w:t>3</w:t>
      </w:r>
      <w:r>
        <w:rPr>
          <w:highlight w:val="black"/>
        </w:rPr>
        <w:t>/h，取K=1.5。</w:t>
      </w:r>
    </w:p>
    <w:p w14:paraId="218D0D9D">
      <w:pPr>
        <w:ind w:firstLine="560"/>
        <w:rPr>
          <w:highlight w:val="black"/>
        </w:rPr>
      </w:pPr>
      <w:bookmarkStart w:id="212" w:name="_Hlk50017889"/>
      <w:r>
        <w:rPr>
          <w:highlight w:val="black"/>
        </w:rPr>
        <w:t>在</w:t>
      </w:r>
      <w:r>
        <w:rPr>
          <w:rFonts w:hint="eastAsia"/>
          <w:highlight w:val="black"/>
        </w:rPr>
        <w:t>-40</w:t>
      </w:r>
      <w:r>
        <w:rPr>
          <w:highlight w:val="black"/>
        </w:rPr>
        <w:t>m水泵房各配备3台</w:t>
      </w:r>
      <w:r>
        <w:rPr>
          <w:rFonts w:hint="eastAsia"/>
          <w:highlight w:val="black"/>
        </w:rPr>
        <w:t>M</w:t>
      </w:r>
      <w:r>
        <w:rPr>
          <w:highlight w:val="black"/>
        </w:rPr>
        <w:t>D</w:t>
      </w:r>
      <w:r>
        <w:rPr>
          <w:rFonts w:hint="eastAsia"/>
          <w:highlight w:val="black"/>
        </w:rPr>
        <w:t>54</w:t>
      </w:r>
      <w:r>
        <w:rPr>
          <w:highlight w:val="black"/>
        </w:rPr>
        <w:t>-</w:t>
      </w:r>
      <w:r>
        <w:rPr>
          <w:rFonts w:hint="eastAsia"/>
          <w:highlight w:val="black"/>
        </w:rPr>
        <w:t>24</w:t>
      </w:r>
      <w:r>
        <w:rPr>
          <w:highlight w:val="black"/>
        </w:rPr>
        <w:t>×</w:t>
      </w:r>
      <w:r>
        <w:rPr>
          <w:rFonts w:hint="eastAsia"/>
          <w:highlight w:val="black"/>
        </w:rPr>
        <w:t>12</w:t>
      </w:r>
      <w:r>
        <w:rPr>
          <w:highlight w:val="black"/>
        </w:rPr>
        <w:t>型卧式离心泵，每台水泵流量</w:t>
      </w:r>
      <w:r>
        <w:rPr>
          <w:rFonts w:hint="eastAsia"/>
          <w:highlight w:val="black"/>
        </w:rPr>
        <w:t>54</w:t>
      </w:r>
      <w:r>
        <w:rPr>
          <w:highlight w:val="black"/>
        </w:rPr>
        <w:t>m</w:t>
      </w:r>
      <w:r>
        <w:rPr>
          <w:highlight w:val="black"/>
          <w:vertAlign w:val="superscript"/>
        </w:rPr>
        <w:t>3</w:t>
      </w:r>
      <w:r>
        <w:rPr>
          <w:highlight w:val="black"/>
        </w:rPr>
        <w:t>/h，扬程</w:t>
      </w:r>
      <w:r>
        <w:rPr>
          <w:rFonts w:hint="eastAsia"/>
          <w:highlight w:val="black"/>
        </w:rPr>
        <w:t>288</w:t>
      </w:r>
      <w:r>
        <w:rPr>
          <w:highlight w:val="black"/>
        </w:rPr>
        <w:t>m，三台水泵一台工作，一台检修，一台备用，最大涌水量时，二台工作，一台备用。每台水泵配有一台Y</w:t>
      </w:r>
      <w:r>
        <w:rPr>
          <w:rFonts w:hint="eastAsia"/>
          <w:highlight w:val="black"/>
        </w:rPr>
        <w:t>-280S</w:t>
      </w:r>
      <w:r>
        <w:rPr>
          <w:highlight w:val="black"/>
        </w:rPr>
        <w:t>-2型电机，功率</w:t>
      </w:r>
      <w:r>
        <w:rPr>
          <w:rFonts w:hint="eastAsia"/>
          <w:highlight w:val="black"/>
        </w:rPr>
        <w:t>75</w:t>
      </w:r>
      <w:r>
        <w:rPr>
          <w:highlight w:val="black"/>
        </w:rPr>
        <w:t>kW，转速n=2980r/min，电压380V</w:t>
      </w:r>
      <w:bookmarkEnd w:id="210"/>
      <w:r>
        <w:rPr>
          <w:highlight w:val="black"/>
        </w:rPr>
        <w:t>。</w:t>
      </w:r>
      <w:bookmarkEnd w:id="212"/>
    </w:p>
    <w:p w14:paraId="3B50063E">
      <w:pPr>
        <w:ind w:firstLine="560"/>
        <w:rPr>
          <w:highlight w:val="black"/>
        </w:rPr>
      </w:pPr>
      <w:r>
        <w:rPr>
          <w:highlight w:val="black"/>
        </w:rPr>
        <w:t>（3）水仓</w:t>
      </w:r>
      <w:r>
        <w:rPr>
          <w:rFonts w:hint="eastAsia"/>
          <w:highlight w:val="black"/>
        </w:rPr>
        <w:t>、泵房</w:t>
      </w:r>
      <w:r>
        <w:rPr>
          <w:highlight w:val="black"/>
        </w:rPr>
        <w:t>设置</w:t>
      </w:r>
    </w:p>
    <w:p w14:paraId="080C59EF">
      <w:pPr>
        <w:spacing w:line="520" w:lineRule="atLeast"/>
        <w:ind w:firstLine="560"/>
        <w:rPr>
          <w:spacing w:val="6"/>
          <w:szCs w:val="28"/>
          <w:highlight w:val="black"/>
        </w:rPr>
      </w:pPr>
      <w:r>
        <w:rPr>
          <w:szCs w:val="28"/>
          <w:highlight w:val="black"/>
        </w:rPr>
        <w:t>井下</w:t>
      </w:r>
      <w:r>
        <w:rPr>
          <w:rFonts w:hint="eastAsia"/>
          <w:szCs w:val="28"/>
          <w:highlight w:val="black"/>
          <w:lang w:val="en-US" w:eastAsia="zh-CN"/>
        </w:rPr>
        <w:t>最大</w:t>
      </w:r>
      <w:r>
        <w:rPr>
          <w:szCs w:val="28"/>
          <w:highlight w:val="black"/>
        </w:rPr>
        <w:t>涌水量为</w:t>
      </w:r>
      <w:r>
        <w:rPr>
          <w:rFonts w:hint="eastAsia"/>
          <w:szCs w:val="28"/>
          <w:highlight w:val="black"/>
        </w:rPr>
        <w:t>887.7</w:t>
      </w:r>
      <w:r>
        <w:rPr>
          <w:szCs w:val="28"/>
          <w:highlight w:val="black"/>
        </w:rPr>
        <w:t>m</w:t>
      </w:r>
      <w:r>
        <w:rPr>
          <w:szCs w:val="28"/>
          <w:highlight w:val="black"/>
          <w:vertAlign w:val="superscript"/>
        </w:rPr>
        <w:t>3</w:t>
      </w:r>
      <w:r>
        <w:rPr>
          <w:szCs w:val="28"/>
          <w:highlight w:val="black"/>
        </w:rPr>
        <w:t>/d，</w:t>
      </w:r>
      <w:r>
        <w:rPr>
          <w:spacing w:val="6"/>
          <w:szCs w:val="28"/>
          <w:highlight w:val="black"/>
        </w:rPr>
        <w:t>水仓均由两个独立的巷道系统组成，总容积能容纳4h的正常涌水量，需容积为</w:t>
      </w:r>
      <w:r>
        <w:rPr>
          <w:rFonts w:hint="eastAsia"/>
          <w:spacing w:val="6"/>
          <w:szCs w:val="28"/>
          <w:highlight w:val="black"/>
        </w:rPr>
        <w:t>147.95</w:t>
      </w:r>
      <w:r>
        <w:rPr>
          <w:szCs w:val="28"/>
          <w:highlight w:val="black"/>
        </w:rPr>
        <w:t>m</w:t>
      </w:r>
      <w:r>
        <w:rPr>
          <w:szCs w:val="28"/>
          <w:highlight w:val="black"/>
          <w:vertAlign w:val="superscript"/>
        </w:rPr>
        <w:t>3</w:t>
      </w:r>
      <w:r>
        <w:rPr>
          <w:spacing w:val="6"/>
          <w:szCs w:val="28"/>
          <w:highlight w:val="black"/>
        </w:rPr>
        <w:t>。</w:t>
      </w:r>
    </w:p>
    <w:p w14:paraId="5CE2DE65">
      <w:pPr>
        <w:spacing w:line="520" w:lineRule="atLeast"/>
        <w:ind w:firstLine="560"/>
        <w:rPr>
          <w:spacing w:val="6"/>
          <w:szCs w:val="28"/>
          <w:highlight w:val="black"/>
        </w:rPr>
      </w:pPr>
      <w:r>
        <w:rPr>
          <w:szCs w:val="28"/>
          <w:highlight w:val="black"/>
        </w:rPr>
        <w:t>设计</w:t>
      </w:r>
      <w:r>
        <w:rPr>
          <w:spacing w:val="6"/>
          <w:szCs w:val="28"/>
          <w:highlight w:val="black"/>
        </w:rPr>
        <w:t>水仓由两条独立的巷道组成，</w:t>
      </w:r>
      <w:r>
        <w:rPr>
          <w:rFonts w:hint="eastAsia"/>
          <w:spacing w:val="6"/>
          <w:szCs w:val="28"/>
          <w:highlight w:val="black"/>
        </w:rPr>
        <w:t>水仓总长度40m，</w:t>
      </w:r>
      <w:r>
        <w:rPr>
          <w:spacing w:val="6"/>
          <w:szCs w:val="28"/>
          <w:highlight w:val="black"/>
        </w:rPr>
        <w:t>主水仓长</w:t>
      </w:r>
      <w:r>
        <w:rPr>
          <w:rFonts w:hint="eastAsia"/>
          <w:spacing w:val="6"/>
          <w:szCs w:val="28"/>
          <w:highlight w:val="black"/>
        </w:rPr>
        <w:t>25</w:t>
      </w:r>
      <w:r>
        <w:rPr>
          <w:spacing w:val="6"/>
          <w:szCs w:val="28"/>
          <w:highlight w:val="black"/>
        </w:rPr>
        <w:t>m，副水仓长</w:t>
      </w:r>
      <w:r>
        <w:rPr>
          <w:rFonts w:hint="eastAsia"/>
          <w:spacing w:val="6"/>
          <w:szCs w:val="28"/>
          <w:highlight w:val="black"/>
        </w:rPr>
        <w:t>15</w:t>
      </w:r>
      <w:r>
        <w:rPr>
          <w:spacing w:val="6"/>
          <w:szCs w:val="28"/>
          <w:highlight w:val="black"/>
        </w:rPr>
        <w:t>m，水仓断面4</w:t>
      </w:r>
      <w:r>
        <w:rPr>
          <w:szCs w:val="28"/>
          <w:highlight w:val="black"/>
        </w:rPr>
        <w:t>m</w:t>
      </w:r>
      <w:r>
        <w:rPr>
          <w:szCs w:val="28"/>
          <w:highlight w:val="black"/>
          <w:vertAlign w:val="superscript"/>
        </w:rPr>
        <w:t>2</w:t>
      </w:r>
      <w:r>
        <w:rPr>
          <w:szCs w:val="28"/>
          <w:highlight w:val="black"/>
        </w:rPr>
        <w:t>，</w:t>
      </w:r>
      <w:r>
        <w:rPr>
          <w:spacing w:val="6"/>
          <w:szCs w:val="28"/>
          <w:highlight w:val="black"/>
        </w:rPr>
        <w:t>有效容积</w:t>
      </w:r>
      <w:r>
        <w:rPr>
          <w:rFonts w:hint="eastAsia"/>
          <w:spacing w:val="6"/>
          <w:szCs w:val="28"/>
          <w:highlight w:val="black"/>
        </w:rPr>
        <w:t>160</w:t>
      </w:r>
      <w:r>
        <w:rPr>
          <w:szCs w:val="28"/>
          <w:highlight w:val="black"/>
        </w:rPr>
        <w:t>m</w:t>
      </w:r>
      <w:r>
        <w:rPr>
          <w:szCs w:val="28"/>
          <w:highlight w:val="black"/>
          <w:vertAlign w:val="superscript"/>
        </w:rPr>
        <w:t>3</w:t>
      </w:r>
      <w:r>
        <w:rPr>
          <w:spacing w:val="6"/>
          <w:szCs w:val="28"/>
          <w:highlight w:val="black"/>
        </w:rPr>
        <w:t>。水仓进水口设蓖子。配水仓与水仓、吸水井之间设配水闸阀。</w:t>
      </w:r>
    </w:p>
    <w:p w14:paraId="067AA7DB">
      <w:pPr>
        <w:spacing w:line="520" w:lineRule="atLeast"/>
        <w:ind w:firstLine="560"/>
        <w:rPr>
          <w:szCs w:val="28"/>
          <w:highlight w:val="black"/>
        </w:rPr>
      </w:pPr>
      <w:r>
        <w:rPr>
          <w:rFonts w:hint="eastAsia"/>
          <w:szCs w:val="28"/>
          <w:highlight w:val="black"/>
        </w:rPr>
        <w:t>①</w:t>
      </w:r>
      <w:r>
        <w:rPr>
          <w:szCs w:val="28"/>
          <w:highlight w:val="black"/>
        </w:rPr>
        <w:t xml:space="preserve"> 水泵房长度计算：</w:t>
      </w:r>
    </w:p>
    <w:p w14:paraId="2A8623E6">
      <w:pPr>
        <w:spacing w:line="520" w:lineRule="atLeast"/>
        <w:ind w:firstLine="560"/>
        <w:jc w:val="center"/>
        <w:rPr>
          <w:spacing w:val="6"/>
          <w:szCs w:val="28"/>
          <w:highlight w:val="black"/>
        </w:rPr>
      </w:pPr>
      <w:r>
        <w:rPr>
          <w:spacing w:val="6"/>
          <w:position w:val="-14"/>
          <w:szCs w:val="28"/>
          <w:highlight w:val="black"/>
        </w:rPr>
        <w:object>
          <v:shape id="_x0000_i1053" o:spt="75" type="#_x0000_t75" style="height:19.1pt;width:262.9pt;" o:ole="t" filled="f" o:preferrelative="t" stroked="f" coordsize="21600,21600">
            <v:path/>
            <v:fill on="f" focussize="0,0"/>
            <v:stroke on="f" joinstyle="miter"/>
            <v:imagedata r:id="rId87" o:title=""/>
            <o:lock v:ext="edit" aspectratio="t"/>
            <w10:wrap type="none"/>
            <w10:anchorlock/>
          </v:shape>
          <o:OLEObject Type="Embed" ProgID="Equation.3" ShapeID="_x0000_i1053" DrawAspect="Content" ObjectID="_1468075752" r:id="rId86">
            <o:LockedField>false</o:LockedField>
          </o:OLEObject>
        </w:object>
      </w:r>
    </w:p>
    <w:p w14:paraId="771BEFE4">
      <w:pPr>
        <w:spacing w:line="520" w:lineRule="atLeast"/>
        <w:ind w:firstLine="584"/>
        <w:rPr>
          <w:spacing w:val="6"/>
          <w:szCs w:val="28"/>
          <w:highlight w:val="black"/>
        </w:rPr>
      </w:pPr>
      <w:r>
        <w:rPr>
          <w:spacing w:val="6"/>
          <w:szCs w:val="28"/>
          <w:highlight w:val="black"/>
        </w:rPr>
        <w:t>式中：L</w:t>
      </w:r>
      <w:r>
        <w:rPr>
          <w:spacing w:val="6"/>
          <w:szCs w:val="28"/>
          <w:highlight w:val="black"/>
          <w:vertAlign w:val="subscript"/>
        </w:rPr>
        <w:t>bf</w:t>
      </w:r>
      <w:r>
        <w:rPr>
          <w:spacing w:val="6"/>
          <w:szCs w:val="28"/>
          <w:highlight w:val="black"/>
        </w:rPr>
        <w:t>—水泵房长度，m；</w:t>
      </w:r>
    </w:p>
    <w:p w14:paraId="05CEE6A8">
      <w:pPr>
        <w:spacing w:line="520" w:lineRule="atLeast"/>
        <w:ind w:firstLine="1395" w:firstLineChars="478"/>
        <w:rPr>
          <w:spacing w:val="6"/>
          <w:szCs w:val="28"/>
          <w:highlight w:val="black"/>
        </w:rPr>
      </w:pPr>
      <w:r>
        <w:rPr>
          <w:spacing w:val="6"/>
          <w:szCs w:val="28"/>
          <w:highlight w:val="black"/>
        </w:rPr>
        <w:t>n</w:t>
      </w:r>
      <w:r>
        <w:rPr>
          <w:spacing w:val="6"/>
          <w:szCs w:val="28"/>
          <w:highlight w:val="black"/>
          <w:vertAlign w:val="subscript"/>
        </w:rPr>
        <w:t>T</w:t>
      </w:r>
      <w:r>
        <w:rPr>
          <w:spacing w:val="6"/>
          <w:szCs w:val="28"/>
          <w:highlight w:val="black"/>
        </w:rPr>
        <w:t>—水泵台数，3台；</w:t>
      </w:r>
    </w:p>
    <w:p w14:paraId="6D737300">
      <w:pPr>
        <w:spacing w:line="520" w:lineRule="atLeast"/>
        <w:ind w:firstLine="1395" w:firstLineChars="478"/>
        <w:rPr>
          <w:spacing w:val="6"/>
          <w:szCs w:val="28"/>
          <w:highlight w:val="black"/>
        </w:rPr>
      </w:pPr>
      <w:r>
        <w:rPr>
          <w:spacing w:val="6"/>
          <w:szCs w:val="28"/>
          <w:highlight w:val="black"/>
        </w:rPr>
        <w:t>L</w:t>
      </w:r>
      <w:r>
        <w:rPr>
          <w:spacing w:val="6"/>
          <w:szCs w:val="28"/>
          <w:highlight w:val="black"/>
          <w:vertAlign w:val="subscript"/>
        </w:rPr>
        <w:t>js</w:t>
      </w:r>
      <w:r>
        <w:rPr>
          <w:spacing w:val="6"/>
          <w:szCs w:val="28"/>
          <w:highlight w:val="black"/>
        </w:rPr>
        <w:t>—水泵机组的总长度，</w:t>
      </w:r>
      <w:r>
        <w:rPr>
          <w:rFonts w:hint="eastAsia"/>
          <w:spacing w:val="6"/>
          <w:szCs w:val="28"/>
          <w:highlight w:val="black"/>
        </w:rPr>
        <w:t>2350</w:t>
      </w:r>
      <w:r>
        <w:rPr>
          <w:spacing w:val="6"/>
          <w:szCs w:val="28"/>
          <w:highlight w:val="black"/>
        </w:rPr>
        <w:t>m；</w:t>
      </w:r>
    </w:p>
    <w:p w14:paraId="010FBB25">
      <w:pPr>
        <w:spacing w:line="520" w:lineRule="atLeast"/>
        <w:ind w:firstLine="1395" w:firstLineChars="478"/>
        <w:rPr>
          <w:spacing w:val="6"/>
          <w:szCs w:val="28"/>
          <w:highlight w:val="black"/>
        </w:rPr>
      </w:pPr>
      <w:r>
        <w:rPr>
          <w:spacing w:val="6"/>
          <w:szCs w:val="28"/>
          <w:highlight w:val="black"/>
        </w:rPr>
        <w:t>L</w:t>
      </w:r>
      <w:r>
        <w:rPr>
          <w:spacing w:val="6"/>
          <w:szCs w:val="28"/>
          <w:highlight w:val="black"/>
          <w:vertAlign w:val="subscript"/>
        </w:rPr>
        <w:t>jk</w:t>
      </w:r>
      <w:r>
        <w:rPr>
          <w:spacing w:val="6"/>
          <w:szCs w:val="28"/>
          <w:highlight w:val="black"/>
        </w:rPr>
        <w:t>—水泵机组的净空距离，1.089+0.5=1.589m。</w:t>
      </w:r>
    </w:p>
    <w:p w14:paraId="538B1C88">
      <w:pPr>
        <w:spacing w:line="520" w:lineRule="atLeast"/>
        <w:ind w:firstLine="584"/>
        <w:rPr>
          <w:spacing w:val="6"/>
          <w:szCs w:val="28"/>
          <w:highlight w:val="black"/>
        </w:rPr>
      </w:pPr>
      <w:r>
        <w:rPr>
          <w:spacing w:val="6"/>
          <w:szCs w:val="28"/>
          <w:highlight w:val="black"/>
        </w:rPr>
        <w:t>计算水泵房长度</w:t>
      </w:r>
      <w:r>
        <w:rPr>
          <w:rFonts w:hint="eastAsia"/>
          <w:spacing w:val="6"/>
          <w:szCs w:val="28"/>
          <w:highlight w:val="black"/>
        </w:rPr>
        <w:t>13.4</w:t>
      </w:r>
      <w:r>
        <w:rPr>
          <w:spacing w:val="6"/>
          <w:szCs w:val="28"/>
          <w:highlight w:val="black"/>
        </w:rPr>
        <w:t>m，控制装置取</w:t>
      </w:r>
      <w:r>
        <w:rPr>
          <w:rFonts w:hint="eastAsia"/>
          <w:spacing w:val="6"/>
          <w:szCs w:val="28"/>
          <w:highlight w:val="black"/>
        </w:rPr>
        <w:t>4</w:t>
      </w:r>
      <w:r>
        <w:rPr>
          <w:spacing w:val="6"/>
          <w:szCs w:val="28"/>
          <w:highlight w:val="black"/>
        </w:rPr>
        <w:t>m，设计水泵房长度</w:t>
      </w:r>
      <w:r>
        <w:rPr>
          <w:rFonts w:hint="eastAsia"/>
          <w:spacing w:val="6"/>
          <w:szCs w:val="28"/>
          <w:highlight w:val="black"/>
        </w:rPr>
        <w:t>18</w:t>
      </w:r>
      <w:r>
        <w:rPr>
          <w:spacing w:val="6"/>
          <w:szCs w:val="28"/>
          <w:highlight w:val="black"/>
        </w:rPr>
        <w:t>m。</w:t>
      </w:r>
    </w:p>
    <w:p w14:paraId="1AD2800D">
      <w:pPr>
        <w:spacing w:line="520" w:lineRule="atLeast"/>
        <w:ind w:firstLine="584"/>
        <w:rPr>
          <w:spacing w:val="6"/>
          <w:szCs w:val="28"/>
          <w:highlight w:val="black"/>
        </w:rPr>
      </w:pPr>
      <w:r>
        <w:rPr>
          <w:rFonts w:hint="eastAsia"/>
          <w:spacing w:val="6"/>
          <w:szCs w:val="28"/>
          <w:highlight w:val="black"/>
        </w:rPr>
        <w:t>②</w:t>
      </w:r>
      <w:r>
        <w:rPr>
          <w:spacing w:val="6"/>
          <w:szCs w:val="28"/>
          <w:highlight w:val="black"/>
        </w:rPr>
        <w:t xml:space="preserve"> 水泵房宽度计算：</w:t>
      </w:r>
    </w:p>
    <w:p w14:paraId="18872E38">
      <w:pPr>
        <w:spacing w:line="520" w:lineRule="atLeast"/>
        <w:ind w:firstLine="560"/>
        <w:jc w:val="center"/>
        <w:rPr>
          <w:spacing w:val="6"/>
          <w:szCs w:val="28"/>
          <w:highlight w:val="black"/>
        </w:rPr>
      </w:pPr>
      <w:r>
        <w:rPr>
          <w:spacing w:val="6"/>
          <w:position w:val="-10"/>
          <w:szCs w:val="28"/>
          <w:highlight w:val="black"/>
        </w:rPr>
        <w:object>
          <v:shape id="_x0000_i1054" o:spt="75" type="#_x0000_t75" style="height:16.9pt;width:9.25pt;" o:ole="t" filled="f" o:preferrelative="t" stroked="f" coordsize="21600,21600">
            <v:path/>
            <v:fill on="f" focussize="0,0"/>
            <v:stroke on="f" joinstyle="miter"/>
            <v:imagedata r:id="rId89" o:title=""/>
            <o:lock v:ext="edit" aspectratio="t"/>
            <w10:wrap type="none"/>
            <w10:anchorlock/>
          </v:shape>
          <o:OLEObject Type="Embed" ProgID="Equation.3" ShapeID="_x0000_i1054" DrawAspect="Content" ObjectID="_1468075753" r:id="rId88">
            <o:LockedField>false</o:LockedField>
          </o:OLEObject>
        </w:object>
      </w:r>
      <w:r>
        <w:rPr>
          <w:spacing w:val="6"/>
          <w:position w:val="-14"/>
          <w:szCs w:val="28"/>
          <w:highlight w:val="black"/>
        </w:rPr>
        <w:object>
          <v:shape id="_x0000_i1055" o:spt="75" type="#_x0000_t75" style="height:19.1pt;width:192pt;" o:ole="t" filled="f" o:preferrelative="t" stroked="f" coordsize="21600,21600">
            <v:path/>
            <v:fill on="f" focussize="0,0"/>
            <v:stroke on="f" joinstyle="miter"/>
            <v:imagedata r:id="rId91" o:title=""/>
            <o:lock v:ext="edit" aspectratio="t"/>
            <w10:wrap type="none"/>
            <w10:anchorlock/>
          </v:shape>
          <o:OLEObject Type="Embed" ProgID="Equation.3" ShapeID="_x0000_i1055" DrawAspect="Content" ObjectID="_1468075754" r:id="rId90">
            <o:LockedField>false</o:LockedField>
          </o:OLEObject>
        </w:object>
      </w:r>
    </w:p>
    <w:p w14:paraId="1504D65D">
      <w:pPr>
        <w:spacing w:line="520" w:lineRule="atLeast"/>
        <w:ind w:firstLine="584"/>
        <w:rPr>
          <w:spacing w:val="6"/>
          <w:szCs w:val="28"/>
          <w:highlight w:val="black"/>
        </w:rPr>
      </w:pPr>
      <w:r>
        <w:rPr>
          <w:spacing w:val="6"/>
          <w:szCs w:val="28"/>
          <w:highlight w:val="black"/>
        </w:rPr>
        <w:t>式中：B</w:t>
      </w:r>
      <w:r>
        <w:rPr>
          <w:spacing w:val="6"/>
          <w:szCs w:val="28"/>
          <w:highlight w:val="black"/>
          <w:vertAlign w:val="subscript"/>
        </w:rPr>
        <w:t>bf</w:t>
      </w:r>
      <w:r>
        <w:rPr>
          <w:spacing w:val="6"/>
          <w:szCs w:val="28"/>
          <w:highlight w:val="black"/>
        </w:rPr>
        <w:t>—水泵房宽度，m；</w:t>
      </w:r>
    </w:p>
    <w:p w14:paraId="75A07437">
      <w:pPr>
        <w:spacing w:line="520" w:lineRule="atLeast"/>
        <w:ind w:firstLine="1410" w:firstLineChars="483"/>
        <w:rPr>
          <w:spacing w:val="6"/>
          <w:szCs w:val="28"/>
          <w:highlight w:val="black"/>
        </w:rPr>
      </w:pPr>
      <w:r>
        <w:rPr>
          <w:spacing w:val="6"/>
          <w:szCs w:val="28"/>
          <w:highlight w:val="black"/>
        </w:rPr>
        <w:t>b</w:t>
      </w:r>
      <w:r>
        <w:rPr>
          <w:spacing w:val="6"/>
          <w:szCs w:val="28"/>
          <w:highlight w:val="black"/>
          <w:vertAlign w:val="subscript"/>
        </w:rPr>
        <w:t>jc</w:t>
      </w:r>
      <w:r>
        <w:rPr>
          <w:spacing w:val="6"/>
          <w:szCs w:val="28"/>
          <w:highlight w:val="black"/>
        </w:rPr>
        <w:t>—水泵基础宽度，0.</w:t>
      </w:r>
      <w:r>
        <w:rPr>
          <w:rFonts w:hint="eastAsia"/>
          <w:spacing w:val="6"/>
          <w:szCs w:val="28"/>
          <w:highlight w:val="black"/>
        </w:rPr>
        <w:t>92</w:t>
      </w:r>
      <w:r>
        <w:rPr>
          <w:spacing w:val="6"/>
          <w:szCs w:val="28"/>
          <w:highlight w:val="black"/>
        </w:rPr>
        <w:t>m；</w:t>
      </w:r>
    </w:p>
    <w:p w14:paraId="2797584B">
      <w:pPr>
        <w:spacing w:line="520" w:lineRule="atLeast"/>
        <w:ind w:firstLine="1410" w:firstLineChars="483"/>
        <w:rPr>
          <w:spacing w:val="6"/>
          <w:szCs w:val="28"/>
          <w:highlight w:val="black"/>
        </w:rPr>
      </w:pPr>
      <w:r>
        <w:rPr>
          <w:spacing w:val="6"/>
          <w:szCs w:val="28"/>
          <w:highlight w:val="black"/>
        </w:rPr>
        <w:t>b</w:t>
      </w:r>
      <w:r>
        <w:rPr>
          <w:spacing w:val="6"/>
          <w:szCs w:val="28"/>
          <w:highlight w:val="black"/>
          <w:vertAlign w:val="subscript"/>
        </w:rPr>
        <w:t>gc</w:t>
      </w:r>
      <w:r>
        <w:rPr>
          <w:spacing w:val="6"/>
          <w:szCs w:val="28"/>
          <w:highlight w:val="black"/>
        </w:rPr>
        <w:t>—水泵基础边缘到有轨道一侧墙壁的距离，2m；</w:t>
      </w:r>
    </w:p>
    <w:p w14:paraId="742307E4">
      <w:pPr>
        <w:spacing w:line="520" w:lineRule="atLeast"/>
        <w:ind w:firstLine="1410" w:firstLineChars="483"/>
        <w:rPr>
          <w:spacing w:val="6"/>
          <w:szCs w:val="28"/>
          <w:highlight w:val="black"/>
        </w:rPr>
      </w:pPr>
      <w:r>
        <w:rPr>
          <w:spacing w:val="6"/>
          <w:szCs w:val="28"/>
          <w:highlight w:val="black"/>
        </w:rPr>
        <w:t>b</w:t>
      </w:r>
      <w:r>
        <w:rPr>
          <w:spacing w:val="6"/>
          <w:szCs w:val="28"/>
          <w:highlight w:val="black"/>
          <w:vertAlign w:val="subscript"/>
        </w:rPr>
        <w:t>jp</w:t>
      </w:r>
      <w:r>
        <w:rPr>
          <w:spacing w:val="6"/>
          <w:szCs w:val="28"/>
          <w:highlight w:val="black"/>
        </w:rPr>
        <w:t>—水泵基础边缘到吸水井一侧墙壁的距离，1m。</w:t>
      </w:r>
    </w:p>
    <w:p w14:paraId="7EF29D13">
      <w:pPr>
        <w:spacing w:line="520" w:lineRule="atLeast"/>
        <w:ind w:firstLine="584"/>
        <w:rPr>
          <w:spacing w:val="6"/>
          <w:szCs w:val="28"/>
          <w:highlight w:val="black"/>
        </w:rPr>
      </w:pPr>
      <w:r>
        <w:rPr>
          <w:spacing w:val="6"/>
          <w:szCs w:val="28"/>
          <w:highlight w:val="black"/>
        </w:rPr>
        <w:t>计算水泵房宽度3.</w:t>
      </w:r>
      <w:r>
        <w:rPr>
          <w:rFonts w:hint="eastAsia"/>
          <w:spacing w:val="6"/>
          <w:szCs w:val="28"/>
          <w:highlight w:val="black"/>
        </w:rPr>
        <w:t>92</w:t>
      </w:r>
      <w:r>
        <w:rPr>
          <w:spacing w:val="6"/>
          <w:szCs w:val="28"/>
          <w:highlight w:val="black"/>
        </w:rPr>
        <w:t>m，设计水泵房宽度4m。</w:t>
      </w:r>
    </w:p>
    <w:p w14:paraId="3C80EDCB">
      <w:pPr>
        <w:spacing w:line="520" w:lineRule="atLeast"/>
        <w:ind w:firstLine="584"/>
        <w:rPr>
          <w:spacing w:val="6"/>
          <w:szCs w:val="28"/>
          <w:highlight w:val="black"/>
        </w:rPr>
      </w:pPr>
      <w:r>
        <w:rPr>
          <w:rFonts w:hint="eastAsia"/>
          <w:spacing w:val="6"/>
          <w:szCs w:val="28"/>
          <w:highlight w:val="black"/>
        </w:rPr>
        <w:t>③</w:t>
      </w:r>
      <w:r>
        <w:rPr>
          <w:spacing w:val="6"/>
          <w:szCs w:val="28"/>
          <w:highlight w:val="black"/>
        </w:rPr>
        <w:t xml:space="preserve"> 水泵房高度计算：</w:t>
      </w:r>
    </w:p>
    <w:p w14:paraId="392F6362">
      <w:pPr>
        <w:spacing w:line="520" w:lineRule="atLeast"/>
        <w:ind w:firstLine="560"/>
        <w:rPr>
          <w:spacing w:val="6"/>
          <w:szCs w:val="28"/>
          <w:highlight w:val="black"/>
        </w:rPr>
      </w:pPr>
      <w:r>
        <w:rPr>
          <w:szCs w:val="28"/>
          <w:highlight w:val="black"/>
        </w:rPr>
        <w:t>水泵电动机容量为</w:t>
      </w:r>
      <w:r>
        <w:rPr>
          <w:rFonts w:hint="eastAsia"/>
          <w:szCs w:val="28"/>
          <w:highlight w:val="black"/>
        </w:rPr>
        <w:t>75</w:t>
      </w:r>
      <w:r>
        <w:rPr>
          <w:szCs w:val="28"/>
          <w:highlight w:val="black"/>
        </w:rPr>
        <w:t>kW，小于100kW，不设起重梁。</w:t>
      </w:r>
      <w:r>
        <w:rPr>
          <w:spacing w:val="6"/>
          <w:szCs w:val="28"/>
          <w:highlight w:val="black"/>
        </w:rPr>
        <w:t>水泵房高度按1.9m加拱高确定为2.9m。</w:t>
      </w:r>
    </w:p>
    <w:p w14:paraId="6A0469E3">
      <w:pPr>
        <w:spacing w:line="520" w:lineRule="atLeast"/>
        <w:ind w:firstLine="584"/>
        <w:rPr>
          <w:szCs w:val="28"/>
          <w:highlight w:val="black"/>
        </w:rPr>
      </w:pPr>
      <w:r>
        <w:rPr>
          <w:rFonts w:hint="eastAsia"/>
          <w:spacing w:val="6"/>
          <w:szCs w:val="28"/>
          <w:highlight w:val="black"/>
        </w:rPr>
        <w:t>设计水泵房长18m、宽4m、高2.9m。水泵房设两个出口，一个与井底车场联络巷相通，其出口应装设防水门，防水门向泵房外面开；另一个用斜管子道与斜坡道相连，斜巷上口标高为-32.5m，高出泵房地面7m。泵房地面标高为-39.5m，高出其入口处巷道底板0.5m。泵房地面向吸水井设3‰的排水坡度。符合规程规范</w:t>
      </w:r>
      <w:r>
        <w:rPr>
          <w:szCs w:val="28"/>
          <w:highlight w:val="black"/>
        </w:rPr>
        <w:t>。</w:t>
      </w:r>
    </w:p>
    <w:p w14:paraId="465F07A6">
      <w:pPr>
        <w:keepNext/>
        <w:keepLines/>
        <w:numPr>
          <w:ilvl w:val="2"/>
          <w:numId w:val="0"/>
        </w:numPr>
        <w:tabs>
          <w:tab w:val="left" w:pos="0"/>
          <w:tab w:val="left" w:pos="284"/>
        </w:tabs>
        <w:snapToGrid w:val="0"/>
        <w:spacing w:line="520" w:lineRule="atLeast"/>
        <w:outlineLvl w:val="2"/>
        <w:rPr>
          <w:sz w:val="26"/>
        </w:rPr>
      </w:pPr>
      <w:r>
        <w:rPr>
          <w:rFonts w:hint="eastAsia" w:ascii="宋体" w:hAnsi="宋体" w:cs="宋体"/>
          <w:b/>
          <w:bCs/>
        </w:rPr>
        <w:t>2.4.9.3防水门设置</w:t>
      </w:r>
    </w:p>
    <w:p w14:paraId="46B55182">
      <w:pPr>
        <w:ind w:firstLine="560"/>
        <w:rPr>
          <w:highlight w:val="black"/>
          <w:lang w:val="zh-TW"/>
        </w:rPr>
      </w:pPr>
      <w:r>
        <w:rPr>
          <w:rFonts w:hint="eastAsia"/>
          <w:highlight w:val="black"/>
        </w:rPr>
        <w:t>故根据《金属非金属矿山安全规程》（GB16423-2020）以及《矿山电力设计标准》(GB50070-2020)：“矿山井下最低中段的主水泵房和变电所的进口应装设防水门，防水门压力等级不低于0.1MPa。”设计在本矿山最低中段-40m水泵房进口装设防水门，查《采矿设计手册（矿山机械卷）》11.2.4.5，设计防水门规格：1600mm（高）×1800mm（宽），质量：865kg，防水压力0.1MPa</w:t>
      </w:r>
      <w:r>
        <w:rPr>
          <w:highlight w:val="black"/>
        </w:rPr>
        <w:t>。</w:t>
      </w:r>
    </w:p>
    <w:p w14:paraId="3504B8C7">
      <w:pPr>
        <w:keepNext/>
        <w:keepLines/>
        <w:numPr>
          <w:ilvl w:val="2"/>
          <w:numId w:val="0"/>
        </w:numPr>
        <w:tabs>
          <w:tab w:val="left" w:pos="0"/>
          <w:tab w:val="left" w:pos="284"/>
        </w:tabs>
        <w:snapToGrid w:val="0"/>
        <w:spacing w:line="520" w:lineRule="atLeast"/>
        <w:outlineLvl w:val="2"/>
        <w:rPr>
          <w:sz w:val="26"/>
        </w:rPr>
      </w:pPr>
      <w:r>
        <w:rPr>
          <w:rFonts w:hint="eastAsia" w:ascii="宋体" w:hAnsi="宋体" w:cs="宋体"/>
          <w:b/>
          <w:bCs/>
        </w:rPr>
        <w:t>2.4.9.4排泥系统</w:t>
      </w:r>
    </w:p>
    <w:p w14:paraId="113167E3">
      <w:pPr>
        <w:ind w:firstLine="560"/>
        <w:rPr>
          <w:highlight w:val="black"/>
          <w:lang w:val="zh-CN"/>
        </w:rPr>
      </w:pPr>
      <w:bookmarkStart w:id="213" w:name="_Hlk165374344"/>
      <w:r>
        <w:rPr>
          <w:rFonts w:hint="eastAsia"/>
          <w:highlight w:val="black"/>
          <w:lang w:val="zh-CN"/>
        </w:rPr>
        <w:t>（</w:t>
      </w:r>
      <w:r>
        <w:rPr>
          <w:rFonts w:hint="eastAsia"/>
          <w:highlight w:val="black"/>
        </w:rPr>
        <w:t>1</w:t>
      </w:r>
      <w:r>
        <w:rPr>
          <w:rFonts w:hint="eastAsia"/>
          <w:highlight w:val="black"/>
          <w:lang w:val="zh-CN"/>
        </w:rPr>
        <w:t>）</w:t>
      </w:r>
      <w:r>
        <w:rPr>
          <w:highlight w:val="black"/>
          <w:lang w:val="zh-CN"/>
        </w:rPr>
        <w:t>沉淀系统</w:t>
      </w:r>
    </w:p>
    <w:p w14:paraId="2F6B2EC8">
      <w:pPr>
        <w:ind w:firstLine="560"/>
        <w:rPr>
          <w:highlight w:val="black"/>
        </w:rPr>
      </w:pPr>
      <w:r>
        <w:rPr>
          <w:highlight w:val="black"/>
        </w:rPr>
        <w:t>沉淀系统是采场虑水构筑物到主沉淀池或水仓为止的一整套设施。本项目设置</w:t>
      </w:r>
      <w:r>
        <w:rPr>
          <w:rFonts w:hint="eastAsia"/>
          <w:highlight w:val="black"/>
        </w:rPr>
        <w:t>（</w:t>
      </w:r>
      <w:r>
        <w:rPr>
          <w:highlight w:val="black"/>
        </w:rPr>
        <w:t>阶段</w:t>
      </w:r>
      <w:r>
        <w:rPr>
          <w:rFonts w:hint="eastAsia"/>
          <w:highlight w:val="black"/>
        </w:rPr>
        <w:t>）</w:t>
      </w:r>
      <w:r>
        <w:rPr>
          <w:highlight w:val="black"/>
        </w:rPr>
        <w:t>沉淀池和主沉淀池，使泥砂经过多段沉淀后达到澄清，然后进入坑内水仓及吸水井。各沉淀池之间可由水沟和钻孔相连。</w:t>
      </w:r>
    </w:p>
    <w:p w14:paraId="3DEE74CA">
      <w:pPr>
        <w:ind w:firstLine="560"/>
        <w:rPr>
          <w:highlight w:val="black"/>
        </w:rPr>
      </w:pPr>
      <w:r>
        <w:rPr>
          <w:highlight w:val="black"/>
        </w:rPr>
        <w:t>沉淀池采用溢流泄水方式。</w:t>
      </w:r>
    </w:p>
    <w:p w14:paraId="000343D3">
      <w:pPr>
        <w:ind w:firstLine="560"/>
        <w:rPr>
          <w:highlight w:val="black"/>
          <w:lang w:val="zh-CN"/>
        </w:rPr>
      </w:pPr>
      <w:r>
        <w:rPr>
          <w:rFonts w:hint="eastAsia"/>
          <w:highlight w:val="black"/>
          <w:lang w:val="zh-CN"/>
        </w:rPr>
        <w:t>（</w:t>
      </w:r>
      <w:r>
        <w:rPr>
          <w:rFonts w:hint="eastAsia"/>
          <w:highlight w:val="black"/>
        </w:rPr>
        <w:t>2</w:t>
      </w:r>
      <w:r>
        <w:rPr>
          <w:rFonts w:hint="eastAsia"/>
          <w:highlight w:val="black"/>
          <w:lang w:val="zh-CN"/>
        </w:rPr>
        <w:t>）</w:t>
      </w:r>
      <w:r>
        <w:rPr>
          <w:highlight w:val="black"/>
          <w:lang w:val="zh-CN"/>
        </w:rPr>
        <w:t>水沟</w:t>
      </w:r>
    </w:p>
    <w:p w14:paraId="184DB259">
      <w:pPr>
        <w:adjustRightInd w:val="0"/>
        <w:snapToGrid w:val="0"/>
        <w:ind w:firstLine="560"/>
        <w:rPr>
          <w:rFonts w:ascii="宋体" w:hAnsi="宋体" w:cs="宋体"/>
          <w:szCs w:val="28"/>
          <w:highlight w:val="black"/>
        </w:rPr>
      </w:pPr>
      <w:r>
        <w:rPr>
          <w:rFonts w:hint="eastAsia" w:ascii="宋体" w:hAnsi="宋体" w:cs="宋体"/>
          <w:szCs w:val="28"/>
          <w:highlight w:val="black"/>
        </w:rPr>
        <w:t>从采场带出的大量细泥随采场废水进入水沟，一般开采阶段的主要运输巷道是排水沟的必经之路，泥砂在水沟中容易沉淀，导致水沟的沉淀量过多，淤塞水沟，妨碍地下运输工作，所以为保证水流在沟中畅通，减轻大量的水沟清理工作，水沟应有足够的断面和坡度。</w:t>
      </w:r>
    </w:p>
    <w:p w14:paraId="77BFB8C0">
      <w:pPr>
        <w:snapToGrid w:val="0"/>
        <w:ind w:firstLine="560"/>
        <w:rPr>
          <w:rFonts w:ascii="宋体" w:hAnsi="宋体" w:cs="宋体"/>
          <w:szCs w:val="28"/>
          <w:highlight w:val="black"/>
        </w:rPr>
      </w:pPr>
      <w:r>
        <w:rPr>
          <w:rFonts w:hint="eastAsia" w:ascii="宋体" w:hAnsi="宋体" w:cs="宋体"/>
          <w:szCs w:val="28"/>
          <w:highlight w:val="black"/>
        </w:rPr>
        <w:t>选取断面：上宽300mm，下宽200mm，深200mm，净断面0.05m</w:t>
      </w:r>
      <w:r>
        <w:rPr>
          <w:rFonts w:hint="eastAsia" w:ascii="宋体" w:hAnsi="宋体" w:cs="宋体"/>
          <w:szCs w:val="28"/>
          <w:highlight w:val="black"/>
          <w:vertAlign w:val="superscript"/>
        </w:rPr>
        <w:t>3</w:t>
      </w:r>
      <w:r>
        <w:rPr>
          <w:rFonts w:hint="eastAsia" w:ascii="宋体" w:hAnsi="宋体" w:cs="宋体"/>
          <w:szCs w:val="28"/>
          <w:highlight w:val="black"/>
        </w:rPr>
        <w:t>，坡度5‰。</w:t>
      </w:r>
    </w:p>
    <w:p w14:paraId="111FA32A">
      <w:pPr>
        <w:snapToGrid w:val="0"/>
        <w:ind w:firstLine="560"/>
        <w:rPr>
          <w:rFonts w:ascii="宋体" w:hAnsi="宋体" w:cs="宋体"/>
          <w:szCs w:val="28"/>
          <w:highlight w:val="black"/>
        </w:rPr>
      </w:pPr>
      <w:r>
        <w:rPr>
          <w:rFonts w:hint="eastAsia" w:ascii="宋体" w:hAnsi="宋体" w:cs="宋体"/>
          <w:szCs w:val="28"/>
          <w:highlight w:val="black"/>
        </w:rPr>
        <w:t>水沟流量计算：</w:t>
      </w:r>
    </w:p>
    <w:p w14:paraId="05C33271">
      <w:pPr>
        <w:snapToGrid w:val="0"/>
        <w:ind w:firstLine="560"/>
        <w:jc w:val="center"/>
        <w:rPr>
          <w:rFonts w:ascii="宋体" w:hAnsi="宋体" w:cs="宋体"/>
          <w:szCs w:val="28"/>
          <w:highlight w:val="black"/>
        </w:rPr>
      </w:pPr>
      <w:r>
        <w:rPr>
          <w:rFonts w:hint="eastAsia" w:ascii="宋体" w:hAnsi="宋体" w:cs="宋体"/>
          <w:position w:val="-12"/>
          <w:szCs w:val="28"/>
          <w:highlight w:val="black"/>
        </w:rPr>
        <w:object>
          <v:shape id="_x0000_i1056" o:spt="75" type="#_x0000_t75" style="height:18.55pt;width:102.55pt;" o:ole="t" filled="f" o:preferrelative="t" stroked="f" coordsize="21600,21600">
            <v:path/>
            <v:fill on="f" focussize="0,0"/>
            <v:stroke on="f" joinstyle="miter"/>
            <v:imagedata r:id="rId93" o:title=""/>
            <o:lock v:ext="edit" aspectratio="t"/>
            <w10:wrap type="none"/>
            <w10:anchorlock/>
          </v:shape>
          <o:OLEObject Type="Embed" ProgID="Equation.DSMT4" ShapeID="_x0000_i1056" DrawAspect="Content" ObjectID="_1468075755" r:id="rId92">
            <o:LockedField>false</o:LockedField>
          </o:OLEObject>
        </w:object>
      </w:r>
      <w:r>
        <w:rPr>
          <w:rFonts w:hint="eastAsia" w:ascii="宋体" w:hAnsi="宋体" w:cs="宋体"/>
          <w:szCs w:val="28"/>
          <w:highlight w:val="black"/>
        </w:rPr>
        <w:t>=0.028m</w:t>
      </w:r>
      <w:r>
        <w:rPr>
          <w:rFonts w:hint="eastAsia" w:ascii="宋体" w:hAnsi="宋体" w:cs="宋体"/>
          <w:szCs w:val="28"/>
          <w:highlight w:val="black"/>
          <w:vertAlign w:val="superscript"/>
        </w:rPr>
        <w:t>3</w:t>
      </w:r>
      <w:r>
        <w:rPr>
          <w:rFonts w:hint="eastAsia" w:ascii="宋体" w:hAnsi="宋体" w:cs="宋体"/>
          <w:szCs w:val="28"/>
          <w:highlight w:val="black"/>
        </w:rPr>
        <w:t>/s</w:t>
      </w:r>
    </w:p>
    <w:p w14:paraId="2C72C4A9">
      <w:pPr>
        <w:snapToGrid w:val="0"/>
        <w:ind w:firstLine="560"/>
        <w:jc w:val="center"/>
        <w:rPr>
          <w:rFonts w:ascii="宋体" w:hAnsi="宋体" w:cs="宋体"/>
          <w:szCs w:val="28"/>
          <w:highlight w:val="black"/>
        </w:rPr>
      </w:pPr>
      <w:r>
        <w:rPr>
          <w:rFonts w:hint="eastAsia" w:ascii="宋体" w:hAnsi="宋体" w:cs="宋体"/>
          <w:position w:val="-24"/>
          <w:szCs w:val="28"/>
          <w:highlight w:val="black"/>
        </w:rPr>
        <w:object>
          <v:shape id="_x0000_i1057" o:spt="75" type="#_x0000_t75" style="height:30.55pt;width:220.35pt;" o:ole="t" filled="f" o:preferrelative="t" stroked="f" coordsize="21600,21600">
            <v:path/>
            <v:fill on="f" focussize="0,0"/>
            <v:stroke on="f" joinstyle="miter"/>
            <v:imagedata r:id="rId95" o:title=""/>
            <o:lock v:ext="edit" aspectratio="t"/>
            <w10:wrap type="none"/>
            <w10:anchorlock/>
          </v:shape>
          <o:OLEObject Type="Embed" ProgID="Equation.DSMT4" ShapeID="_x0000_i1057" DrawAspect="Content" ObjectID="_1468075756" r:id="rId94">
            <o:LockedField>false</o:LockedField>
          </o:OLEObject>
        </w:object>
      </w:r>
      <w:r>
        <w:rPr>
          <w:rFonts w:hint="eastAsia" w:ascii="宋体" w:hAnsi="宋体" w:cs="宋体"/>
          <w:szCs w:val="28"/>
          <w:highlight w:val="black"/>
        </w:rPr>
        <w:t>=0.57m/s</w:t>
      </w:r>
    </w:p>
    <w:p w14:paraId="49EF564B">
      <w:pPr>
        <w:snapToGrid w:val="0"/>
        <w:ind w:firstLine="560"/>
        <w:jc w:val="center"/>
        <w:rPr>
          <w:rFonts w:ascii="宋体" w:hAnsi="宋体" w:cs="宋体"/>
          <w:szCs w:val="28"/>
          <w:highlight w:val="black"/>
        </w:rPr>
      </w:pPr>
      <w:r>
        <w:rPr>
          <w:rFonts w:hint="eastAsia" w:ascii="宋体" w:hAnsi="宋体" w:cs="宋体"/>
          <w:position w:val="-24"/>
          <w:szCs w:val="28"/>
          <w:highlight w:val="black"/>
        </w:rPr>
        <w:object>
          <v:shape id="_x0000_i1058" o:spt="75" type="#_x0000_t75" style="height:30.55pt;width:72pt;" o:ole="t" filled="f" o:preferrelative="t" stroked="f" coordsize="21600,21600">
            <v:path/>
            <v:fill on="f" focussize="0,0"/>
            <v:stroke on="f" joinstyle="miter"/>
            <v:imagedata r:id="rId97" o:title=""/>
            <o:lock v:ext="edit" aspectratio="t"/>
            <w10:wrap type="none"/>
            <w10:anchorlock/>
          </v:shape>
          <o:OLEObject Type="Embed" ProgID="Equation.DSMT4" ShapeID="_x0000_i1058" DrawAspect="Content" ObjectID="_1468075757" r:id="rId96">
            <o:LockedField>false</o:LockedField>
          </o:OLEObject>
        </w:object>
      </w:r>
      <w:r>
        <w:rPr>
          <w:rFonts w:hint="eastAsia" w:ascii="宋体" w:hAnsi="宋体" w:cs="宋体"/>
          <w:szCs w:val="28"/>
          <w:highlight w:val="black"/>
        </w:rPr>
        <w:t>=0.062</w:t>
      </w:r>
    </w:p>
    <w:p w14:paraId="7DCE5F59">
      <w:pPr>
        <w:autoSpaceDE w:val="0"/>
        <w:autoSpaceDN w:val="0"/>
        <w:adjustRightInd w:val="0"/>
        <w:snapToGrid w:val="0"/>
        <w:ind w:firstLine="560"/>
        <w:jc w:val="left"/>
        <w:rPr>
          <w:rFonts w:ascii="宋体" w:hAnsi="宋体" w:cs="宋体"/>
          <w:szCs w:val="28"/>
          <w:highlight w:val="black"/>
        </w:rPr>
      </w:pPr>
      <w:r>
        <w:rPr>
          <w:rFonts w:hint="eastAsia" w:ascii="宋体" w:hAnsi="宋体" w:cs="宋体"/>
          <w:szCs w:val="28"/>
          <w:highlight w:val="black"/>
        </w:rPr>
        <w:t>式中：S</w:t>
      </w:r>
      <w:r>
        <w:rPr>
          <w:rFonts w:hint="eastAsia" w:ascii="宋体" w:hAnsi="宋体" w:cs="宋体"/>
          <w:szCs w:val="28"/>
          <w:highlight w:val="black"/>
          <w:vertAlign w:val="subscript"/>
        </w:rPr>
        <w:t>0</w:t>
      </w:r>
      <w:r>
        <w:rPr>
          <w:rFonts w:hint="eastAsia" w:ascii="宋体" w:hAnsi="宋体" w:cs="宋体"/>
          <w:szCs w:val="28"/>
          <w:highlight w:val="black"/>
        </w:rPr>
        <w:t>—水沟有效断面，0.05×0.75＝0.04m</w:t>
      </w:r>
      <w:r>
        <w:rPr>
          <w:rFonts w:hint="eastAsia" w:ascii="宋体" w:hAnsi="宋体" w:cs="宋体"/>
          <w:szCs w:val="28"/>
          <w:highlight w:val="black"/>
          <w:vertAlign w:val="superscript"/>
        </w:rPr>
        <w:t>2</w:t>
      </w:r>
      <w:r>
        <w:rPr>
          <w:rFonts w:hint="eastAsia" w:ascii="宋体" w:hAnsi="宋体" w:cs="宋体"/>
          <w:szCs w:val="28"/>
          <w:highlight w:val="black"/>
        </w:rPr>
        <w:t>；（依据《采矿设计手册》，充满度取0.75）</w:t>
      </w:r>
    </w:p>
    <w:p w14:paraId="712CCCF2">
      <w:pPr>
        <w:autoSpaceDE w:val="0"/>
        <w:autoSpaceDN w:val="0"/>
        <w:adjustRightInd w:val="0"/>
        <w:snapToGrid w:val="0"/>
        <w:ind w:firstLine="1400" w:firstLineChars="500"/>
        <w:jc w:val="left"/>
        <w:rPr>
          <w:rFonts w:ascii="宋体" w:hAnsi="宋体" w:cs="宋体"/>
          <w:szCs w:val="28"/>
          <w:highlight w:val="black"/>
        </w:rPr>
      </w:pPr>
      <w:r>
        <w:rPr>
          <w:rFonts w:hint="eastAsia" w:ascii="宋体" w:hAnsi="宋体" w:cs="宋体"/>
          <w:szCs w:val="28"/>
          <w:highlight w:val="black"/>
        </w:rPr>
        <w:t>P—水沟有效断面湿周长，0.62m。</w:t>
      </w:r>
    </w:p>
    <w:p w14:paraId="5EBF44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560"/>
        <w:jc w:val="left"/>
        <w:rPr>
          <w:rFonts w:ascii="宋体" w:hAnsi="宋体" w:cs="宋体"/>
          <w:kern w:val="0"/>
          <w:szCs w:val="28"/>
          <w:highlight w:val="black"/>
        </w:rPr>
      </w:pPr>
      <w:r>
        <w:rPr>
          <w:rFonts w:hint="eastAsia" w:ascii="宋体" w:hAnsi="宋体" w:cs="宋体"/>
          <w:kern w:val="0"/>
          <w:szCs w:val="28"/>
          <w:highlight w:val="black"/>
        </w:rPr>
        <w:t>计算水沟流量为0.028m</w:t>
      </w:r>
      <w:r>
        <w:rPr>
          <w:rFonts w:hint="eastAsia" w:ascii="宋体" w:hAnsi="宋体" w:cs="宋体"/>
          <w:kern w:val="0"/>
          <w:szCs w:val="28"/>
          <w:highlight w:val="black"/>
          <w:vertAlign w:val="superscript"/>
        </w:rPr>
        <w:t>3</w:t>
      </w:r>
      <w:r>
        <w:rPr>
          <w:rFonts w:hint="eastAsia" w:ascii="宋体" w:hAnsi="宋体" w:cs="宋体"/>
          <w:kern w:val="0"/>
          <w:szCs w:val="28"/>
          <w:highlight w:val="black"/>
        </w:rPr>
        <w:t>/s(102.7m</w:t>
      </w:r>
      <w:r>
        <w:rPr>
          <w:rFonts w:hint="eastAsia" w:ascii="宋体" w:hAnsi="宋体" w:cs="宋体"/>
          <w:kern w:val="0"/>
          <w:szCs w:val="28"/>
          <w:highlight w:val="black"/>
          <w:vertAlign w:val="superscript"/>
        </w:rPr>
        <w:t>3</w:t>
      </w:r>
      <w:r>
        <w:rPr>
          <w:rFonts w:hint="eastAsia" w:ascii="宋体" w:hAnsi="宋体" w:cs="宋体"/>
          <w:kern w:val="0"/>
          <w:szCs w:val="28"/>
          <w:highlight w:val="black"/>
        </w:rPr>
        <w:t>/h)，大于最大涌水量（46.2m</w:t>
      </w:r>
      <w:r>
        <w:rPr>
          <w:rFonts w:hint="eastAsia" w:ascii="宋体" w:hAnsi="宋体" w:cs="宋体"/>
          <w:kern w:val="0"/>
          <w:szCs w:val="28"/>
          <w:highlight w:val="black"/>
          <w:vertAlign w:val="superscript"/>
        </w:rPr>
        <w:t>3</w:t>
      </w:r>
      <w:r>
        <w:rPr>
          <w:rFonts w:hint="eastAsia" w:ascii="宋体" w:hAnsi="宋体" w:cs="宋体"/>
          <w:kern w:val="0"/>
          <w:szCs w:val="28"/>
          <w:highlight w:val="black"/>
        </w:rPr>
        <w:t>/h）的1.2倍，水沟的排水能力可满足排水要求。</w:t>
      </w:r>
    </w:p>
    <w:p w14:paraId="6AA9E0C1">
      <w:pPr>
        <w:pStyle w:val="24"/>
        <w:snapToGrid w:val="0"/>
        <w:ind w:firstLine="560"/>
        <w:rPr>
          <w:rFonts w:ascii="宋体" w:hAnsi="宋体" w:cs="宋体"/>
          <w:szCs w:val="28"/>
          <w:highlight w:val="black"/>
        </w:rPr>
      </w:pPr>
      <w:r>
        <w:rPr>
          <w:rFonts w:hint="eastAsia" w:ascii="宋体" w:hAnsi="宋体" w:cs="宋体"/>
          <w:kern w:val="0"/>
          <w:szCs w:val="28"/>
          <w:highlight w:val="black"/>
        </w:rPr>
        <w:t>计算水流速度为0.57m/s，大于0.5m/s，小于5m/s，满足《采矿设计手册》的规定，满足不冲不淤要求。</w:t>
      </w:r>
    </w:p>
    <w:p w14:paraId="12202AFA">
      <w:pPr>
        <w:adjustRightInd w:val="0"/>
        <w:snapToGrid w:val="0"/>
        <w:ind w:firstLine="560"/>
        <w:rPr>
          <w:rFonts w:ascii="宋体" w:hAnsi="宋体" w:cs="宋体"/>
          <w:szCs w:val="28"/>
          <w:highlight w:val="black"/>
        </w:rPr>
      </w:pPr>
      <w:r>
        <w:rPr>
          <w:rFonts w:hint="eastAsia" w:ascii="宋体" w:hAnsi="宋体" w:cs="宋体"/>
          <w:szCs w:val="28"/>
          <w:highlight w:val="black"/>
        </w:rPr>
        <w:t>设计水沟断面时，应考虑水沟中有一部分沉淀泥砂，这部分断面不能起输水作用，因而在确定水沟断面时，已增加30%左右的断面积。在条件许可的情况下，水沟的坡度越大越有利。同时应考虑水沟每隔200～300m应增设一沉淀窝以助沉淀和清理。</w:t>
      </w:r>
    </w:p>
    <w:p w14:paraId="771D6AA5">
      <w:pPr>
        <w:adjustRightInd w:val="0"/>
        <w:snapToGrid w:val="0"/>
        <w:ind w:firstLine="560"/>
        <w:rPr>
          <w:rFonts w:ascii="宋体" w:hAnsi="宋体" w:cs="宋体"/>
          <w:szCs w:val="28"/>
          <w:highlight w:val="black"/>
        </w:rPr>
      </w:pPr>
      <w:r>
        <w:rPr>
          <w:rFonts w:hint="eastAsia" w:ascii="宋体" w:hAnsi="宋体" w:cs="宋体"/>
          <w:szCs w:val="28"/>
          <w:highlight w:val="black"/>
        </w:rPr>
        <w:t>水泵硐室及配电硐室必须设置排水沟，通至吸水井，坡度1%。</w:t>
      </w:r>
    </w:p>
    <w:p w14:paraId="3E913420">
      <w:pPr>
        <w:adjustRightInd w:val="0"/>
        <w:snapToGrid w:val="0"/>
        <w:ind w:firstLine="560"/>
        <w:rPr>
          <w:rFonts w:ascii="宋体" w:hAnsi="宋体" w:cs="宋体"/>
          <w:szCs w:val="28"/>
          <w:highlight w:val="black"/>
        </w:rPr>
      </w:pPr>
      <w:r>
        <w:rPr>
          <w:rFonts w:hint="eastAsia" w:ascii="宋体" w:hAnsi="宋体" w:cs="宋体"/>
          <w:szCs w:val="28"/>
          <w:highlight w:val="black"/>
        </w:rPr>
        <w:t>水沟及沉淀窝采用人工清理。</w:t>
      </w:r>
    </w:p>
    <w:p w14:paraId="638996F3">
      <w:pPr>
        <w:adjustRightInd w:val="0"/>
        <w:snapToGrid w:val="0"/>
        <w:ind w:firstLine="560"/>
        <w:rPr>
          <w:rFonts w:ascii="宋体" w:hAnsi="宋体" w:cs="宋体"/>
          <w:szCs w:val="28"/>
          <w:highlight w:val="black"/>
          <w:lang w:val="zh-CN"/>
        </w:rPr>
      </w:pPr>
      <w:r>
        <w:rPr>
          <w:rFonts w:hint="eastAsia" w:ascii="宋体" w:hAnsi="宋体" w:cs="宋体"/>
          <w:szCs w:val="28"/>
          <w:highlight w:val="black"/>
          <w:lang w:val="zh-CN"/>
        </w:rPr>
        <w:t>（</w:t>
      </w:r>
      <w:r>
        <w:rPr>
          <w:rFonts w:hint="eastAsia" w:ascii="宋体" w:hAnsi="宋体" w:cs="宋体"/>
          <w:szCs w:val="28"/>
          <w:highlight w:val="black"/>
        </w:rPr>
        <w:t>3</w:t>
      </w:r>
      <w:r>
        <w:rPr>
          <w:rFonts w:hint="eastAsia" w:ascii="宋体" w:hAnsi="宋体" w:cs="宋体"/>
          <w:szCs w:val="28"/>
          <w:highlight w:val="black"/>
          <w:lang w:val="zh-CN"/>
        </w:rPr>
        <w:t>）水仓</w:t>
      </w:r>
    </w:p>
    <w:p w14:paraId="3070D4A0">
      <w:pPr>
        <w:adjustRightInd w:val="0"/>
        <w:snapToGrid w:val="0"/>
        <w:ind w:firstLine="560"/>
        <w:rPr>
          <w:rFonts w:ascii="宋体" w:hAnsi="宋体" w:cs="宋体"/>
          <w:szCs w:val="28"/>
          <w:highlight w:val="black"/>
        </w:rPr>
      </w:pPr>
      <w:r>
        <w:rPr>
          <w:rFonts w:hint="eastAsia" w:ascii="宋体" w:hAnsi="宋体" w:cs="宋体"/>
          <w:szCs w:val="28"/>
          <w:highlight w:val="black"/>
        </w:rPr>
        <w:t>水仓巷道之间间距不小于8m，互不渗、漏水。水仓的坡度采用2～3‰，向吸水井方向上坡，水仓最低点应设在清理斜巷的下部，并应设置集水窝，以便清泥时排除仓内积水，水仓的平曲半径为8～10m，主水仓清理斜巷坡度为10°，副水仓清理斜巷坡度为12°，水仓采用WJD-3型电动铲运机进行清泥作业。</w:t>
      </w:r>
    </w:p>
    <w:p w14:paraId="7399CAA0">
      <w:pPr>
        <w:adjustRightInd w:val="0"/>
        <w:snapToGrid w:val="0"/>
        <w:ind w:firstLine="560"/>
        <w:rPr>
          <w:rFonts w:ascii="宋体" w:hAnsi="宋体" w:cs="宋体"/>
          <w:szCs w:val="28"/>
          <w:highlight w:val="black"/>
          <w:lang w:val="zh-CN"/>
        </w:rPr>
      </w:pPr>
      <w:r>
        <w:rPr>
          <w:rFonts w:hint="eastAsia" w:ascii="宋体" w:hAnsi="宋体" w:cs="宋体"/>
          <w:szCs w:val="28"/>
          <w:highlight w:val="black"/>
          <w:lang w:val="zh-CN"/>
        </w:rPr>
        <w:t>（</w:t>
      </w:r>
      <w:r>
        <w:rPr>
          <w:rFonts w:hint="eastAsia" w:ascii="宋体" w:hAnsi="宋体" w:cs="宋体"/>
          <w:szCs w:val="28"/>
          <w:highlight w:val="black"/>
        </w:rPr>
        <w:t>4</w:t>
      </w:r>
      <w:r>
        <w:rPr>
          <w:rFonts w:hint="eastAsia" w:ascii="宋体" w:hAnsi="宋体" w:cs="宋体"/>
          <w:szCs w:val="28"/>
          <w:highlight w:val="black"/>
          <w:lang w:val="zh-CN"/>
        </w:rPr>
        <w:t>）清仓排泥设施</w:t>
      </w:r>
    </w:p>
    <w:bookmarkEnd w:id="213"/>
    <w:p w14:paraId="6DFF476B">
      <w:pPr>
        <w:adjustRightInd w:val="0"/>
        <w:snapToGrid w:val="0"/>
        <w:ind w:firstLine="560"/>
        <w:rPr>
          <w:rFonts w:ascii="宋体" w:hAnsi="宋体" w:cs="宋体"/>
          <w:szCs w:val="28"/>
          <w:highlight w:val="black"/>
        </w:rPr>
      </w:pPr>
      <w:r>
        <w:rPr>
          <w:rFonts w:hint="eastAsia" w:ascii="宋体" w:hAnsi="宋体" w:cs="宋体"/>
          <w:szCs w:val="28"/>
          <w:highlight w:val="black"/>
        </w:rPr>
        <w:t>水仓采用装岩机进行清理，装矿车后由自卸汽车经斜坡道运至地表。</w:t>
      </w:r>
    </w:p>
    <w:p w14:paraId="7563D844">
      <w:pPr>
        <w:keepNext/>
        <w:keepLines/>
        <w:numPr>
          <w:ilvl w:val="2"/>
          <w:numId w:val="0"/>
        </w:numPr>
        <w:tabs>
          <w:tab w:val="left" w:pos="0"/>
          <w:tab w:val="left" w:pos="284"/>
        </w:tabs>
        <w:snapToGrid w:val="0"/>
        <w:spacing w:line="520" w:lineRule="atLeast"/>
        <w:outlineLvl w:val="2"/>
        <w:rPr>
          <w:sz w:val="26"/>
        </w:rPr>
      </w:pPr>
      <w:r>
        <w:rPr>
          <w:rFonts w:hint="eastAsia" w:ascii="宋体" w:hAnsi="宋体" w:cs="宋体"/>
          <w:b/>
          <w:bCs/>
        </w:rPr>
        <w:t>2.4.9.5探放水</w:t>
      </w:r>
    </w:p>
    <w:p w14:paraId="126CA769">
      <w:pPr>
        <w:ind w:firstLine="560"/>
        <w:rPr>
          <w:highlight w:val="black"/>
        </w:rPr>
      </w:pPr>
      <w:r>
        <w:rPr>
          <w:rFonts w:hint="eastAsia"/>
          <w:highlight w:val="black"/>
        </w:rPr>
        <w:t>本矿山水文地质条件中等，</w:t>
      </w:r>
      <w:r>
        <w:rPr>
          <w:highlight w:val="black"/>
        </w:rPr>
        <w:t>根据《国家矿山安全监察局关于印发</w:t>
      </w:r>
      <w:r>
        <w:rPr>
          <w:rFonts w:hint="eastAsia"/>
          <w:highlight w:val="black"/>
        </w:rPr>
        <w:t>〈</w:t>
      </w:r>
      <w:r>
        <w:rPr>
          <w:highlight w:val="black"/>
        </w:rPr>
        <w:t>关于加强非煤矿山安全生产工作的指导意见</w:t>
      </w:r>
      <w:r>
        <w:rPr>
          <w:rFonts w:hint="eastAsia"/>
          <w:highlight w:val="black"/>
        </w:rPr>
        <w:t>〉</w:t>
      </w:r>
      <w:r>
        <w:rPr>
          <w:highlight w:val="black"/>
        </w:rPr>
        <w:t>的通知》</w:t>
      </w:r>
      <w:r>
        <w:rPr>
          <w:rFonts w:hint="eastAsia"/>
          <w:highlight w:val="black"/>
        </w:rPr>
        <w:t>（</w:t>
      </w:r>
      <w:r>
        <w:rPr>
          <w:highlight w:val="black"/>
        </w:rPr>
        <w:t>矿安〔2022〕4号</w:t>
      </w:r>
      <w:r>
        <w:rPr>
          <w:rFonts w:hint="eastAsia"/>
          <w:highlight w:val="black"/>
        </w:rPr>
        <w:t>）</w:t>
      </w:r>
      <w:r>
        <w:rPr>
          <w:highlight w:val="black"/>
        </w:rPr>
        <w:t>，矿山应当</w:t>
      </w:r>
      <w:r>
        <w:rPr>
          <w:rFonts w:hint="eastAsia"/>
          <w:highlight w:val="black"/>
        </w:rPr>
        <w:t>组成专门的探放水队伍，并购置探放水设备，并完善探放水安全措施</w:t>
      </w:r>
      <w:r>
        <w:rPr>
          <w:highlight w:val="black"/>
        </w:rPr>
        <w:t>，严格执行“预测预报、有疑必探、先探后掘、先治后采”的水害防治要求。探水钻孔超前距离和止水套管长度应当满足《金属非金属地下矿山防治水安全技术规范》</w:t>
      </w:r>
      <w:r>
        <w:rPr>
          <w:rFonts w:hint="eastAsia"/>
          <w:highlight w:val="black"/>
        </w:rPr>
        <w:t>（</w:t>
      </w:r>
      <w:r>
        <w:rPr>
          <w:highlight w:val="black"/>
        </w:rPr>
        <w:t>AQ2061</w:t>
      </w:r>
      <w:r>
        <w:rPr>
          <w:rFonts w:hint="eastAsia"/>
          <w:highlight w:val="black"/>
        </w:rPr>
        <w:t>）</w:t>
      </w:r>
      <w:r>
        <w:rPr>
          <w:highlight w:val="black"/>
        </w:rPr>
        <w:t>相关要求。</w:t>
      </w:r>
    </w:p>
    <w:p w14:paraId="6D5F209D">
      <w:pPr>
        <w:ind w:firstLine="560"/>
        <w:rPr>
          <w:highlight w:val="black"/>
        </w:rPr>
      </w:pPr>
      <w:r>
        <w:rPr>
          <w:rFonts w:hint="eastAsia"/>
          <w:highlight w:val="black"/>
        </w:rPr>
        <w:t>（1）探放水设计</w:t>
      </w:r>
    </w:p>
    <w:p w14:paraId="75730D16">
      <w:pPr>
        <w:ind w:firstLine="560"/>
        <w:rPr>
          <w:highlight w:val="black"/>
        </w:rPr>
      </w:pPr>
      <w:r>
        <w:rPr>
          <w:highlight w:val="black"/>
        </w:rPr>
        <w:t>探放含水层、断层和岩溶溶洞等含水体时，在强含水层及高水压地层中作业采用边探边掘，每次钻孔数量不少于5个，采用深孔与浅孔混合探水时，深孔数不宜少于2个；钻孔直径宜为42mm，最大不宜超过76mm；中心钻孔的方向应与井巷中心线平行，其余钻孔应与井巷中心线成30°～40°夹角；</w:t>
      </w:r>
    </w:p>
    <w:p w14:paraId="59C9EE1E">
      <w:pPr>
        <w:ind w:firstLine="560"/>
        <w:rPr>
          <w:highlight w:val="black"/>
        </w:rPr>
      </w:pPr>
      <w:r>
        <w:rPr>
          <w:rFonts w:hint="eastAsia"/>
          <w:highlight w:val="black"/>
        </w:rPr>
        <w:t>井下</w:t>
      </w:r>
      <w:r>
        <w:rPr>
          <w:highlight w:val="black"/>
        </w:rPr>
        <w:t>掘进巷道时，每掘进一段巷道都必须预先探水，预先打扇形探水孔，分侧上、中、侧下三个方向，钻孔深度在平巷中不小于10m，确定无水灾危害后，方可继续掘进，若发现有涌水现象，则应进行放水、排水处理，放水钻孔安装孔口管和闸阀，紧急情况下可关闭。在处理好积水问题之前，不得进行开采作业。如果水量过大，有可能出现涌水，设立防水闸门和防水墙，在有涌水威胁的区域附近留出隔离矿柱。一旦出现紧急情况，立即发出警报，撤出所有可能受水威胁地点的人员。</w:t>
      </w:r>
    </w:p>
    <w:p w14:paraId="32C0C8BF">
      <w:pPr>
        <w:ind w:firstLine="560"/>
        <w:rPr>
          <w:highlight w:val="black"/>
        </w:rPr>
      </w:pPr>
      <w:r>
        <w:rPr>
          <w:rFonts w:hint="eastAsia"/>
          <w:highlight w:val="black"/>
        </w:rPr>
        <w:t>（2）探水准备工作</w:t>
      </w:r>
    </w:p>
    <w:p w14:paraId="28E204AE">
      <w:pPr>
        <w:ind w:firstLine="560"/>
        <w:rPr>
          <w:highlight w:val="black"/>
        </w:rPr>
      </w:pPr>
      <w:r>
        <w:rPr>
          <w:rFonts w:hint="eastAsia"/>
          <w:highlight w:val="black"/>
        </w:rPr>
        <w:t>1）</w:t>
      </w:r>
      <w:r>
        <w:rPr>
          <w:highlight w:val="black"/>
        </w:rPr>
        <w:t>检查钻孔附近坑道的稳定性；</w:t>
      </w:r>
    </w:p>
    <w:p w14:paraId="01DA5105">
      <w:pPr>
        <w:ind w:firstLine="560"/>
        <w:rPr>
          <w:highlight w:val="black"/>
        </w:rPr>
      </w:pPr>
      <w:r>
        <w:rPr>
          <w:rFonts w:hint="eastAsia"/>
          <w:highlight w:val="black"/>
        </w:rPr>
        <w:t>2）</w:t>
      </w:r>
      <w:r>
        <w:rPr>
          <w:highlight w:val="black"/>
        </w:rPr>
        <w:t>在工作地点或附近安装电话；</w:t>
      </w:r>
    </w:p>
    <w:p w14:paraId="2F62DD12">
      <w:pPr>
        <w:ind w:firstLine="560"/>
        <w:rPr>
          <w:highlight w:val="black"/>
        </w:rPr>
      </w:pPr>
      <w:r>
        <w:rPr>
          <w:rFonts w:hint="eastAsia"/>
          <w:highlight w:val="black"/>
        </w:rPr>
        <w:t>3）</w:t>
      </w:r>
      <w:r>
        <w:rPr>
          <w:highlight w:val="black"/>
        </w:rPr>
        <w:t>巷道及其出口，应有良好照明和畅通的人行道；</w:t>
      </w:r>
    </w:p>
    <w:p w14:paraId="7EC7D47A">
      <w:pPr>
        <w:ind w:firstLine="560"/>
        <w:rPr>
          <w:highlight w:val="black"/>
        </w:rPr>
      </w:pPr>
      <w:r>
        <w:rPr>
          <w:rFonts w:hint="eastAsia"/>
          <w:highlight w:val="black"/>
        </w:rPr>
        <w:t>4）</w:t>
      </w:r>
      <w:r>
        <w:rPr>
          <w:highlight w:val="black"/>
        </w:rPr>
        <w:t>对断面大、岩石不稳、水头高的巷道进行探水，应有经主管矿长批准的安全措施计划。</w:t>
      </w:r>
    </w:p>
    <w:p w14:paraId="532F5477">
      <w:pPr>
        <w:ind w:firstLine="560"/>
        <w:rPr>
          <w:highlight w:val="black"/>
        </w:rPr>
      </w:pPr>
      <w:r>
        <w:rPr>
          <w:rFonts w:hint="eastAsia"/>
          <w:highlight w:val="black"/>
        </w:rPr>
        <w:t>5）</w:t>
      </w:r>
      <w:r>
        <w:rPr>
          <w:highlight w:val="black"/>
        </w:rPr>
        <w:t>在掘进巷工作面安设探水钻，完善钻机供电系统。</w:t>
      </w:r>
    </w:p>
    <w:p w14:paraId="59C834B7">
      <w:pPr>
        <w:ind w:firstLine="560"/>
        <w:rPr>
          <w:highlight w:val="black"/>
        </w:rPr>
      </w:pPr>
      <w:r>
        <w:rPr>
          <w:rFonts w:hint="eastAsia"/>
          <w:highlight w:val="black"/>
        </w:rPr>
        <w:t>6）</w:t>
      </w:r>
      <w:r>
        <w:rPr>
          <w:highlight w:val="black"/>
        </w:rPr>
        <w:t>清理好探放水的排水水仓，检查备用水泵是否完好；清理排水巷道的水沟，检查好排水管路。</w:t>
      </w:r>
    </w:p>
    <w:p w14:paraId="709B485D">
      <w:pPr>
        <w:ind w:firstLine="560"/>
        <w:rPr>
          <w:highlight w:val="black"/>
        </w:rPr>
      </w:pPr>
      <w:r>
        <w:rPr>
          <w:rFonts w:hint="eastAsia"/>
          <w:highlight w:val="black"/>
        </w:rPr>
        <w:t>7）</w:t>
      </w:r>
      <w:r>
        <w:rPr>
          <w:highlight w:val="black"/>
        </w:rPr>
        <w:t>在本掘进巷回风巷口及巷迎头面往后10m的巷道加强支护，在本巷开口点下方增加支护密度和质量。上述巷道严禁存在空帮空顶。</w:t>
      </w:r>
    </w:p>
    <w:p w14:paraId="1034099B">
      <w:pPr>
        <w:ind w:firstLine="560"/>
        <w:rPr>
          <w:highlight w:val="black"/>
        </w:rPr>
      </w:pPr>
      <w:r>
        <w:rPr>
          <w:rFonts w:hint="eastAsia"/>
          <w:highlight w:val="black"/>
        </w:rPr>
        <w:t>（3）</w:t>
      </w:r>
      <w:r>
        <w:rPr>
          <w:highlight w:val="black"/>
        </w:rPr>
        <w:t>探水钻孔布置</w:t>
      </w:r>
    </w:p>
    <w:p w14:paraId="37612F7D">
      <w:pPr>
        <w:ind w:firstLine="560"/>
        <w:rPr>
          <w:highlight w:val="black"/>
        </w:rPr>
      </w:pPr>
      <w:r>
        <w:rPr>
          <w:highlight w:val="black"/>
        </w:rPr>
        <w:t>矿井探</w:t>
      </w:r>
      <w:r>
        <w:rPr>
          <w:rFonts w:hint="eastAsia"/>
          <w:highlight w:val="black"/>
        </w:rPr>
        <w:t>（</w:t>
      </w:r>
      <w:r>
        <w:rPr>
          <w:highlight w:val="black"/>
        </w:rPr>
        <w:t>放</w:t>
      </w:r>
      <w:r>
        <w:rPr>
          <w:rFonts w:hint="eastAsia"/>
          <w:highlight w:val="black"/>
        </w:rPr>
        <w:t>）</w:t>
      </w:r>
      <w:r>
        <w:rPr>
          <w:highlight w:val="black"/>
        </w:rPr>
        <w:t>水时，探水眼布置形式见探水钻孔布置示意图。</w:t>
      </w:r>
    </w:p>
    <w:p w14:paraId="2667A062">
      <w:pPr>
        <w:ind w:firstLine="0" w:firstLineChars="0"/>
      </w:pPr>
      <w:r>
        <w:rPr>
          <w:sz w:val="26"/>
          <w:szCs w:val="26"/>
        </w:rPr>
        <w:drawing>
          <wp:anchor distT="0" distB="0" distL="114300" distR="114300" simplePos="0" relativeHeight="251666432" behindDoc="0" locked="0" layoutInCell="1" allowOverlap="1">
            <wp:simplePos x="0" y="0"/>
            <wp:positionH relativeFrom="column">
              <wp:posOffset>530225</wp:posOffset>
            </wp:positionH>
            <wp:positionV relativeFrom="paragraph">
              <wp:posOffset>4820920</wp:posOffset>
            </wp:positionV>
            <wp:extent cx="4337050" cy="2467610"/>
            <wp:effectExtent l="0" t="0" r="6350" b="1270"/>
            <wp:wrapTopAndBottom/>
            <wp:docPr id="10437345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34530" name="图片 3"/>
                    <pic:cNvPicPr>
                      <a:picLocks noChangeAspect="1" noChangeArrowheads="1"/>
                    </pic:cNvPicPr>
                  </pic:nvPicPr>
                  <pic:blipFill>
                    <a:blip r:embed="rId98">
                      <a:extLst>
                        <a:ext uri="{28A0092B-C50C-407E-A947-70E740481C1C}">
                          <a14:useLocalDpi xmlns:a14="http://schemas.microsoft.com/office/drawing/2010/main" val="0"/>
                        </a:ext>
                      </a:extLst>
                    </a:blip>
                    <a:srcRect t="3666" b="2988"/>
                    <a:stretch>
                      <a:fillRect/>
                    </a:stretch>
                  </pic:blipFill>
                  <pic:spPr>
                    <a:xfrm>
                      <a:off x="0" y="0"/>
                      <a:ext cx="4337050" cy="2467610"/>
                    </a:xfrm>
                    <a:prstGeom prst="rect">
                      <a:avLst/>
                    </a:prstGeom>
                    <a:noFill/>
                    <a:ln>
                      <a:noFill/>
                    </a:ln>
                  </pic:spPr>
                </pic:pic>
              </a:graphicData>
            </a:graphic>
          </wp:anchor>
        </w:drawing>
      </w:r>
      <w:r>
        <w:rPr>
          <w:sz w:val="26"/>
          <w:szCs w:val="26"/>
        </w:rPr>
        <w:drawing>
          <wp:anchor distT="0" distB="0" distL="114300" distR="114300" simplePos="0" relativeHeight="251665408" behindDoc="0" locked="0" layoutInCell="1" allowOverlap="1">
            <wp:simplePos x="0" y="0"/>
            <wp:positionH relativeFrom="column">
              <wp:posOffset>448310</wp:posOffset>
            </wp:positionH>
            <wp:positionV relativeFrom="paragraph">
              <wp:posOffset>1889125</wp:posOffset>
            </wp:positionV>
            <wp:extent cx="4418330" cy="2590800"/>
            <wp:effectExtent l="0" t="0" r="1270" b="0"/>
            <wp:wrapTopAndBottom/>
            <wp:docPr id="5575286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28680" name="图片 2"/>
                    <pic:cNvPicPr>
                      <a:picLocks noChangeAspect="1" noChangeArrowheads="1"/>
                    </pic:cNvPicPr>
                  </pic:nvPicPr>
                  <pic:blipFill>
                    <a:blip r:embed="rId99">
                      <a:extLst>
                        <a:ext uri="{28A0092B-C50C-407E-A947-70E740481C1C}">
                          <a14:useLocalDpi xmlns:a14="http://schemas.microsoft.com/office/drawing/2010/main" val="0"/>
                        </a:ext>
                      </a:extLst>
                    </a:blip>
                    <a:srcRect t="4644" b="4680"/>
                    <a:stretch>
                      <a:fillRect/>
                    </a:stretch>
                  </pic:blipFill>
                  <pic:spPr>
                    <a:xfrm>
                      <a:off x="0" y="0"/>
                      <a:ext cx="4418330" cy="2590800"/>
                    </a:xfrm>
                    <a:prstGeom prst="rect">
                      <a:avLst/>
                    </a:prstGeom>
                    <a:noFill/>
                    <a:ln>
                      <a:noFill/>
                    </a:ln>
                  </pic:spPr>
                </pic:pic>
              </a:graphicData>
            </a:graphic>
          </wp:anchor>
        </w:drawing>
      </w:r>
      <w:r>
        <w:rPr>
          <w:sz w:val="26"/>
          <w:szCs w:val="26"/>
        </w:rPr>
        <w:drawing>
          <wp:anchor distT="0" distB="0" distL="114300" distR="114300" simplePos="0" relativeHeight="251664384" behindDoc="0" locked="0" layoutInCell="1" allowOverlap="1">
            <wp:simplePos x="0" y="0"/>
            <wp:positionH relativeFrom="column">
              <wp:posOffset>1250950</wp:posOffset>
            </wp:positionH>
            <wp:positionV relativeFrom="paragraph">
              <wp:posOffset>-29210</wp:posOffset>
            </wp:positionV>
            <wp:extent cx="2475865" cy="2088515"/>
            <wp:effectExtent l="0" t="0" r="8255" b="14605"/>
            <wp:wrapTopAndBottom/>
            <wp:docPr id="634872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72045"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475865" cy="2088515"/>
                    </a:xfrm>
                    <a:prstGeom prst="rect">
                      <a:avLst/>
                    </a:prstGeom>
                    <a:noFill/>
                  </pic:spPr>
                </pic:pic>
              </a:graphicData>
            </a:graphic>
          </wp:anchor>
        </w:drawing>
      </w:r>
    </w:p>
    <w:p w14:paraId="70809E80">
      <w:pPr>
        <w:ind w:firstLine="560"/>
        <w:rPr>
          <w:rFonts w:ascii="宋体" w:hAnsi="宋体" w:cs="宋体"/>
          <w:highlight w:val="black"/>
        </w:rPr>
      </w:pPr>
      <w:r>
        <w:rPr>
          <w:rFonts w:hint="eastAsia" w:ascii="宋体" w:hAnsi="宋体" w:cs="宋体"/>
          <w:highlight w:val="black"/>
        </w:rPr>
        <w:t>探放水队伍</w:t>
      </w:r>
    </w:p>
    <w:p w14:paraId="114D789B">
      <w:pPr>
        <w:ind w:firstLine="560"/>
        <w:rPr>
          <w:rFonts w:ascii="宋体" w:hAnsi="宋体" w:cs="宋体"/>
          <w:highlight w:val="black"/>
        </w:rPr>
      </w:pPr>
      <w:r>
        <w:rPr>
          <w:rFonts w:hint="eastAsia" w:ascii="宋体" w:hAnsi="宋体" w:cs="宋体"/>
          <w:highlight w:val="black"/>
        </w:rPr>
        <w:t>1）人员配备：班长1名，安全员1名，专业技术员1名，探钻人员2名。</w:t>
      </w:r>
    </w:p>
    <w:p w14:paraId="64189F8F">
      <w:pPr>
        <w:ind w:firstLine="560"/>
        <w:rPr>
          <w:highlight w:val="black"/>
        </w:rPr>
      </w:pPr>
      <w:r>
        <w:rPr>
          <w:rFonts w:hint="eastAsia"/>
          <w:highlight w:val="black"/>
        </w:rPr>
        <w:t>2）监管人1名（跟班矿长）。</w:t>
      </w:r>
    </w:p>
    <w:p w14:paraId="1FAE1535">
      <w:pPr>
        <w:ind w:firstLine="560"/>
        <w:rPr>
          <w:highlight w:val="black"/>
        </w:rPr>
      </w:pPr>
      <w:r>
        <w:rPr>
          <w:rFonts w:hint="eastAsia"/>
          <w:highlight w:val="black"/>
        </w:rPr>
        <w:t>（5）探放水设备</w:t>
      </w:r>
    </w:p>
    <w:p w14:paraId="74704713">
      <w:pPr>
        <w:ind w:firstLine="560"/>
        <w:rPr>
          <w:highlight w:val="black"/>
        </w:rPr>
      </w:pPr>
      <w:r>
        <w:rPr>
          <w:highlight w:val="black"/>
        </w:rPr>
        <w:t>井下探水设备选用ZLJ-700型探水钻机1台，配备金刚石复合片</w:t>
      </w:r>
      <w:r>
        <w:rPr>
          <w:rFonts w:hint="eastAsia"/>
          <w:highlight w:val="black"/>
        </w:rPr>
        <w:t>（</w:t>
      </w:r>
      <w:r>
        <w:rPr>
          <w:highlight w:val="black"/>
        </w:rPr>
        <w:t>PDC</w:t>
      </w:r>
      <w:r>
        <w:rPr>
          <w:rFonts w:hint="eastAsia"/>
          <w:highlight w:val="black"/>
        </w:rPr>
        <w:t>）</w:t>
      </w:r>
      <w:r>
        <w:rPr>
          <w:highlight w:val="black"/>
        </w:rPr>
        <w:t>钻头。</w:t>
      </w:r>
    </w:p>
    <w:p w14:paraId="1263A648">
      <w:pPr>
        <w:ind w:firstLine="560"/>
        <w:rPr>
          <w:highlight w:val="black"/>
        </w:rPr>
      </w:pPr>
      <w:r>
        <w:rPr>
          <w:highlight w:val="black"/>
        </w:rPr>
        <w:t>其主要技术参数：</w:t>
      </w:r>
    </w:p>
    <w:p w14:paraId="13EECDBC">
      <w:pPr>
        <w:ind w:firstLine="560"/>
        <w:rPr>
          <w:highlight w:val="black"/>
        </w:rPr>
      </w:pPr>
      <w:r>
        <w:rPr>
          <w:highlight w:val="black"/>
        </w:rPr>
        <w:t>钻孔深度</w:t>
      </w:r>
      <w:r>
        <w:rPr>
          <w:rFonts w:hint="eastAsia"/>
          <w:highlight w:val="black"/>
        </w:rPr>
        <w:t>（</w:t>
      </w:r>
      <w:r>
        <w:rPr>
          <w:highlight w:val="black"/>
        </w:rPr>
        <w:t>m</w:t>
      </w:r>
      <w:r>
        <w:rPr>
          <w:rFonts w:hint="eastAsia"/>
          <w:highlight w:val="black"/>
        </w:rPr>
        <w:t>）</w:t>
      </w:r>
      <w:r>
        <w:rPr>
          <w:highlight w:val="black"/>
        </w:rPr>
        <w:t>：200/250；</w:t>
      </w:r>
    </w:p>
    <w:p w14:paraId="4B5753E7">
      <w:pPr>
        <w:ind w:firstLine="560"/>
        <w:rPr>
          <w:highlight w:val="black"/>
        </w:rPr>
      </w:pPr>
      <w:r>
        <w:rPr>
          <w:highlight w:val="black"/>
        </w:rPr>
        <w:t>钻杆直径</w:t>
      </w:r>
      <w:r>
        <w:rPr>
          <w:rFonts w:hint="eastAsia"/>
          <w:highlight w:val="black"/>
        </w:rPr>
        <w:t>（</w:t>
      </w:r>
      <w:r>
        <w:rPr>
          <w:highlight w:val="black"/>
        </w:rPr>
        <w:t>mm</w:t>
      </w:r>
      <w:r>
        <w:rPr>
          <w:rFonts w:hint="eastAsia"/>
          <w:highlight w:val="black"/>
        </w:rPr>
        <w:t>）</w:t>
      </w:r>
      <w:r>
        <w:rPr>
          <w:highlight w:val="black"/>
        </w:rPr>
        <w:t>：</w:t>
      </w:r>
      <w:r>
        <w:rPr>
          <w:rFonts w:hint="eastAsia"/>
          <w:highlight w:val="black"/>
        </w:rPr>
        <w:t>42</w:t>
      </w:r>
      <w:r>
        <w:rPr>
          <w:highlight w:val="black"/>
        </w:rPr>
        <w:t>；</w:t>
      </w:r>
    </w:p>
    <w:p w14:paraId="703A9E01">
      <w:pPr>
        <w:ind w:firstLine="560"/>
        <w:rPr>
          <w:highlight w:val="black"/>
        </w:rPr>
      </w:pPr>
      <w:r>
        <w:rPr>
          <w:rFonts w:hint="eastAsia"/>
          <w:highlight w:val="black"/>
        </w:rPr>
        <w:t>钻头直径（mm）：50；</w:t>
      </w:r>
    </w:p>
    <w:p w14:paraId="13CC8B72">
      <w:pPr>
        <w:ind w:firstLine="560"/>
        <w:rPr>
          <w:highlight w:val="black"/>
        </w:rPr>
      </w:pPr>
      <w:r>
        <w:rPr>
          <w:rFonts w:hint="eastAsia"/>
          <w:highlight w:val="black"/>
        </w:rPr>
        <w:t>钻孔直径（mm）：56；</w:t>
      </w:r>
    </w:p>
    <w:p w14:paraId="290E4A4A">
      <w:pPr>
        <w:ind w:firstLine="560"/>
        <w:rPr>
          <w:highlight w:val="black"/>
        </w:rPr>
      </w:pPr>
      <w:r>
        <w:rPr>
          <w:highlight w:val="black"/>
        </w:rPr>
        <w:t>钻孔倾角</w:t>
      </w:r>
      <w:r>
        <w:rPr>
          <w:rFonts w:hint="eastAsia"/>
          <w:highlight w:val="black"/>
        </w:rPr>
        <w:t>（</w:t>
      </w:r>
      <w:r>
        <w:rPr>
          <w:highlight w:val="black"/>
        </w:rPr>
        <w:t>度</w:t>
      </w:r>
      <w:r>
        <w:rPr>
          <w:rFonts w:hint="eastAsia"/>
          <w:highlight w:val="black"/>
        </w:rPr>
        <w:t>）</w:t>
      </w:r>
      <w:r>
        <w:rPr>
          <w:highlight w:val="black"/>
        </w:rPr>
        <w:t>：0～360；</w:t>
      </w:r>
    </w:p>
    <w:p w14:paraId="2444C35D">
      <w:pPr>
        <w:ind w:firstLine="560"/>
        <w:rPr>
          <w:highlight w:val="black"/>
        </w:rPr>
      </w:pPr>
      <w:r>
        <w:rPr>
          <w:highlight w:val="black"/>
        </w:rPr>
        <w:t>功率</w:t>
      </w:r>
      <w:r>
        <w:rPr>
          <w:rFonts w:hint="eastAsia"/>
          <w:highlight w:val="black"/>
        </w:rPr>
        <w:t>（</w:t>
      </w:r>
      <w:r>
        <w:rPr>
          <w:highlight w:val="black"/>
        </w:rPr>
        <w:t>kW</w:t>
      </w:r>
      <w:r>
        <w:rPr>
          <w:rFonts w:hint="eastAsia"/>
          <w:highlight w:val="black"/>
        </w:rPr>
        <w:t>）</w:t>
      </w:r>
      <w:r>
        <w:rPr>
          <w:highlight w:val="black"/>
        </w:rPr>
        <w:t>：11。</w:t>
      </w:r>
    </w:p>
    <w:p w14:paraId="7D078F63">
      <w:pPr>
        <w:ind w:firstLine="560"/>
        <w:rPr>
          <w:highlight w:val="black"/>
        </w:rPr>
      </w:pPr>
      <w:r>
        <w:rPr>
          <w:rFonts w:hint="eastAsia"/>
          <w:highlight w:val="black"/>
        </w:rPr>
        <w:t>探水钻日常不用时自行至地表检修间内停靠并检修，日常维护包括：定期对钻机的关键部件进行检查，</w:t>
      </w:r>
      <w:r>
        <w:rPr>
          <w:highlight w:val="black"/>
        </w:rPr>
        <w:t>‌</w:t>
      </w:r>
      <w:r>
        <w:rPr>
          <w:rFonts w:hint="eastAsia"/>
          <w:highlight w:val="black"/>
        </w:rPr>
        <w:t>确保其工作状态良好；定期清洁钻机外表面，防止灰尘或杂物影响工作效率；对钻井设备内部进行清洁保养，</w:t>
      </w:r>
      <w:r>
        <w:rPr>
          <w:highlight w:val="black"/>
        </w:rPr>
        <w:t>‌</w:t>
      </w:r>
      <w:r>
        <w:rPr>
          <w:rFonts w:hint="eastAsia"/>
          <w:highlight w:val="black"/>
        </w:rPr>
        <w:t>包括液压系统、冷却系统等</w:t>
      </w:r>
      <w:r>
        <w:rPr>
          <w:highlight w:val="black"/>
        </w:rPr>
        <w:t>。</w:t>
      </w:r>
    </w:p>
    <w:p w14:paraId="2614C98B">
      <w:pPr>
        <w:pStyle w:val="7"/>
        <w:numPr>
          <w:ilvl w:val="0"/>
          <w:numId w:val="6"/>
        </w:numPr>
        <w:ind w:firstLine="560"/>
        <w:rPr>
          <w:highlight w:val="black"/>
        </w:rPr>
      </w:pPr>
      <w:r>
        <w:rPr>
          <w:rFonts w:hint="eastAsia"/>
          <w:highlight w:val="black"/>
        </w:rPr>
        <w:t>探放水注意事项</w:t>
      </w:r>
    </w:p>
    <w:p w14:paraId="0684A7A6">
      <w:pPr>
        <w:ind w:firstLine="560"/>
        <w:rPr>
          <w:rFonts w:ascii="宋体" w:hAnsi="宋体" w:cs="宋体"/>
          <w:highlight w:val="black"/>
        </w:rPr>
      </w:pPr>
      <w:r>
        <w:rPr>
          <w:rFonts w:hint="eastAsia" w:ascii="宋体" w:hAnsi="宋体" w:cs="宋体"/>
          <w:highlight w:val="black"/>
        </w:rPr>
        <w:t>1）掘进工作面或其他地点发现透水预兆时，如工作面“出汗”、顶板淋水加大、空气变冷、产生雾气、挂红、水叫、底板涌水或其他异常现象，必须立即停止工作，并报告主管矿长，采取措施。如果情况紧急，必须立即发出警报，撤出所有可能受水威胁地点的人员。确认无透水危险后方可继续掘进。</w:t>
      </w:r>
    </w:p>
    <w:p w14:paraId="2A205017">
      <w:pPr>
        <w:ind w:firstLine="560"/>
        <w:rPr>
          <w:rFonts w:ascii="宋体" w:hAnsi="宋体" w:cs="宋体"/>
          <w:highlight w:val="black"/>
        </w:rPr>
      </w:pPr>
      <w:r>
        <w:rPr>
          <w:rFonts w:hint="eastAsia" w:ascii="宋体" w:hAnsi="宋体" w:cs="宋体"/>
          <w:highlight w:val="black"/>
        </w:rPr>
        <w:t>2）安装钻机探水前，要遵守下列规定：</w:t>
      </w:r>
    </w:p>
    <w:p w14:paraId="34AD5274">
      <w:pPr>
        <w:ind w:firstLine="560"/>
        <w:rPr>
          <w:rFonts w:ascii="宋体" w:hAnsi="宋体" w:cs="宋体"/>
          <w:highlight w:val="black"/>
        </w:rPr>
      </w:pPr>
      <w:r>
        <w:rPr>
          <w:rFonts w:hint="eastAsia" w:ascii="宋体" w:hAnsi="宋体" w:cs="宋体"/>
          <w:highlight w:val="black"/>
        </w:rPr>
        <w:t>①加强钻场附近的支护，并在工作面迎头打好坚固的立柱和栏板。</w:t>
      </w:r>
    </w:p>
    <w:p w14:paraId="78410CA5">
      <w:pPr>
        <w:ind w:firstLine="560"/>
        <w:rPr>
          <w:rFonts w:ascii="宋体" w:hAnsi="宋体" w:cs="宋体"/>
          <w:highlight w:val="black"/>
        </w:rPr>
      </w:pPr>
      <w:r>
        <w:rPr>
          <w:rFonts w:hint="eastAsia" w:ascii="宋体" w:hAnsi="宋体" w:cs="宋体"/>
          <w:highlight w:val="black"/>
        </w:rPr>
        <w:t>②清理巷道、挖好排水沟。探水钻孔位于巷道低洼处时，必须配备与探放水量相适应的水泵。</w:t>
      </w:r>
    </w:p>
    <w:p w14:paraId="728F1458">
      <w:pPr>
        <w:ind w:firstLine="560"/>
        <w:rPr>
          <w:rFonts w:ascii="宋体" w:hAnsi="宋体" w:cs="宋体"/>
          <w:highlight w:val="black"/>
        </w:rPr>
      </w:pPr>
      <w:r>
        <w:rPr>
          <w:rFonts w:hint="eastAsia" w:ascii="宋体" w:hAnsi="宋体" w:cs="宋体"/>
          <w:highlight w:val="black"/>
        </w:rPr>
        <w:t>③在打钻孔地点或附近安设专业电话。</w:t>
      </w:r>
    </w:p>
    <w:p w14:paraId="760C5E4A">
      <w:pPr>
        <w:ind w:firstLine="560"/>
        <w:rPr>
          <w:rFonts w:ascii="宋体" w:hAnsi="宋体" w:cs="宋体"/>
          <w:highlight w:val="black"/>
        </w:rPr>
      </w:pPr>
      <w:r>
        <w:rPr>
          <w:rFonts w:hint="eastAsia" w:ascii="宋体" w:hAnsi="宋体" w:cs="宋体"/>
          <w:highlight w:val="black"/>
        </w:rPr>
        <w:t>④测量和防探水人员必须亲临现场，依据设计和实际情况，确定主要探水孔位置、方位、角度、深度以及钻孔数目。</w:t>
      </w:r>
    </w:p>
    <w:p w14:paraId="538A337E">
      <w:pPr>
        <w:ind w:firstLine="560"/>
        <w:rPr>
          <w:rFonts w:ascii="宋体" w:hAnsi="宋体" w:cs="宋体"/>
          <w:highlight w:val="black"/>
        </w:rPr>
      </w:pPr>
      <w:r>
        <w:rPr>
          <w:rFonts w:hint="eastAsia" w:ascii="宋体" w:hAnsi="宋体" w:cs="宋体"/>
          <w:highlight w:val="black"/>
        </w:rPr>
        <w:t>⑤探水钻进前，必须先安装孔口管、三通、闸门、水压表等，采取防止孔口管和岩壁突然鼓出的措施，并用1.2倍静水压力进行压水试验，合格后方可钻孔探水。当钻孔内水压过大时，尚应采用反压和防喷装置钻进。必须设有躲避场所，并规定好避灾路线。</w:t>
      </w:r>
    </w:p>
    <w:p w14:paraId="77E6574A">
      <w:pPr>
        <w:ind w:firstLine="560"/>
        <w:rPr>
          <w:rFonts w:ascii="宋体" w:hAnsi="宋体" w:cs="宋体"/>
          <w:highlight w:val="black"/>
        </w:rPr>
      </w:pPr>
      <w:r>
        <w:rPr>
          <w:rFonts w:hint="eastAsia" w:ascii="宋体" w:hAnsi="宋体" w:cs="宋体"/>
          <w:highlight w:val="black"/>
        </w:rPr>
        <w:t>⑥钻孔放水前，必须估计积水量，根据矿井排水能力和水仓容量，控制放水流量；放水时，必须设专人监测钻孔出水情况，测定水量、水压，做好记录。若水量突然变化，必须及时处理，并立即报告矿调度室。</w:t>
      </w:r>
    </w:p>
    <w:p w14:paraId="5AAFAF03">
      <w:pPr>
        <w:ind w:firstLine="560"/>
        <w:rPr>
          <w:rFonts w:ascii="宋体" w:hAnsi="宋体" w:cs="宋体"/>
          <w:highlight w:val="black"/>
        </w:rPr>
      </w:pPr>
      <w:r>
        <w:rPr>
          <w:rFonts w:hint="eastAsia" w:ascii="宋体" w:hAnsi="宋体" w:cs="宋体"/>
          <w:highlight w:val="black"/>
        </w:rPr>
        <w:t>⑦钻进时，发现矿岩松软、片帮，来压或钻孔中的水压、水量突然最大，以及有顶钻等异常状况时，必须停止钻进，但不得拔出钻杆，现场负责人应立即向调度室报告，并派专人监测水情。如果发现情况危急时，必须立即撤出所有受水害威胁的人员，然后采取措施进行处理。</w:t>
      </w:r>
    </w:p>
    <w:p w14:paraId="20D9ED1E">
      <w:pPr>
        <w:ind w:firstLine="560"/>
        <w:rPr>
          <w:rFonts w:ascii="宋体" w:hAnsi="宋体" w:cs="宋体"/>
          <w:highlight w:val="black"/>
        </w:rPr>
      </w:pPr>
      <w:r>
        <w:rPr>
          <w:rFonts w:hint="eastAsia" w:ascii="宋体" w:hAnsi="宋体" w:cs="宋体"/>
          <w:highlight w:val="black"/>
        </w:rPr>
        <w:t>⑧钻孔水压过大时，采用反压和有防喷装置的方法钻进，并有防止孔口管和矿（岩）壁突然鼓出的措施。</w:t>
      </w:r>
    </w:p>
    <w:p w14:paraId="636A685F">
      <w:pPr>
        <w:pStyle w:val="4"/>
        <w:ind w:firstLine="0" w:firstLineChars="0"/>
      </w:pPr>
      <w:r>
        <w:t>2.4.1</w:t>
      </w:r>
      <w:r>
        <w:rPr>
          <w:rFonts w:hint="eastAsia"/>
        </w:rPr>
        <w:t>0 废石场</w:t>
      </w:r>
    </w:p>
    <w:p w14:paraId="0432E180">
      <w:pPr>
        <w:ind w:firstLine="560"/>
        <w:rPr>
          <w:rFonts w:ascii="宋体" w:hAnsi="宋体" w:cs="宋体"/>
          <w:highlight w:val="black"/>
        </w:rPr>
      </w:pPr>
      <w:r>
        <w:rPr>
          <w:rFonts w:hint="eastAsia" w:ascii="宋体" w:hAnsi="宋体" w:cs="宋体"/>
          <w:highlight w:val="black"/>
        </w:rPr>
        <w:t>本矿山废石主要是基建期以及回采期掘进废石，其中基建期废石可以回填至早期地表采坑内或者用于修筑运输道路，而回采期废石可纳入当地政府公共资源交易平台外售，故本次设计不再建设排土场，但是为了防止废石运出后不能及时售出影响生产，在矿区外东南侧新建一个小规模的临时废石堆场作为废石中转场地，该地段已经由采矿权人取得用地许可，且其周边尤其是下游100m范围内无任何构筑物，仅有本公司早期施工的探矿道路，本次可以作为废石运输道路使用。</w:t>
      </w:r>
    </w:p>
    <w:p w14:paraId="2F01AEF0">
      <w:pPr>
        <w:ind w:firstLine="560"/>
        <w:rPr>
          <w:rFonts w:ascii="宋体" w:hAnsi="宋体" w:cs="宋体"/>
          <w:highlight w:val="black"/>
        </w:rPr>
      </w:pPr>
      <w:r>
        <w:rPr>
          <w:rFonts w:hint="eastAsia" w:ascii="宋体" w:hAnsi="宋体" w:cs="宋体"/>
          <w:highlight w:val="black"/>
        </w:rPr>
        <w:t>但是废石回填至采空区内，按照实际测算，采空区完全可以承载所有掘进废石，故基本上无多余废石产出，地表不设置排土场。</w:t>
      </w:r>
    </w:p>
    <w:p w14:paraId="6EA0F2F1">
      <w:pPr>
        <w:ind w:firstLine="560"/>
        <w:rPr>
          <w:rFonts w:ascii="宋体" w:hAnsi="宋体" w:cs="宋体"/>
          <w:highlight w:val="black"/>
          <w:lang w:val="en-GB"/>
        </w:rPr>
      </w:pPr>
      <w:r>
        <w:rPr>
          <w:rFonts w:hint="eastAsia" w:ascii="宋体" w:hAnsi="宋体" w:cs="宋体"/>
          <w:highlight w:val="black"/>
          <w:lang w:val="en-GB"/>
        </w:rPr>
        <w:t>拟选排土场场址坡度为9.5°，未超过1:5(11.3°)，根据《金属非金属矿山排土场安全规则》(AQ2005-2005)，所选区域适合</w:t>
      </w:r>
      <w:r>
        <w:rPr>
          <w:rFonts w:hint="eastAsia"/>
          <w:highlight w:val="black"/>
        </w:rPr>
        <w:t>临时废石堆场</w:t>
      </w:r>
      <w:r>
        <w:rPr>
          <w:rFonts w:hint="eastAsia" w:ascii="宋体" w:hAnsi="宋体" w:cs="宋体"/>
          <w:highlight w:val="black"/>
          <w:lang w:val="en-GB"/>
        </w:rPr>
        <w:t>的建设，但是地表第四系及植被应提前全部清除。</w:t>
      </w:r>
    </w:p>
    <w:p w14:paraId="2F950BE0">
      <w:pPr>
        <w:ind w:firstLine="560"/>
        <w:rPr>
          <w:rFonts w:ascii="宋体" w:hAnsi="宋体" w:cs="宋体"/>
          <w:highlight w:val="black"/>
          <w:lang w:val="en-GB"/>
        </w:rPr>
      </w:pPr>
      <w:r>
        <w:rPr>
          <w:rFonts w:hint="eastAsia" w:ascii="宋体" w:hAnsi="宋体" w:cs="宋体"/>
          <w:highlight w:val="black"/>
        </w:rPr>
        <w:t xml:space="preserve">（1） </w:t>
      </w:r>
      <w:r>
        <w:rPr>
          <w:rFonts w:hint="eastAsia" w:ascii="宋体" w:hAnsi="宋体" w:cs="宋体"/>
          <w:highlight w:val="black"/>
          <w:lang w:val="en-GB"/>
        </w:rPr>
        <w:t>临时废石堆场容积</w:t>
      </w:r>
    </w:p>
    <w:p w14:paraId="03F561D3">
      <w:pPr>
        <w:ind w:firstLine="560"/>
        <w:rPr>
          <w:rFonts w:ascii="宋体" w:hAnsi="宋体" w:cs="宋体"/>
          <w:highlight w:val="black"/>
        </w:rPr>
      </w:pPr>
      <w:r>
        <w:rPr>
          <w:rFonts w:hint="eastAsia" w:ascii="宋体" w:hAnsi="宋体" w:cs="宋体"/>
          <w:highlight w:val="black"/>
          <w:lang w:val="en-GB"/>
        </w:rPr>
        <w:t>根据临时废石堆场的设计目的，临时废石堆场应能容纳</w:t>
      </w:r>
      <w:r>
        <w:rPr>
          <w:rFonts w:hint="eastAsia" w:ascii="宋体" w:hAnsi="宋体" w:cs="宋体"/>
          <w:highlight w:val="black"/>
        </w:rPr>
        <w:t>一年</w:t>
      </w:r>
      <w:r>
        <w:rPr>
          <w:rFonts w:hint="eastAsia" w:ascii="宋体" w:hAnsi="宋体" w:cs="宋体"/>
          <w:highlight w:val="black"/>
          <w:lang w:val="en-GB"/>
        </w:rPr>
        <w:t>废石的废石量，约</w:t>
      </w:r>
      <w:r>
        <w:rPr>
          <w:rFonts w:hint="eastAsia" w:ascii="宋体" w:hAnsi="宋体" w:cs="宋体"/>
          <w:highlight w:val="black"/>
        </w:rPr>
        <w:t>8.6</w:t>
      </w:r>
      <w:r>
        <w:rPr>
          <w:rFonts w:hint="eastAsia" w:ascii="宋体" w:hAnsi="宋体" w:cs="宋体"/>
          <w:highlight w:val="black"/>
          <w:lang w:val="en-GB"/>
        </w:rPr>
        <w:t>万m</w:t>
      </w:r>
      <w:r>
        <w:rPr>
          <w:rFonts w:hint="eastAsia" w:ascii="宋体" w:hAnsi="宋体" w:cs="宋体"/>
          <w:highlight w:val="black"/>
          <w:vertAlign w:val="superscript"/>
          <w:lang w:val="en-GB"/>
        </w:rPr>
        <w:t>3</w:t>
      </w:r>
      <w:r>
        <w:rPr>
          <w:rFonts w:hint="eastAsia" w:ascii="宋体" w:hAnsi="宋体" w:cs="宋体"/>
          <w:highlight w:val="black"/>
          <w:lang w:val="en-GB"/>
        </w:rPr>
        <w:t>，占地面积约</w:t>
      </w:r>
      <w:r>
        <w:rPr>
          <w:rFonts w:hint="eastAsia" w:ascii="宋体" w:hAnsi="宋体" w:cs="宋体"/>
          <w:highlight w:val="black"/>
        </w:rPr>
        <w:t>1.7</w:t>
      </w:r>
      <w:r>
        <w:rPr>
          <w:rFonts w:hint="eastAsia" w:ascii="宋体" w:hAnsi="宋体" w:cs="宋体"/>
          <w:highlight w:val="black"/>
          <w:lang w:val="en-GB"/>
        </w:rPr>
        <w:t>万m</w:t>
      </w:r>
      <w:r>
        <w:rPr>
          <w:rFonts w:hint="eastAsia" w:ascii="宋体" w:hAnsi="宋体" w:cs="宋体"/>
          <w:highlight w:val="black"/>
          <w:vertAlign w:val="superscript"/>
          <w:lang w:val="en-GB"/>
        </w:rPr>
        <w:t>2</w:t>
      </w:r>
      <w:r>
        <w:rPr>
          <w:rFonts w:hint="eastAsia" w:ascii="宋体" w:hAnsi="宋体" w:cs="宋体"/>
          <w:highlight w:val="black"/>
          <w:lang w:val="en-GB"/>
        </w:rPr>
        <w:t>，采用</w:t>
      </w:r>
      <w:r>
        <w:rPr>
          <w:rFonts w:hint="eastAsia" w:ascii="宋体" w:hAnsi="宋体" w:cs="宋体"/>
          <w:highlight w:val="black"/>
        </w:rPr>
        <w:t>单</w:t>
      </w:r>
      <w:r>
        <w:rPr>
          <w:rFonts w:hint="eastAsia" w:ascii="宋体" w:hAnsi="宋体" w:cs="宋体"/>
          <w:highlight w:val="black"/>
          <w:lang w:val="en-GB"/>
        </w:rPr>
        <w:t>台阶堆置，最大堆置高度</w:t>
      </w:r>
      <w:r>
        <w:rPr>
          <w:rFonts w:hint="eastAsia" w:ascii="宋体" w:hAnsi="宋体" w:cs="宋体"/>
          <w:highlight w:val="black"/>
        </w:rPr>
        <w:t>15</w:t>
      </w:r>
      <w:r>
        <w:rPr>
          <w:rFonts w:hint="eastAsia" w:ascii="宋体" w:hAnsi="宋体" w:cs="宋体"/>
          <w:highlight w:val="black"/>
          <w:lang w:val="en-GB"/>
        </w:rPr>
        <w:t>m，边坡角为碎石自然安息角38°；临时废石堆场外围设置挡车墙以及排水沟。严禁造成临时废石堆场超储。</w:t>
      </w:r>
    </w:p>
    <w:p w14:paraId="77B6A022">
      <w:pPr>
        <w:ind w:firstLine="560"/>
        <w:rPr>
          <w:rFonts w:ascii="宋体" w:hAnsi="宋体" w:cs="宋体"/>
          <w:highlight w:val="black"/>
        </w:rPr>
      </w:pPr>
      <w:r>
        <w:rPr>
          <w:rFonts w:hint="eastAsia" w:ascii="宋体" w:hAnsi="宋体" w:cs="宋体"/>
          <w:highlight w:val="black"/>
        </w:rPr>
        <w:t>（2）临时废石堆场排土工艺</w:t>
      </w:r>
    </w:p>
    <w:p w14:paraId="342A394E">
      <w:pPr>
        <w:ind w:firstLine="560"/>
        <w:rPr>
          <w:rFonts w:ascii="宋体" w:hAnsi="宋体" w:cs="宋体"/>
          <w:highlight w:val="black"/>
        </w:rPr>
      </w:pPr>
      <w:r>
        <w:rPr>
          <w:rFonts w:hint="eastAsia" w:ascii="宋体" w:hAnsi="宋体" w:cs="宋体"/>
          <w:highlight w:val="black"/>
        </w:rPr>
        <w:t>采用自上而下压坡脚式排弃工艺。考虑铲运机转排能力大、经济运距长等特点，设计转排工艺采用临工953型装载机转排。</w:t>
      </w:r>
    </w:p>
    <w:p w14:paraId="2B7AD24B">
      <w:pPr>
        <w:pStyle w:val="4"/>
        <w:ind w:firstLine="0" w:firstLineChars="0"/>
      </w:pPr>
      <w:r>
        <w:t>2.4.1</w:t>
      </w:r>
      <w:r>
        <w:rPr>
          <w:rFonts w:hint="eastAsia"/>
        </w:rPr>
        <w:t>1</w:t>
      </w:r>
      <w:r>
        <w:t>安全避险“六大系统”</w:t>
      </w:r>
    </w:p>
    <w:p w14:paraId="21E25686">
      <w:pPr>
        <w:ind w:firstLine="0" w:firstLineChars="0"/>
        <w:rPr>
          <w:rFonts w:ascii="宋体" w:hAnsi="宋体" w:cs="宋体"/>
          <w:b/>
          <w:bCs/>
        </w:rPr>
      </w:pPr>
      <w:r>
        <w:rPr>
          <w:rFonts w:hint="eastAsia" w:ascii="宋体" w:hAnsi="宋体" w:cs="宋体"/>
          <w:b/>
          <w:bCs/>
        </w:rPr>
        <w:t>2.4.11.1 矿山监测监控系统</w:t>
      </w:r>
    </w:p>
    <w:p w14:paraId="031E0CE7">
      <w:pPr>
        <w:ind w:firstLine="560"/>
        <w:rPr>
          <w:highlight w:val="black"/>
        </w:rPr>
      </w:pPr>
      <w:r>
        <w:rPr>
          <w:rFonts w:hint="eastAsia"/>
          <w:highlight w:val="black"/>
        </w:rPr>
        <w:t>（1）</w:t>
      </w:r>
      <w:r>
        <w:rPr>
          <w:highlight w:val="black"/>
        </w:rPr>
        <w:t>监测监控系统组成</w:t>
      </w:r>
    </w:p>
    <w:p w14:paraId="32E1B291">
      <w:pPr>
        <w:ind w:firstLine="560"/>
        <w:rPr>
          <w:highlight w:val="black"/>
        </w:rPr>
      </w:pPr>
      <w:r>
        <w:rPr>
          <w:rFonts w:hint="eastAsia"/>
          <w:highlight w:val="black"/>
        </w:rPr>
        <w:t>1）</w:t>
      </w:r>
      <w:r>
        <w:rPr>
          <w:highlight w:val="black"/>
        </w:rPr>
        <w:t>中心站</w:t>
      </w:r>
    </w:p>
    <w:p w14:paraId="178C2472">
      <w:pPr>
        <w:ind w:firstLine="560"/>
        <w:rPr>
          <w:highlight w:val="black"/>
        </w:rPr>
      </w:pPr>
      <w:r>
        <w:rPr>
          <w:highlight w:val="black"/>
        </w:rPr>
        <w:t>中心站设置在调度室。中心站设KJ388型矿山安全监测系统，包括主机1台，并备用1台，用于接收监测信号，并具有校正、报警判别、数据统计、磁盘存储、显示、声光报警、人机对话、输出控制、控制打印输出等功能，在矿山生产调度室设置显示终端。监测监控中心设备设防雷和接地保护装置。主机的备用电源应能保证连续工作2h以上。</w:t>
      </w:r>
    </w:p>
    <w:p w14:paraId="765EE3A1">
      <w:pPr>
        <w:ind w:firstLine="560"/>
        <w:rPr>
          <w:highlight w:val="black"/>
        </w:rPr>
      </w:pPr>
      <w:r>
        <w:rPr>
          <w:highlight w:val="black"/>
        </w:rPr>
        <w:t>计算机配置：</w:t>
      </w:r>
    </w:p>
    <w:p w14:paraId="314F9CDD">
      <w:pPr>
        <w:ind w:firstLine="560"/>
        <w:rPr>
          <w:highlight w:val="black"/>
        </w:rPr>
      </w:pPr>
      <w:r>
        <w:rPr>
          <w:highlight w:val="black"/>
        </w:rPr>
        <w:t>硬件组成：2GCPU、120G硬盘、2G内存、汉字打印机、以太网卡。</w:t>
      </w:r>
    </w:p>
    <w:p w14:paraId="56418A0C">
      <w:pPr>
        <w:ind w:firstLine="560"/>
        <w:rPr>
          <w:highlight w:val="black"/>
        </w:rPr>
      </w:pPr>
      <w:r>
        <w:rPr>
          <w:highlight w:val="black"/>
        </w:rPr>
        <w:t>软件：Windows操作系统、安全生产监测系统中心站软件、各种驱动程序。</w:t>
      </w:r>
    </w:p>
    <w:p w14:paraId="2B59DE4E">
      <w:pPr>
        <w:ind w:firstLine="560"/>
        <w:rPr>
          <w:highlight w:val="black"/>
        </w:rPr>
      </w:pPr>
      <w:r>
        <w:rPr>
          <w:highlight w:val="black"/>
        </w:rPr>
        <w:t>网络：接入internet建立监控网络，带宽2Mb，采用光纤传输。</w:t>
      </w:r>
    </w:p>
    <w:p w14:paraId="31B2180D">
      <w:pPr>
        <w:ind w:firstLine="560"/>
        <w:rPr>
          <w:highlight w:val="black"/>
        </w:rPr>
      </w:pPr>
      <w:r>
        <w:rPr>
          <w:rFonts w:hint="eastAsia"/>
          <w:highlight w:val="black"/>
        </w:rPr>
        <w:t>2）</w:t>
      </w:r>
      <w:r>
        <w:rPr>
          <w:highlight w:val="black"/>
        </w:rPr>
        <w:t>分站</w:t>
      </w:r>
    </w:p>
    <w:p w14:paraId="185169AA">
      <w:pPr>
        <w:ind w:firstLine="560"/>
        <w:rPr>
          <w:highlight w:val="black"/>
        </w:rPr>
      </w:pPr>
      <w:r>
        <w:rPr>
          <w:highlight w:val="black"/>
        </w:rPr>
        <w:t>分站至主站采用树型网络结构，数字传输。</w:t>
      </w:r>
    </w:p>
    <w:p w14:paraId="064F686B">
      <w:pPr>
        <w:ind w:firstLine="560"/>
        <w:rPr>
          <w:highlight w:val="black"/>
        </w:rPr>
      </w:pPr>
      <w:r>
        <w:rPr>
          <w:highlight w:val="black"/>
        </w:rPr>
        <w:t>监测监控系统中用于接收来自传感器的信号，并按预先约定的复用方式远距离传送给传输接口，同时接收来自传输接口多路复用信号的装置。分站设有监测监控分站、视频监控分站。</w:t>
      </w:r>
    </w:p>
    <w:p w14:paraId="2F657331">
      <w:pPr>
        <w:ind w:firstLine="560"/>
        <w:rPr>
          <w:highlight w:val="black"/>
        </w:rPr>
      </w:pPr>
      <w:r>
        <w:rPr>
          <w:highlight w:val="black"/>
        </w:rPr>
        <w:t>井下分站采用KDF-2型井下监控分站，安装在便于人员观察、调试、检验，且围岩稳固、支护良好、无滴水、无杂物的进风巷道或硐室中，安装时应垫支架或吊挂在巷道中，使其距巷道底板不小于0.3m。</w:t>
      </w:r>
    </w:p>
    <w:p w14:paraId="6200D99E">
      <w:pPr>
        <w:ind w:firstLine="560"/>
        <w:rPr>
          <w:highlight w:val="black"/>
        </w:rPr>
      </w:pPr>
      <w:r>
        <w:rPr>
          <w:rFonts w:hint="eastAsia"/>
          <w:highlight w:val="black"/>
        </w:rPr>
        <w:t>3）</w:t>
      </w:r>
      <w:r>
        <w:rPr>
          <w:highlight w:val="black"/>
        </w:rPr>
        <w:t>传输电缆</w:t>
      </w:r>
    </w:p>
    <w:p w14:paraId="55A972CA">
      <w:pPr>
        <w:ind w:firstLine="560"/>
        <w:rPr>
          <w:highlight w:val="black"/>
        </w:rPr>
      </w:pPr>
      <w:r>
        <w:rPr>
          <w:highlight w:val="black"/>
        </w:rPr>
        <w:t>从调度室到井筒采用MHYBV</w:t>
      </w:r>
      <w:r>
        <w:rPr>
          <w:rFonts w:hint="eastAsia"/>
          <w:highlight w:val="black"/>
        </w:rPr>
        <w:t>（</w:t>
      </w:r>
      <w:r>
        <w:rPr>
          <w:highlight w:val="black"/>
        </w:rPr>
        <w:t>1×4</w:t>
      </w:r>
      <w:r>
        <w:rPr>
          <w:rFonts w:hint="eastAsia"/>
          <w:highlight w:val="black"/>
        </w:rPr>
        <w:t>）</w:t>
      </w:r>
      <w:r>
        <w:rPr>
          <w:highlight w:val="black"/>
        </w:rPr>
        <w:t>钢丝铠装电缆。井下平巷采用MHY32</w:t>
      </w:r>
      <w:r>
        <w:rPr>
          <w:rFonts w:hint="eastAsia"/>
          <w:highlight w:val="black"/>
        </w:rPr>
        <w:t>（</w:t>
      </w:r>
      <w:r>
        <w:rPr>
          <w:highlight w:val="black"/>
        </w:rPr>
        <w:t>1×4</w:t>
      </w:r>
      <w:r>
        <w:rPr>
          <w:rFonts w:hint="eastAsia"/>
          <w:highlight w:val="black"/>
        </w:rPr>
        <w:t>）</w:t>
      </w:r>
      <w:r>
        <w:rPr>
          <w:highlight w:val="black"/>
        </w:rPr>
        <w:t>传输电缆。监控分站的出线采用MHYVR</w:t>
      </w:r>
      <w:r>
        <w:rPr>
          <w:rFonts w:hint="eastAsia"/>
          <w:highlight w:val="black"/>
        </w:rPr>
        <w:t>（</w:t>
      </w:r>
      <w:r>
        <w:rPr>
          <w:highlight w:val="black"/>
        </w:rPr>
        <w:t>1×4</w:t>
      </w:r>
      <w:r>
        <w:rPr>
          <w:rFonts w:hint="eastAsia"/>
          <w:highlight w:val="black"/>
        </w:rPr>
        <w:t>）</w:t>
      </w:r>
      <w:r>
        <w:rPr>
          <w:highlight w:val="black"/>
        </w:rPr>
        <w:t>传感器专用电缆。</w:t>
      </w:r>
    </w:p>
    <w:p w14:paraId="60A59AE7">
      <w:pPr>
        <w:ind w:firstLine="560"/>
        <w:rPr>
          <w:highlight w:val="black"/>
        </w:rPr>
      </w:pPr>
      <w:r>
        <w:rPr>
          <w:highlight w:val="black"/>
        </w:rPr>
        <w:t>传感器采用星型网络结构与监控分站相连，单向模拟传输。</w:t>
      </w:r>
    </w:p>
    <w:p w14:paraId="4C3482DC">
      <w:pPr>
        <w:ind w:firstLine="560"/>
        <w:rPr>
          <w:highlight w:val="black"/>
        </w:rPr>
      </w:pPr>
      <w:r>
        <w:rPr>
          <w:rFonts w:hint="eastAsia"/>
          <w:highlight w:val="black"/>
        </w:rPr>
        <w:t>（2）井下有毒有害气体监（检）测</w:t>
      </w:r>
    </w:p>
    <w:p w14:paraId="158CFDD4">
      <w:pPr>
        <w:ind w:firstLine="560"/>
        <w:rPr>
          <w:highlight w:val="black"/>
        </w:rPr>
      </w:pPr>
      <w:bookmarkStart w:id="214" w:name="_Hlk169551655"/>
      <w:r>
        <w:rPr>
          <w:highlight w:val="black"/>
        </w:rPr>
        <w:t>1) 携带便携式气体检测报警仪</w:t>
      </w:r>
    </w:p>
    <w:p w14:paraId="5CF26191">
      <w:pPr>
        <w:ind w:firstLine="560"/>
        <w:rPr>
          <w:highlight w:val="black"/>
        </w:rPr>
      </w:pPr>
      <w:r>
        <w:rPr>
          <w:highlight w:val="black"/>
        </w:rPr>
        <w:t>人员进入采掘工作面时，应携带便携式气体检测报警仪从进风侧进入，一旦报警应立即撤离。选用SNG350型便携式气体检测报警仪，按</w:t>
      </w:r>
      <w:r>
        <w:rPr>
          <w:rFonts w:hint="eastAsia"/>
          <w:highlight w:val="black"/>
        </w:rPr>
        <w:t>8</w:t>
      </w:r>
      <w:r>
        <w:rPr>
          <w:highlight w:val="black"/>
        </w:rPr>
        <w:t>个采场、</w:t>
      </w:r>
      <w:r>
        <w:rPr>
          <w:rFonts w:hint="eastAsia"/>
          <w:highlight w:val="black"/>
        </w:rPr>
        <w:t>4</w:t>
      </w:r>
      <w:r>
        <w:rPr>
          <w:highlight w:val="black"/>
        </w:rPr>
        <w:t>个掘进面同时工作，则需</w:t>
      </w:r>
      <w:r>
        <w:rPr>
          <w:rFonts w:hint="eastAsia"/>
          <w:highlight w:val="black"/>
        </w:rPr>
        <w:t>12</w:t>
      </w:r>
      <w:r>
        <w:rPr>
          <w:highlight w:val="black"/>
        </w:rPr>
        <w:t>个，备用</w:t>
      </w:r>
      <w:r>
        <w:rPr>
          <w:rFonts w:hint="eastAsia"/>
          <w:highlight w:val="black"/>
        </w:rPr>
        <w:t>2</w:t>
      </w:r>
      <w:r>
        <w:rPr>
          <w:highlight w:val="black"/>
        </w:rPr>
        <w:t>个，共需</w:t>
      </w:r>
      <w:r>
        <w:rPr>
          <w:rFonts w:hint="eastAsia"/>
          <w:highlight w:val="black"/>
        </w:rPr>
        <w:t>14</w:t>
      </w:r>
      <w:r>
        <w:rPr>
          <w:highlight w:val="black"/>
        </w:rPr>
        <w:t>个。</w:t>
      </w:r>
    </w:p>
    <w:p w14:paraId="5995D051">
      <w:pPr>
        <w:ind w:firstLine="560"/>
        <w:rPr>
          <w:highlight w:val="black"/>
        </w:rPr>
      </w:pPr>
      <w:r>
        <w:rPr>
          <w:highlight w:val="black"/>
        </w:rPr>
        <w:t>技术参数如下：</w:t>
      </w:r>
    </w:p>
    <w:p w14:paraId="636588B1">
      <w:pPr>
        <w:ind w:firstLine="560"/>
        <w:rPr>
          <w:highlight w:val="black"/>
        </w:rPr>
      </w:pPr>
      <w:r>
        <w:rPr>
          <w:highlight w:val="black"/>
        </w:rPr>
        <w:t>检测气体：一氧化碳、氧气、二氧化氮等；</w:t>
      </w:r>
    </w:p>
    <w:p w14:paraId="4939E343">
      <w:pPr>
        <w:ind w:firstLine="560"/>
        <w:rPr>
          <w:highlight w:val="black"/>
        </w:rPr>
      </w:pPr>
      <w:r>
        <w:rPr>
          <w:highlight w:val="black"/>
        </w:rPr>
        <w:t>检测原理：进口电化学传感器；</w:t>
      </w:r>
    </w:p>
    <w:p w14:paraId="4CD06FEF">
      <w:pPr>
        <w:ind w:firstLine="560"/>
        <w:rPr>
          <w:highlight w:val="black"/>
        </w:rPr>
      </w:pPr>
      <w:r>
        <w:rPr>
          <w:highlight w:val="black"/>
        </w:rPr>
        <w:t>报警值：自行设定；</w:t>
      </w:r>
    </w:p>
    <w:p w14:paraId="7363018F">
      <w:pPr>
        <w:ind w:firstLine="560"/>
        <w:rPr>
          <w:highlight w:val="black"/>
        </w:rPr>
      </w:pPr>
      <w:r>
        <w:rPr>
          <w:highlight w:val="black"/>
        </w:rPr>
        <w:t>报警方式：声音、光、振动；</w:t>
      </w:r>
    </w:p>
    <w:p w14:paraId="383FADB5">
      <w:pPr>
        <w:ind w:firstLine="560"/>
        <w:rPr>
          <w:highlight w:val="black"/>
        </w:rPr>
      </w:pPr>
      <w:r>
        <w:rPr>
          <w:highlight w:val="black"/>
        </w:rPr>
        <w:t>电池：可充电聚合物锂电池；</w:t>
      </w:r>
    </w:p>
    <w:p w14:paraId="7DF7BBD0">
      <w:pPr>
        <w:ind w:firstLine="560"/>
        <w:rPr>
          <w:highlight w:val="black"/>
        </w:rPr>
      </w:pPr>
      <w:r>
        <w:rPr>
          <w:highlight w:val="black"/>
        </w:rPr>
        <w:t>工作电压：DC3.6V，1200mAh</w:t>
      </w:r>
    </w:p>
    <w:p w14:paraId="23ED0A35">
      <w:pPr>
        <w:ind w:firstLine="560"/>
        <w:rPr>
          <w:highlight w:val="black"/>
        </w:rPr>
      </w:pPr>
      <w:r>
        <w:rPr>
          <w:highlight w:val="black"/>
        </w:rPr>
        <w:t>工作时间：≥1000h；</w:t>
      </w:r>
    </w:p>
    <w:p w14:paraId="57AD5F9B">
      <w:pPr>
        <w:ind w:firstLine="560"/>
        <w:rPr>
          <w:highlight w:val="black"/>
        </w:rPr>
      </w:pPr>
      <w:r>
        <w:rPr>
          <w:highlight w:val="black"/>
        </w:rPr>
        <w:t>显示：带背光LCD液晶显示屏；</w:t>
      </w:r>
    </w:p>
    <w:p w14:paraId="31399AAC">
      <w:pPr>
        <w:ind w:firstLine="560"/>
        <w:rPr>
          <w:highlight w:val="black"/>
        </w:rPr>
      </w:pPr>
      <w:r>
        <w:rPr>
          <w:highlight w:val="black"/>
        </w:rPr>
        <w:t>响应时间：T90&lt;35s；</w:t>
      </w:r>
    </w:p>
    <w:p w14:paraId="09EF7867">
      <w:pPr>
        <w:ind w:firstLine="560"/>
        <w:rPr>
          <w:highlight w:val="black"/>
        </w:rPr>
      </w:pPr>
      <w:r>
        <w:rPr>
          <w:highlight w:val="black"/>
        </w:rPr>
        <w:t>防爆等级：ExibICT3；</w:t>
      </w:r>
    </w:p>
    <w:p w14:paraId="42EAB892">
      <w:pPr>
        <w:ind w:firstLine="560"/>
        <w:rPr>
          <w:highlight w:val="black"/>
        </w:rPr>
      </w:pPr>
      <w:r>
        <w:rPr>
          <w:highlight w:val="black"/>
        </w:rPr>
        <w:t>温度：-20℃～50℃；</w:t>
      </w:r>
    </w:p>
    <w:p w14:paraId="41B798DF">
      <w:pPr>
        <w:ind w:firstLine="560"/>
        <w:rPr>
          <w:highlight w:val="black"/>
        </w:rPr>
      </w:pPr>
      <w:r>
        <w:rPr>
          <w:highlight w:val="black"/>
        </w:rPr>
        <w:t>外形尺寸：110×60×40mm；</w:t>
      </w:r>
    </w:p>
    <w:p w14:paraId="3B708911">
      <w:pPr>
        <w:ind w:firstLine="560"/>
        <w:rPr>
          <w:highlight w:val="black"/>
        </w:rPr>
      </w:pPr>
      <w:r>
        <w:rPr>
          <w:highlight w:val="black"/>
        </w:rPr>
        <w:t>重量：200g；</w:t>
      </w:r>
    </w:p>
    <w:p w14:paraId="674713C9">
      <w:pPr>
        <w:ind w:firstLine="560"/>
        <w:rPr>
          <w:highlight w:val="black"/>
        </w:rPr>
      </w:pPr>
      <w:r>
        <w:rPr>
          <w:highlight w:val="black"/>
          <w:lang w:val="zh-CN"/>
        </w:rPr>
        <w:t xml:space="preserve">2) </w:t>
      </w:r>
      <w:r>
        <w:rPr>
          <w:highlight w:val="black"/>
        </w:rPr>
        <w:t>有毒有害气体在线监测</w:t>
      </w:r>
    </w:p>
    <w:p w14:paraId="2CCEF238">
      <w:pPr>
        <w:ind w:firstLine="560"/>
        <w:rPr>
          <w:highlight w:val="black"/>
        </w:rPr>
      </w:pPr>
      <w:r>
        <w:rPr>
          <w:highlight w:val="black"/>
        </w:rPr>
        <w:t>在</w:t>
      </w:r>
      <w:r>
        <w:rPr>
          <w:highlight w:val="black"/>
          <w:lang w:val="zh-CN"/>
        </w:rPr>
        <w:t>每个生产中段、独头掘进巷道、靠近采场位置均</w:t>
      </w:r>
      <w:r>
        <w:rPr>
          <w:highlight w:val="black"/>
        </w:rPr>
        <w:t>对CO进行监测。</w:t>
      </w:r>
    </w:p>
    <w:p w14:paraId="1A2F0CE9">
      <w:pPr>
        <w:ind w:firstLine="560"/>
        <w:rPr>
          <w:highlight w:val="black"/>
          <w:lang w:val="zh-CN"/>
        </w:rPr>
      </w:pPr>
      <w:r>
        <w:rPr>
          <w:highlight w:val="black"/>
        </w:rPr>
        <w:t>设计在首采位置：</w:t>
      </w:r>
      <w:r>
        <w:rPr>
          <w:rFonts w:hint="eastAsia"/>
          <w:highlight w:val="black"/>
        </w:rPr>
        <w:t>回风井</w:t>
      </w:r>
      <w:r>
        <w:rPr>
          <w:highlight w:val="black"/>
          <w:lang w:val="zh-CN"/>
        </w:rPr>
        <w:t>、8个采场进回风处、4个独头掘进巷道均设</w:t>
      </w:r>
      <w:r>
        <w:rPr>
          <w:highlight w:val="black"/>
        </w:rPr>
        <w:t>CO传感器，共布设13个CO传感器。</w:t>
      </w:r>
    </w:p>
    <w:p w14:paraId="1A0F13D3">
      <w:pPr>
        <w:ind w:firstLine="560"/>
        <w:rPr>
          <w:highlight w:val="black"/>
          <w:lang w:val="zh-CN"/>
        </w:rPr>
      </w:pPr>
      <w:r>
        <w:rPr>
          <w:highlight w:val="black"/>
          <w:lang w:val="zh-CN"/>
        </w:rPr>
        <w:t>设计</w:t>
      </w:r>
      <w:r>
        <w:rPr>
          <w:highlight w:val="black"/>
        </w:rPr>
        <w:t>CO</w:t>
      </w:r>
      <w:r>
        <w:rPr>
          <w:highlight w:val="black"/>
          <w:lang w:val="zh-CN"/>
        </w:rPr>
        <w:t>报警浓度为24ppm。</w:t>
      </w:r>
    </w:p>
    <w:p w14:paraId="4F783C93">
      <w:pPr>
        <w:ind w:firstLine="560"/>
        <w:rPr>
          <w:highlight w:val="black"/>
        </w:rPr>
      </w:pPr>
      <w:r>
        <w:rPr>
          <w:rFonts w:hint="eastAsia"/>
          <w:highlight w:val="black"/>
          <w:lang w:val="zh-CN"/>
        </w:rPr>
        <w:t>（</w:t>
      </w:r>
      <w:r>
        <w:rPr>
          <w:rFonts w:hint="eastAsia"/>
          <w:highlight w:val="black"/>
        </w:rPr>
        <w:t>3</w:t>
      </w:r>
      <w:r>
        <w:rPr>
          <w:rFonts w:hint="eastAsia"/>
          <w:highlight w:val="black"/>
          <w:lang w:val="zh-CN"/>
        </w:rPr>
        <w:t>）</w:t>
      </w:r>
      <w:r>
        <w:rPr>
          <w:highlight w:val="black"/>
        </w:rPr>
        <w:t>通风系统监测</w:t>
      </w:r>
    </w:p>
    <w:p w14:paraId="52B8B2B6">
      <w:pPr>
        <w:ind w:firstLine="560"/>
        <w:rPr>
          <w:highlight w:val="black"/>
          <w:lang w:val="zh-CN"/>
        </w:rPr>
      </w:pPr>
      <w:r>
        <w:rPr>
          <w:highlight w:val="black"/>
          <w:lang w:val="zh-CN"/>
        </w:rPr>
        <w:t>1) 风速传感器</w:t>
      </w:r>
    </w:p>
    <w:p w14:paraId="12ACCBC2">
      <w:pPr>
        <w:ind w:firstLine="560"/>
        <w:rPr>
          <w:highlight w:val="black"/>
          <w:lang w:val="zh-CN"/>
        </w:rPr>
      </w:pPr>
      <w:r>
        <w:rPr>
          <w:highlight w:val="black"/>
          <w:lang w:val="zh-CN"/>
        </w:rPr>
        <w:t>井下回风中段回风侧以及总回风巷均设置STF20型风速传感器。</w:t>
      </w:r>
    </w:p>
    <w:p w14:paraId="0A118A93">
      <w:pPr>
        <w:ind w:firstLine="560"/>
        <w:rPr>
          <w:highlight w:val="black"/>
          <w:lang w:val="zh-CN"/>
        </w:rPr>
      </w:pPr>
      <w:r>
        <w:rPr>
          <w:highlight w:val="black"/>
          <w:lang w:val="zh-CN"/>
        </w:rPr>
        <w:t>STF20型风速传感器技术参数：</w:t>
      </w:r>
    </w:p>
    <w:p w14:paraId="5DFDEC9D">
      <w:pPr>
        <w:ind w:firstLine="560"/>
        <w:rPr>
          <w:highlight w:val="black"/>
          <w:lang w:val="zh-CN"/>
        </w:rPr>
      </w:pPr>
      <w:r>
        <w:rPr>
          <w:highlight w:val="black"/>
          <w:lang w:val="zh-CN"/>
        </w:rPr>
        <w:t>测量范围：0~1m/s、5m/s、10m/s、40m/s</w:t>
      </w:r>
      <w:r>
        <w:rPr>
          <w:rFonts w:hint="eastAsia"/>
          <w:highlight w:val="black"/>
          <w:lang w:val="zh-CN"/>
        </w:rPr>
        <w:t>（</w:t>
      </w:r>
      <w:r>
        <w:rPr>
          <w:highlight w:val="black"/>
          <w:lang w:val="zh-CN"/>
        </w:rPr>
        <w:t>可以选择</w:t>
      </w:r>
      <w:r>
        <w:rPr>
          <w:rFonts w:hint="eastAsia"/>
          <w:highlight w:val="black"/>
          <w:lang w:val="zh-CN"/>
        </w:rPr>
        <w:t>）</w:t>
      </w:r>
      <w:r>
        <w:rPr>
          <w:highlight w:val="black"/>
          <w:lang w:val="zh-CN"/>
        </w:rPr>
        <w:t>；</w:t>
      </w:r>
    </w:p>
    <w:p w14:paraId="716B1A40">
      <w:pPr>
        <w:ind w:firstLine="560"/>
        <w:rPr>
          <w:highlight w:val="black"/>
          <w:lang w:val="zh-CN"/>
        </w:rPr>
      </w:pPr>
      <w:r>
        <w:rPr>
          <w:highlight w:val="black"/>
          <w:lang w:val="zh-CN"/>
        </w:rPr>
        <w:t>输出信号：1-4.5VDC非线性，提供标定点数据和曲线图；</w:t>
      </w:r>
    </w:p>
    <w:p w14:paraId="34DAF393">
      <w:pPr>
        <w:ind w:firstLine="560"/>
        <w:rPr>
          <w:highlight w:val="black"/>
          <w:lang w:val="zh-CN"/>
        </w:rPr>
      </w:pPr>
      <w:r>
        <w:rPr>
          <w:highlight w:val="black"/>
          <w:lang w:val="zh-CN"/>
        </w:rPr>
        <w:t>供电电压：10VDC～30VDC；</w:t>
      </w:r>
    </w:p>
    <w:p w14:paraId="4EBF1EA6">
      <w:pPr>
        <w:ind w:firstLine="560"/>
        <w:rPr>
          <w:highlight w:val="black"/>
          <w:lang w:val="zh-CN"/>
        </w:rPr>
      </w:pPr>
      <w:r>
        <w:rPr>
          <w:highlight w:val="black"/>
          <w:lang w:val="zh-CN"/>
        </w:rPr>
        <w:t>耗电流：&lt;50mA；</w:t>
      </w:r>
    </w:p>
    <w:p w14:paraId="1507B4C0">
      <w:pPr>
        <w:ind w:firstLine="560"/>
        <w:rPr>
          <w:highlight w:val="black"/>
          <w:lang w:val="zh-CN"/>
        </w:rPr>
      </w:pPr>
      <w:r>
        <w:rPr>
          <w:highlight w:val="black"/>
          <w:lang w:val="zh-CN"/>
        </w:rPr>
        <w:t>工作温度范围：-10~+50℃；</w:t>
      </w:r>
    </w:p>
    <w:p w14:paraId="63ADF98C">
      <w:pPr>
        <w:ind w:firstLine="560"/>
        <w:rPr>
          <w:highlight w:val="black"/>
          <w:lang w:val="zh-CN"/>
        </w:rPr>
      </w:pPr>
      <w:r>
        <w:rPr>
          <w:highlight w:val="black"/>
          <w:lang w:val="zh-CN"/>
        </w:rPr>
        <w:t>2) 风压传感器</w:t>
      </w:r>
    </w:p>
    <w:p w14:paraId="244B5ADC">
      <w:pPr>
        <w:ind w:firstLine="560"/>
        <w:rPr>
          <w:highlight w:val="black"/>
          <w:lang w:val="zh-CN"/>
        </w:rPr>
      </w:pPr>
      <w:r>
        <w:rPr>
          <w:highlight w:val="black"/>
          <w:lang w:val="zh-CN"/>
        </w:rPr>
        <w:t>主通风机设置PTG501型风压传感器。</w:t>
      </w:r>
    </w:p>
    <w:p w14:paraId="79E96C15">
      <w:pPr>
        <w:ind w:firstLine="560"/>
        <w:rPr>
          <w:highlight w:val="black"/>
          <w:lang w:val="zh-CN"/>
        </w:rPr>
      </w:pPr>
      <w:r>
        <w:rPr>
          <w:highlight w:val="black"/>
          <w:lang w:val="zh-CN"/>
        </w:rPr>
        <w:t>PTG501型风压传感器主要技术参数：</w:t>
      </w:r>
    </w:p>
    <w:p w14:paraId="0AE44A62">
      <w:pPr>
        <w:ind w:firstLine="560"/>
        <w:rPr>
          <w:highlight w:val="black"/>
          <w:lang w:val="zh-CN"/>
        </w:rPr>
      </w:pPr>
      <w:r>
        <w:rPr>
          <w:highlight w:val="black"/>
          <w:lang w:val="zh-CN"/>
        </w:rPr>
        <w:t>压力类型：表压；</w:t>
      </w:r>
    </w:p>
    <w:p w14:paraId="730642AD">
      <w:pPr>
        <w:ind w:firstLine="560"/>
        <w:rPr>
          <w:highlight w:val="black"/>
          <w:lang w:val="zh-CN"/>
        </w:rPr>
      </w:pPr>
      <w:r>
        <w:rPr>
          <w:highlight w:val="black"/>
          <w:lang w:val="zh-CN"/>
        </w:rPr>
        <w:t>量程：-100KPa-0.6Mpa～60Mpa～150Mpa间任意可选；</w:t>
      </w:r>
    </w:p>
    <w:p w14:paraId="5238E613">
      <w:pPr>
        <w:ind w:firstLine="560"/>
        <w:rPr>
          <w:highlight w:val="black"/>
          <w:lang w:val="zh-CN"/>
        </w:rPr>
      </w:pPr>
      <w:r>
        <w:rPr>
          <w:highlight w:val="black"/>
          <w:lang w:val="zh-CN"/>
        </w:rPr>
        <w:t>输出：通用：4～20mA</w:t>
      </w:r>
      <w:r>
        <w:rPr>
          <w:rFonts w:hint="eastAsia"/>
          <w:highlight w:val="black"/>
          <w:lang w:val="zh-CN"/>
        </w:rPr>
        <w:t>（</w:t>
      </w:r>
      <w:r>
        <w:rPr>
          <w:highlight w:val="black"/>
          <w:lang w:val="zh-CN"/>
        </w:rPr>
        <w:t>二线制</w:t>
      </w:r>
      <w:r>
        <w:rPr>
          <w:rFonts w:hint="eastAsia"/>
          <w:highlight w:val="black"/>
          <w:lang w:val="zh-CN"/>
        </w:rPr>
        <w:t>）</w:t>
      </w:r>
      <w:r>
        <w:rPr>
          <w:highlight w:val="black"/>
          <w:lang w:val="zh-CN"/>
        </w:rPr>
        <w:t>、0～5VDC、0～10VDC、0.5～4.5VDC</w:t>
      </w:r>
      <w:r>
        <w:rPr>
          <w:rFonts w:hint="eastAsia"/>
          <w:highlight w:val="black"/>
          <w:lang w:val="zh-CN"/>
        </w:rPr>
        <w:t>（</w:t>
      </w:r>
      <w:r>
        <w:rPr>
          <w:highlight w:val="black"/>
          <w:lang w:val="zh-CN"/>
        </w:rPr>
        <w:t>三线制</w:t>
      </w:r>
      <w:r>
        <w:rPr>
          <w:rFonts w:hint="eastAsia"/>
          <w:highlight w:val="black"/>
          <w:lang w:val="zh-CN"/>
        </w:rPr>
        <w:t>）</w:t>
      </w:r>
      <w:r>
        <w:rPr>
          <w:highlight w:val="black"/>
          <w:lang w:val="zh-CN"/>
        </w:rPr>
        <w:t>；</w:t>
      </w:r>
    </w:p>
    <w:p w14:paraId="6BDF5139">
      <w:pPr>
        <w:ind w:firstLine="560"/>
        <w:rPr>
          <w:highlight w:val="black"/>
          <w:lang w:val="zh-CN"/>
        </w:rPr>
      </w:pPr>
      <w:r>
        <w:rPr>
          <w:highlight w:val="black"/>
          <w:lang w:val="zh-CN"/>
        </w:rPr>
        <w:t>供电：24VDc(12～36VDC)；</w:t>
      </w:r>
    </w:p>
    <w:p w14:paraId="713BEE3E">
      <w:pPr>
        <w:ind w:firstLine="560"/>
        <w:rPr>
          <w:highlight w:val="black"/>
          <w:lang w:val="zh-CN"/>
        </w:rPr>
      </w:pPr>
      <w:r>
        <w:rPr>
          <w:highlight w:val="black"/>
          <w:lang w:val="zh-CN"/>
        </w:rPr>
        <w:t>绝缘电阻：≥1000MΩ/100VDC；</w:t>
      </w:r>
    </w:p>
    <w:p w14:paraId="232FA827">
      <w:pPr>
        <w:ind w:firstLine="560"/>
        <w:rPr>
          <w:highlight w:val="black"/>
          <w:lang w:val="zh-CN"/>
        </w:rPr>
      </w:pPr>
      <w:r>
        <w:rPr>
          <w:highlight w:val="black"/>
          <w:lang w:val="zh-CN"/>
        </w:rPr>
        <w:t>负载电阻：电流输出型：最大800Ω；电压输出型：大于50KΩ；</w:t>
      </w:r>
    </w:p>
    <w:p w14:paraId="76529BBC">
      <w:pPr>
        <w:ind w:firstLine="560"/>
        <w:rPr>
          <w:highlight w:val="black"/>
          <w:lang w:val="zh-CN"/>
        </w:rPr>
      </w:pPr>
      <w:r>
        <w:rPr>
          <w:highlight w:val="black"/>
          <w:lang w:val="zh-CN"/>
        </w:rPr>
        <w:t>介质温度：-20～85℃、-20～150℃、-20～200℃、-20～300℃</w:t>
      </w:r>
      <w:r>
        <w:rPr>
          <w:rFonts w:hint="eastAsia"/>
          <w:highlight w:val="black"/>
          <w:lang w:val="zh-CN"/>
        </w:rPr>
        <w:t>（</w:t>
      </w:r>
      <w:r>
        <w:rPr>
          <w:highlight w:val="black"/>
          <w:lang w:val="zh-CN"/>
        </w:rPr>
        <w:t>可选</w:t>
      </w:r>
      <w:r>
        <w:rPr>
          <w:rFonts w:hint="eastAsia"/>
          <w:highlight w:val="black"/>
          <w:lang w:val="zh-CN"/>
        </w:rPr>
        <w:t>）</w:t>
      </w:r>
      <w:r>
        <w:rPr>
          <w:highlight w:val="black"/>
          <w:lang w:val="zh-CN"/>
        </w:rPr>
        <w:t>；</w:t>
      </w:r>
    </w:p>
    <w:p w14:paraId="5A2D64A5">
      <w:pPr>
        <w:ind w:firstLine="560"/>
        <w:rPr>
          <w:highlight w:val="black"/>
          <w:lang w:val="zh-CN"/>
        </w:rPr>
      </w:pPr>
      <w:r>
        <w:rPr>
          <w:highlight w:val="black"/>
          <w:lang w:val="zh-CN"/>
        </w:rPr>
        <w:t>密封等级：IP65/IP68；</w:t>
      </w:r>
    </w:p>
    <w:p w14:paraId="1A7AF6C5">
      <w:pPr>
        <w:ind w:firstLine="560"/>
        <w:rPr>
          <w:highlight w:val="black"/>
          <w:lang w:val="zh-CN"/>
        </w:rPr>
      </w:pPr>
      <w:r>
        <w:rPr>
          <w:highlight w:val="black"/>
          <w:lang w:val="zh-CN"/>
        </w:rPr>
        <w:t>过载能力：150%FS；</w:t>
      </w:r>
    </w:p>
    <w:p w14:paraId="7A599B76">
      <w:pPr>
        <w:ind w:firstLine="560"/>
        <w:rPr>
          <w:highlight w:val="black"/>
          <w:lang w:val="zh-CN"/>
        </w:rPr>
      </w:pPr>
      <w:r>
        <w:rPr>
          <w:highlight w:val="black"/>
          <w:lang w:val="zh-CN"/>
        </w:rPr>
        <w:t>响应时间：≤10mS；</w:t>
      </w:r>
    </w:p>
    <w:p w14:paraId="5AADEB09">
      <w:pPr>
        <w:ind w:firstLine="560"/>
        <w:rPr>
          <w:highlight w:val="black"/>
          <w:lang w:val="zh-CN"/>
        </w:rPr>
      </w:pPr>
      <w:r>
        <w:rPr>
          <w:highlight w:val="black"/>
          <w:lang w:val="zh-CN"/>
        </w:rPr>
        <w:t>稳定性：≤±0.15%FS/年；</w:t>
      </w:r>
    </w:p>
    <w:p w14:paraId="5D1EAB22">
      <w:pPr>
        <w:ind w:firstLine="560"/>
        <w:rPr>
          <w:highlight w:val="black"/>
          <w:lang w:val="zh-CN"/>
        </w:rPr>
      </w:pPr>
      <w:r>
        <w:rPr>
          <w:highlight w:val="black"/>
          <w:lang w:val="zh-CN"/>
        </w:rPr>
        <w:t>振动影响：≤±0.15%FS/年</w:t>
      </w:r>
      <w:r>
        <w:rPr>
          <w:rFonts w:hint="eastAsia"/>
          <w:highlight w:val="black"/>
          <w:lang w:val="zh-CN"/>
        </w:rPr>
        <w:t>（</w:t>
      </w:r>
      <w:r>
        <w:rPr>
          <w:highlight w:val="black"/>
          <w:lang w:val="zh-CN"/>
        </w:rPr>
        <w:t>机械振动频率20Hz～1000Hz</w:t>
      </w:r>
      <w:r>
        <w:rPr>
          <w:rFonts w:hint="eastAsia"/>
          <w:highlight w:val="black"/>
          <w:lang w:val="zh-CN"/>
        </w:rPr>
        <w:t>）</w:t>
      </w:r>
      <w:r>
        <w:rPr>
          <w:highlight w:val="black"/>
          <w:lang w:val="zh-CN"/>
        </w:rPr>
        <w:t>；</w:t>
      </w:r>
    </w:p>
    <w:p w14:paraId="7C9822A5">
      <w:pPr>
        <w:ind w:firstLine="560"/>
        <w:rPr>
          <w:highlight w:val="black"/>
          <w:lang w:val="zh-CN"/>
        </w:rPr>
      </w:pPr>
      <w:r>
        <w:rPr>
          <w:highlight w:val="black"/>
          <w:lang w:val="zh-CN"/>
        </w:rPr>
        <w:t>电气连接：不锈钢防水密封端子、四芯航空接插件、赫丝曼接头等；</w:t>
      </w:r>
    </w:p>
    <w:p w14:paraId="73761856">
      <w:pPr>
        <w:ind w:firstLine="560"/>
        <w:rPr>
          <w:highlight w:val="black"/>
          <w:lang w:val="zh-CN"/>
        </w:rPr>
      </w:pPr>
      <w:r>
        <w:rPr>
          <w:highlight w:val="black"/>
          <w:lang w:val="zh-CN"/>
        </w:rPr>
        <w:t>压力连接：M20×1.5。</w:t>
      </w:r>
    </w:p>
    <w:p w14:paraId="149099F3">
      <w:pPr>
        <w:ind w:firstLine="560"/>
        <w:rPr>
          <w:highlight w:val="black"/>
          <w:lang w:val="zh-CN"/>
        </w:rPr>
      </w:pPr>
      <w:r>
        <w:rPr>
          <w:highlight w:val="black"/>
          <w:lang w:val="zh-CN"/>
        </w:rPr>
        <w:t>3) 开停传感器</w:t>
      </w:r>
    </w:p>
    <w:p w14:paraId="0A6EB8C0">
      <w:pPr>
        <w:ind w:firstLine="560"/>
        <w:rPr>
          <w:highlight w:val="black"/>
          <w:lang w:val="zh-CN"/>
        </w:rPr>
      </w:pPr>
      <w:r>
        <w:rPr>
          <w:highlight w:val="black"/>
          <w:lang w:val="zh-CN"/>
        </w:rPr>
        <w:t>主通风机、局部通风机安装GKT5型设备开停传感器。</w:t>
      </w:r>
    </w:p>
    <w:p w14:paraId="54B25D70">
      <w:pPr>
        <w:ind w:firstLine="560"/>
        <w:rPr>
          <w:highlight w:val="black"/>
          <w:lang w:val="zh-CN"/>
        </w:rPr>
      </w:pPr>
      <w:r>
        <w:rPr>
          <w:highlight w:val="black"/>
          <w:lang w:val="zh-CN"/>
        </w:rPr>
        <w:t>GKT5型设备开停传感器主要技术指标：</w:t>
      </w:r>
    </w:p>
    <w:p w14:paraId="59B77AA9">
      <w:pPr>
        <w:ind w:firstLine="560"/>
        <w:rPr>
          <w:highlight w:val="black"/>
          <w:lang w:val="zh-CN"/>
        </w:rPr>
      </w:pPr>
      <w:r>
        <w:rPr>
          <w:highlight w:val="black"/>
          <w:lang w:val="zh-CN"/>
        </w:rPr>
        <w:t>防护等级：IP54；</w:t>
      </w:r>
    </w:p>
    <w:p w14:paraId="6EE99197">
      <w:pPr>
        <w:ind w:firstLine="560"/>
        <w:rPr>
          <w:highlight w:val="black"/>
          <w:lang w:val="zh-CN"/>
        </w:rPr>
      </w:pPr>
      <w:r>
        <w:rPr>
          <w:highlight w:val="black"/>
          <w:lang w:val="zh-CN"/>
        </w:rPr>
        <w:t>输入电源：工作电压：本安直流8～18V；</w:t>
      </w:r>
    </w:p>
    <w:p w14:paraId="118332C9">
      <w:pPr>
        <w:ind w:firstLine="560"/>
        <w:rPr>
          <w:highlight w:val="black"/>
          <w:lang w:val="zh-CN"/>
        </w:rPr>
      </w:pPr>
      <w:r>
        <w:rPr>
          <w:highlight w:val="black"/>
          <w:lang w:val="zh-CN"/>
        </w:rPr>
        <w:t>工作电流：≤10mA；</w:t>
      </w:r>
    </w:p>
    <w:p w14:paraId="71401645">
      <w:pPr>
        <w:ind w:firstLine="560"/>
        <w:rPr>
          <w:highlight w:val="black"/>
          <w:lang w:val="zh-CN"/>
        </w:rPr>
      </w:pPr>
      <w:r>
        <w:rPr>
          <w:highlight w:val="black"/>
          <w:lang w:val="zh-CN"/>
        </w:rPr>
        <w:t>被测设备电流载量：≥5A；</w:t>
      </w:r>
    </w:p>
    <w:p w14:paraId="42A33952">
      <w:pPr>
        <w:ind w:firstLine="560"/>
        <w:rPr>
          <w:highlight w:val="black"/>
          <w:lang w:val="zh-CN"/>
        </w:rPr>
      </w:pPr>
      <w:r>
        <w:rPr>
          <w:highlight w:val="black"/>
          <w:lang w:val="zh-CN"/>
        </w:rPr>
        <w:t>被测设备供电电缆范围：电缆外径ф16～80mm；</w:t>
      </w:r>
    </w:p>
    <w:p w14:paraId="0ADADA21">
      <w:pPr>
        <w:ind w:firstLine="560"/>
        <w:rPr>
          <w:highlight w:val="black"/>
          <w:lang w:val="zh-CN"/>
        </w:rPr>
      </w:pPr>
      <w:r>
        <w:rPr>
          <w:highlight w:val="black"/>
          <w:lang w:val="zh-CN"/>
        </w:rPr>
        <w:t>电缆品种：橡套、钢网、铠装及屏蔽等；</w:t>
      </w:r>
    </w:p>
    <w:p w14:paraId="08EEE794">
      <w:pPr>
        <w:ind w:firstLine="560"/>
        <w:rPr>
          <w:highlight w:val="black"/>
          <w:lang w:val="zh-CN"/>
        </w:rPr>
      </w:pPr>
      <w:r>
        <w:rPr>
          <w:highlight w:val="black"/>
          <w:lang w:val="zh-CN"/>
        </w:rPr>
        <w:t>工作方式：直接卡固在供电电缆外皮上，连续工作；</w:t>
      </w:r>
    </w:p>
    <w:p w14:paraId="5036C619">
      <w:pPr>
        <w:ind w:firstLine="560"/>
        <w:rPr>
          <w:highlight w:val="black"/>
          <w:lang w:val="zh-CN"/>
        </w:rPr>
      </w:pPr>
      <w:r>
        <w:rPr>
          <w:highlight w:val="black"/>
          <w:lang w:val="zh-CN"/>
        </w:rPr>
        <w:t>输出信号传输距离：≥2Km；</w:t>
      </w:r>
    </w:p>
    <w:p w14:paraId="605A82CC">
      <w:pPr>
        <w:ind w:firstLine="560"/>
        <w:rPr>
          <w:highlight w:val="black"/>
          <w:lang w:val="zh-CN"/>
        </w:rPr>
      </w:pPr>
      <w:r>
        <w:rPr>
          <w:highlight w:val="black"/>
          <w:lang w:val="zh-CN"/>
        </w:rPr>
        <w:t>运行显示：红、绿二个LED发光指示；</w:t>
      </w:r>
    </w:p>
    <w:p w14:paraId="0B58C486">
      <w:pPr>
        <w:ind w:firstLine="560"/>
        <w:rPr>
          <w:highlight w:val="black"/>
          <w:lang w:val="zh-CN"/>
        </w:rPr>
      </w:pPr>
      <w:r>
        <w:rPr>
          <w:highlight w:val="black"/>
          <w:lang w:val="zh-CN"/>
        </w:rPr>
        <w:t>电缆外径：6～12mm；</w:t>
      </w:r>
    </w:p>
    <w:p w14:paraId="6777F82F">
      <w:pPr>
        <w:ind w:firstLine="560"/>
        <w:rPr>
          <w:highlight w:val="black"/>
          <w:lang w:val="zh-CN"/>
        </w:rPr>
      </w:pPr>
      <w:r>
        <w:rPr>
          <w:highlight w:val="black"/>
          <w:lang w:val="zh-CN"/>
        </w:rPr>
        <w:t>外形尺寸：100×70×200mm；</w:t>
      </w:r>
    </w:p>
    <w:p w14:paraId="00790310">
      <w:pPr>
        <w:ind w:firstLine="560"/>
        <w:rPr>
          <w:highlight w:val="black"/>
          <w:lang w:val="zh-CN"/>
        </w:rPr>
      </w:pPr>
      <w:r>
        <w:rPr>
          <w:highlight w:val="black"/>
          <w:lang w:val="zh-CN"/>
        </w:rPr>
        <w:t>重量：约50g。</w:t>
      </w:r>
    </w:p>
    <w:p w14:paraId="3D772413">
      <w:pPr>
        <w:ind w:firstLine="560"/>
        <w:rPr>
          <w:highlight w:val="black"/>
          <w:lang w:val="zh-CN"/>
        </w:rPr>
      </w:pPr>
      <w:r>
        <w:rPr>
          <w:highlight w:val="black"/>
          <w:lang w:val="zh-CN"/>
        </w:rPr>
        <w:t>4) 风门开关传感器</w:t>
      </w:r>
    </w:p>
    <w:p w14:paraId="1EAFCDA3">
      <w:pPr>
        <w:ind w:firstLine="560"/>
        <w:rPr>
          <w:highlight w:val="black"/>
          <w:lang w:val="zh-CN"/>
        </w:rPr>
      </w:pPr>
      <w:r>
        <w:rPr>
          <w:highlight w:val="black"/>
          <w:lang w:val="zh-CN"/>
        </w:rPr>
        <w:t>设计在使用的风门处设置GFK50型矿用风门开闭状态传感器。</w:t>
      </w:r>
    </w:p>
    <w:p w14:paraId="5970B843">
      <w:pPr>
        <w:ind w:firstLine="560"/>
        <w:rPr>
          <w:highlight w:val="black"/>
          <w:lang w:val="zh-CN"/>
        </w:rPr>
      </w:pPr>
      <w:r>
        <w:rPr>
          <w:highlight w:val="black"/>
          <w:lang w:val="zh-CN"/>
        </w:rPr>
        <w:t>GFK50型矿用风门开闭状态传感器主要技术指标：</w:t>
      </w:r>
    </w:p>
    <w:p w14:paraId="5459B835">
      <w:pPr>
        <w:ind w:firstLine="560"/>
        <w:rPr>
          <w:highlight w:val="black"/>
          <w:lang w:val="zh-CN"/>
        </w:rPr>
      </w:pPr>
      <w:r>
        <w:rPr>
          <w:highlight w:val="black"/>
          <w:lang w:val="zh-CN"/>
        </w:rPr>
        <w:t>工作电源：本安DC9V～24V、整机电流≤10mA</w:t>
      </w:r>
    </w:p>
    <w:p w14:paraId="10FCA93E">
      <w:pPr>
        <w:ind w:firstLine="560"/>
        <w:rPr>
          <w:highlight w:val="black"/>
          <w:lang w:val="zh-CN"/>
        </w:rPr>
      </w:pPr>
      <w:r>
        <w:rPr>
          <w:highlight w:val="black"/>
          <w:lang w:val="zh-CN"/>
        </w:rPr>
        <w:t>动作距离：50mm</w:t>
      </w:r>
    </w:p>
    <w:p w14:paraId="47F556C9">
      <w:pPr>
        <w:ind w:firstLine="560"/>
        <w:rPr>
          <w:highlight w:val="black"/>
          <w:lang w:val="zh-CN"/>
        </w:rPr>
      </w:pPr>
      <w:r>
        <w:rPr>
          <w:highlight w:val="black"/>
          <w:lang w:val="zh-CN"/>
        </w:rPr>
        <w:t>允许误差：≤10%</w:t>
      </w:r>
    </w:p>
    <w:p w14:paraId="2A0F3DC1">
      <w:pPr>
        <w:ind w:firstLine="560"/>
        <w:rPr>
          <w:highlight w:val="black"/>
          <w:lang w:val="zh-CN"/>
        </w:rPr>
      </w:pPr>
      <w:r>
        <w:rPr>
          <w:highlight w:val="black"/>
          <w:lang w:val="zh-CN"/>
        </w:rPr>
        <w:t>输出形式：本安接点通/断</w:t>
      </w:r>
    </w:p>
    <w:p w14:paraId="25C0DBB3">
      <w:pPr>
        <w:ind w:firstLine="560"/>
        <w:rPr>
          <w:highlight w:val="black"/>
        </w:rPr>
      </w:pPr>
      <w:r>
        <w:rPr>
          <w:highlight w:val="black"/>
        </w:rPr>
        <w:t>+5mA/-5mA5mA/0mA</w:t>
      </w:r>
      <w:r>
        <w:rPr>
          <w:rFonts w:hint="eastAsia"/>
          <w:highlight w:val="black"/>
        </w:rPr>
        <w:t>;</w:t>
      </w:r>
      <w:r>
        <w:rPr>
          <w:highlight w:val="black"/>
        </w:rPr>
        <w:t>5mA/1mA</w:t>
      </w:r>
      <w:r>
        <w:rPr>
          <w:rFonts w:hint="eastAsia"/>
          <w:highlight w:val="black"/>
        </w:rPr>
        <w:t>;</w:t>
      </w:r>
      <w:r>
        <w:rPr>
          <w:highlight w:val="black"/>
        </w:rPr>
        <w:t>10mA/5mA</w:t>
      </w:r>
    </w:p>
    <w:p w14:paraId="72B9198C">
      <w:pPr>
        <w:ind w:firstLine="560"/>
        <w:rPr>
          <w:highlight w:val="black"/>
          <w:lang w:val="zh-CN"/>
        </w:rPr>
      </w:pPr>
      <w:r>
        <w:rPr>
          <w:highlight w:val="black"/>
          <w:lang w:val="zh-CN"/>
        </w:rPr>
        <w:t>触发磁钢材质：氧化物磁钢</w:t>
      </w:r>
    </w:p>
    <w:p w14:paraId="4216008D">
      <w:pPr>
        <w:ind w:firstLine="560"/>
        <w:rPr>
          <w:highlight w:val="black"/>
          <w:lang w:val="zh-CN"/>
        </w:rPr>
      </w:pPr>
      <w:r>
        <w:rPr>
          <w:highlight w:val="black"/>
          <w:lang w:val="zh-CN"/>
        </w:rPr>
        <w:t>有效距离：2km</w:t>
      </w:r>
    </w:p>
    <w:p w14:paraId="61200241">
      <w:pPr>
        <w:ind w:firstLine="560"/>
        <w:rPr>
          <w:highlight w:val="black"/>
          <w:lang w:val="zh-CN"/>
        </w:rPr>
      </w:pPr>
      <w:r>
        <w:rPr>
          <w:highlight w:val="black"/>
          <w:lang w:val="zh-CN"/>
        </w:rPr>
        <w:t>开闭状态显示：光显示。风门开：绿灯亮；风门关：红灯亮。</w:t>
      </w:r>
    </w:p>
    <w:p w14:paraId="24035A12">
      <w:pPr>
        <w:pStyle w:val="24"/>
        <w:ind w:firstLine="560"/>
        <w:rPr>
          <w:highlight w:val="black"/>
        </w:rPr>
      </w:pPr>
      <w:r>
        <w:rPr>
          <w:rFonts w:hint="eastAsia"/>
          <w:highlight w:val="black"/>
          <w:lang w:val="zh-CN"/>
        </w:rPr>
        <w:t>（</w:t>
      </w:r>
      <w:r>
        <w:rPr>
          <w:rFonts w:hint="eastAsia"/>
          <w:highlight w:val="black"/>
        </w:rPr>
        <w:t>4</w:t>
      </w:r>
      <w:r>
        <w:rPr>
          <w:rFonts w:hint="eastAsia"/>
          <w:highlight w:val="black"/>
          <w:lang w:val="zh-CN"/>
        </w:rPr>
        <w:t>）</w:t>
      </w:r>
      <w:r>
        <w:rPr>
          <w:rFonts w:hint="eastAsia"/>
          <w:highlight w:val="black"/>
        </w:rPr>
        <w:t>视频监控</w:t>
      </w:r>
    </w:p>
    <w:bookmarkEnd w:id="214"/>
    <w:p w14:paraId="2FA331F1">
      <w:pPr>
        <w:ind w:firstLine="560"/>
        <w:rPr>
          <w:highlight w:val="black"/>
        </w:rPr>
      </w:pPr>
      <w:bookmarkStart w:id="215" w:name="_Hlk180611280"/>
      <w:r>
        <w:rPr>
          <w:rFonts w:hint="eastAsia"/>
          <w:highlight w:val="black"/>
        </w:rPr>
        <w:t>斜坡道硐口、回风井井口、风机、水泵房、各中段井底车场、配电硐室、采场作业面等处设置摄像机。做到矿山“无视频不作业”的要求。</w:t>
      </w:r>
    </w:p>
    <w:bookmarkEnd w:id="215"/>
    <w:p w14:paraId="22BFB661">
      <w:pPr>
        <w:ind w:firstLine="560"/>
        <w:rPr>
          <w:highlight w:val="black"/>
        </w:rPr>
      </w:pPr>
      <w:bookmarkStart w:id="216" w:name="_Hlk185810745"/>
      <w:r>
        <w:rPr>
          <w:rFonts w:hint="eastAsia"/>
          <w:highlight w:val="black"/>
        </w:rPr>
        <w:t>斜坡道硐</w:t>
      </w:r>
      <w:bookmarkEnd w:id="216"/>
      <w:r>
        <w:rPr>
          <w:highlight w:val="black"/>
        </w:rPr>
        <w:t>口设视频监控显示终端。</w:t>
      </w:r>
    </w:p>
    <w:p w14:paraId="2FC47A2F">
      <w:pPr>
        <w:ind w:firstLine="560"/>
        <w:rPr>
          <w:highlight w:val="black"/>
          <w:lang w:val="zh-CN"/>
        </w:rPr>
      </w:pPr>
      <w:r>
        <w:rPr>
          <w:rFonts w:hint="eastAsia"/>
          <w:highlight w:val="black"/>
        </w:rPr>
        <w:t>斜坡道硐</w:t>
      </w:r>
      <w:r>
        <w:rPr>
          <w:highlight w:val="black"/>
        </w:rPr>
        <w:t>口</w:t>
      </w:r>
      <w:r>
        <w:rPr>
          <w:highlight w:val="black"/>
          <w:lang w:val="zh-CN"/>
        </w:rPr>
        <w:t>设SA-MPEG-033型矿用视频监控系统。</w:t>
      </w:r>
    </w:p>
    <w:p w14:paraId="1F9039D6">
      <w:pPr>
        <w:ind w:firstLine="560"/>
        <w:rPr>
          <w:highlight w:val="black"/>
          <w:lang w:val="zh-CN"/>
        </w:rPr>
      </w:pPr>
      <w:r>
        <w:rPr>
          <w:highlight w:val="black"/>
          <w:lang w:val="zh-CN"/>
        </w:rPr>
        <w:t>产品型号：SA-MPEG-033；</w:t>
      </w:r>
    </w:p>
    <w:p w14:paraId="7B079BA2">
      <w:pPr>
        <w:ind w:firstLine="560"/>
        <w:rPr>
          <w:highlight w:val="black"/>
          <w:lang w:val="zh-CN"/>
        </w:rPr>
      </w:pPr>
      <w:r>
        <w:rPr>
          <w:highlight w:val="black"/>
          <w:lang w:val="zh-CN"/>
        </w:rPr>
        <w:t>质量认证：CCC、CE、ROHS；</w:t>
      </w:r>
    </w:p>
    <w:p w14:paraId="6DEA8E55">
      <w:pPr>
        <w:ind w:firstLine="560"/>
        <w:rPr>
          <w:highlight w:val="black"/>
          <w:lang w:val="zh-CN"/>
        </w:rPr>
      </w:pPr>
      <w:r>
        <w:rPr>
          <w:highlight w:val="black"/>
          <w:lang w:val="zh-CN"/>
        </w:rPr>
        <w:t>产品简介：网络型恒速球MPEG41/4SONYCCD，27倍光学变焦、420线，可视距离80m，高强度铝合金压铸外壳，内置通风加热系统，无变形7英寸球罩，内有黑色衬罩内置浪涌和雷击保护装置355°旋转，左右转速30°/s，上下转速0.5°~10°/s，64个预置位，多协议；</w:t>
      </w:r>
    </w:p>
    <w:p w14:paraId="5A635614">
      <w:pPr>
        <w:ind w:firstLine="560"/>
        <w:rPr>
          <w:highlight w:val="black"/>
          <w:lang w:val="zh-CN"/>
        </w:rPr>
      </w:pPr>
      <w:r>
        <w:rPr>
          <w:highlight w:val="black"/>
          <w:lang w:val="zh-CN"/>
        </w:rPr>
        <w:t>产品参数：</w:t>
      </w:r>
    </w:p>
    <w:p w14:paraId="2FEA1934">
      <w:pPr>
        <w:ind w:firstLine="560"/>
        <w:rPr>
          <w:highlight w:val="black"/>
          <w:lang w:val="zh-CN"/>
        </w:rPr>
      </w:pPr>
      <w:r>
        <w:rPr>
          <w:highlight w:val="black"/>
          <w:lang w:val="zh-CN"/>
        </w:rPr>
        <w:t>高清晰D1画质、远程/本地监控、远程/本地即时录像、即时截图、字符叠加、支持多种录像方式、可循环录像、音频监听、音频会议、视频会议、支持多人观看、支持IE浏览。</w:t>
      </w:r>
    </w:p>
    <w:p w14:paraId="42D5B4DC">
      <w:pPr>
        <w:ind w:firstLine="560"/>
        <w:rPr>
          <w:highlight w:val="black"/>
        </w:rPr>
      </w:pPr>
      <w:r>
        <w:rPr>
          <w:rFonts w:hint="eastAsia"/>
          <w:highlight w:val="black"/>
        </w:rPr>
        <w:t>（5）地压监测</w:t>
      </w:r>
    </w:p>
    <w:p w14:paraId="1B883504">
      <w:pPr>
        <w:ind w:firstLine="560"/>
        <w:rPr>
          <w:highlight w:val="black"/>
          <w:lang w:val="zh-CN"/>
        </w:rPr>
      </w:pPr>
      <w:r>
        <w:rPr>
          <w:highlight w:val="black"/>
          <w:lang w:val="zh-CN"/>
        </w:rPr>
        <w:t>根据《金属非金属地下矿山监测监控系统建设规范》</w:t>
      </w:r>
      <w:r>
        <w:rPr>
          <w:rFonts w:hint="eastAsia"/>
          <w:highlight w:val="black"/>
          <w:lang w:val="zh-CN"/>
        </w:rPr>
        <w:t>（</w:t>
      </w:r>
      <w:r>
        <w:rPr>
          <w:highlight w:val="black"/>
          <w:lang w:val="zh-CN"/>
        </w:rPr>
        <w:t>AQ2031-2011</w:t>
      </w:r>
      <w:r>
        <w:rPr>
          <w:rFonts w:hint="eastAsia"/>
          <w:highlight w:val="black"/>
          <w:lang w:val="zh-CN"/>
        </w:rPr>
        <w:t>）</w:t>
      </w:r>
      <w:r>
        <w:rPr>
          <w:highlight w:val="black"/>
          <w:lang w:val="zh-CN"/>
        </w:rPr>
        <w:t>第8.1、8.2条：对于在需要保护的建筑物、构筑物、铁路、水体下面开采的地下矿山，应进行地压或变形监测，并应对地表沉降进行监测。存在大面积采空区、工程地质复杂、有严重地压活动的地下矿山，应进行地压监测。</w:t>
      </w:r>
    </w:p>
    <w:p w14:paraId="53668CCE">
      <w:pPr>
        <w:ind w:firstLine="560"/>
        <w:rPr>
          <w:highlight w:val="black"/>
          <w:lang w:val="zh-CN"/>
        </w:rPr>
      </w:pPr>
      <w:r>
        <w:rPr>
          <w:highlight w:val="black"/>
          <w:lang w:val="zh-CN"/>
        </w:rPr>
        <w:t>本矿未在需要保护的铁路、水体下面开采，不存在大面积采空区，工程地质条件中等，开采深度未达到800m，无严重地压活动，主要井巷井口以及工业场地均不受地表岩石移动界线的影响，故无需设置地压监测设施</w:t>
      </w:r>
      <w:r>
        <w:rPr>
          <w:highlight w:val="black"/>
        </w:rPr>
        <w:t>。</w:t>
      </w:r>
      <w:r>
        <w:rPr>
          <w:rFonts w:hint="eastAsia"/>
          <w:highlight w:val="black"/>
          <w:lang w:val="zh-CN"/>
        </w:rPr>
        <w:t>但应对地表沉降及岩移进行人工监测。</w:t>
      </w:r>
    </w:p>
    <w:p w14:paraId="20349713">
      <w:pPr>
        <w:ind w:firstLine="560"/>
        <w:rPr>
          <w:highlight w:val="black"/>
          <w:lang w:val="zh-CN"/>
        </w:rPr>
      </w:pPr>
      <w:r>
        <w:rPr>
          <w:rFonts w:hint="eastAsia"/>
          <w:highlight w:val="black"/>
          <w:lang w:val="zh-CN"/>
        </w:rPr>
        <w:t xml:space="preserve">① </w:t>
      </w:r>
      <w:r>
        <w:rPr>
          <w:highlight w:val="black"/>
          <w:lang w:val="zh-CN"/>
        </w:rPr>
        <w:t>监测点及基准点</w:t>
      </w:r>
    </w:p>
    <w:p w14:paraId="1C947E62">
      <w:pPr>
        <w:ind w:firstLine="560"/>
        <w:rPr>
          <w:highlight w:val="black"/>
          <w:lang w:val="zh-CN"/>
        </w:rPr>
      </w:pPr>
      <w:r>
        <w:rPr>
          <w:highlight w:val="black"/>
          <w:lang w:val="zh-CN"/>
        </w:rPr>
        <w:t>设置地表沉降及位移监测点，进行变形监测。按照圈定的移动监测范围设置监测点8个，基准点4个。</w:t>
      </w:r>
    </w:p>
    <w:p w14:paraId="07C13E36">
      <w:pPr>
        <w:ind w:firstLine="560"/>
        <w:rPr>
          <w:highlight w:val="black"/>
          <w:lang w:val="zh-CN"/>
        </w:rPr>
      </w:pPr>
      <w:r>
        <w:rPr>
          <w:rFonts w:hint="eastAsia"/>
          <w:highlight w:val="black"/>
          <w:lang w:val="zh-CN"/>
        </w:rPr>
        <w:t xml:space="preserve">② </w:t>
      </w:r>
      <w:r>
        <w:rPr>
          <w:highlight w:val="black"/>
          <w:lang w:val="zh-CN"/>
        </w:rPr>
        <w:t>地表监测点的埋设</w:t>
      </w:r>
    </w:p>
    <w:p w14:paraId="1B7C5178">
      <w:pPr>
        <w:ind w:firstLine="560"/>
        <w:rPr>
          <w:highlight w:val="black"/>
          <w:lang w:val="zh-CN"/>
        </w:rPr>
      </w:pPr>
      <w:r>
        <w:rPr>
          <w:highlight w:val="black"/>
          <w:lang w:val="zh-CN"/>
        </w:rPr>
        <w:t>基准点与监测点均采用混凝土浇灌，对埋点的基本要求是：便于进行高程与平面测量，能够可靠保存，并和土石牢固结合。</w:t>
      </w:r>
    </w:p>
    <w:p w14:paraId="0B4E36BF">
      <w:pPr>
        <w:ind w:firstLine="560"/>
        <w:rPr>
          <w:highlight w:val="black"/>
          <w:lang w:val="zh-CN"/>
        </w:rPr>
      </w:pPr>
      <w:r>
        <w:rPr>
          <w:highlight w:val="black"/>
          <w:lang w:val="zh-CN"/>
        </w:rPr>
        <w:t>埋点时，如地面为土层，先挖一直径0.3m、深度不小于1.0m的坑，将直径不小于φ14mm的钢筋放入坑内再浇灌混凝土，浇灌深度不小于0.8m，钢筋顶端应刻一十字丝，以便于十字中心对点观测。</w:t>
      </w:r>
    </w:p>
    <w:p w14:paraId="5297022C">
      <w:pPr>
        <w:ind w:firstLine="560"/>
        <w:rPr>
          <w:highlight w:val="black"/>
          <w:lang w:val="zh-CN"/>
        </w:rPr>
      </w:pPr>
      <w:r>
        <w:rPr>
          <w:rFonts w:hint="eastAsia"/>
          <w:highlight w:val="black"/>
          <w:lang w:val="zh-CN"/>
        </w:rPr>
        <w:t xml:space="preserve">③ </w:t>
      </w:r>
      <w:r>
        <w:rPr>
          <w:highlight w:val="black"/>
          <w:lang w:val="zh-CN"/>
        </w:rPr>
        <w:t>观测方法</w:t>
      </w:r>
    </w:p>
    <w:p w14:paraId="063B2216">
      <w:pPr>
        <w:ind w:firstLine="560"/>
        <w:rPr>
          <w:highlight w:val="black"/>
          <w:lang w:val="zh-CN"/>
        </w:rPr>
      </w:pPr>
      <w:r>
        <w:rPr>
          <w:highlight w:val="black"/>
          <w:lang w:val="zh-CN"/>
        </w:rPr>
        <w:t>选用矿区的两个E级GPS控制点作为基准点，定期进行对上述4个工作基点进行联测，作业时通过三角高程测量将工作基点的平面坐标和高程引测到各个监测点上，得到监测点的平面坐标和高程。根据监测点各个观测周期所测得数据之差即可知道监测点的相对位移变化量。</w:t>
      </w:r>
    </w:p>
    <w:p w14:paraId="25976023">
      <w:pPr>
        <w:ind w:firstLine="560"/>
        <w:rPr>
          <w:highlight w:val="black"/>
          <w:lang w:val="zh-CN"/>
        </w:rPr>
      </w:pPr>
      <w:r>
        <w:rPr>
          <w:rFonts w:hint="eastAsia"/>
          <w:highlight w:val="black"/>
          <w:lang w:val="zh-CN"/>
        </w:rPr>
        <w:t xml:space="preserve">④ </w:t>
      </w:r>
      <w:r>
        <w:rPr>
          <w:highlight w:val="black"/>
          <w:lang w:val="zh-CN"/>
        </w:rPr>
        <w:t>监测方法及监测周期</w:t>
      </w:r>
    </w:p>
    <w:p w14:paraId="3B4FF6C2">
      <w:pPr>
        <w:ind w:firstLine="560"/>
        <w:rPr>
          <w:highlight w:val="black"/>
          <w:lang w:val="zh-CN"/>
        </w:rPr>
      </w:pPr>
      <w:r>
        <w:rPr>
          <w:highlight w:val="black"/>
          <w:lang w:val="zh-CN"/>
        </w:rPr>
        <w:t>水平位移观测方法：4个工作基点通过GPS引用矿区两个E级控制点进行联测，每个工作基点观测两个时段，每个时段为60分钟，最终工作基点的平面坐标取两次观测的平均值。变形监测采用全站仪进行测量，在各个工作基点上设站，采用极坐标方法取得监测点的坐标和高程值，并测算工作点到监测点的距离，必要时通过支点进行观测。不同周期测量监测的水平位移的相对变化值，初始值的测量读取应进行2</w:t>
      </w:r>
      <w:r>
        <w:rPr>
          <w:rFonts w:hint="eastAsia"/>
          <w:highlight w:val="black"/>
          <w:lang w:val="zh-CN"/>
        </w:rPr>
        <w:t>—</w:t>
      </w:r>
      <w:r>
        <w:rPr>
          <w:highlight w:val="black"/>
          <w:lang w:val="zh-CN"/>
        </w:rPr>
        <w:t>3次的校核，以确保其准确性。</w:t>
      </w:r>
    </w:p>
    <w:p w14:paraId="05BA345E">
      <w:pPr>
        <w:ind w:firstLine="560"/>
        <w:rPr>
          <w:highlight w:val="black"/>
          <w:lang w:val="zh-CN"/>
        </w:rPr>
      </w:pPr>
      <w:r>
        <w:rPr>
          <w:rFonts w:hint="eastAsia"/>
          <w:highlight w:val="black"/>
          <w:lang w:val="zh-CN"/>
        </w:rPr>
        <w:t xml:space="preserve">⑤ </w:t>
      </w:r>
      <w:r>
        <w:rPr>
          <w:highlight w:val="black"/>
          <w:lang w:val="zh-CN"/>
        </w:rPr>
        <w:t>监测成果整理</w:t>
      </w:r>
    </w:p>
    <w:p w14:paraId="53779CFD">
      <w:pPr>
        <w:ind w:firstLine="560"/>
        <w:rPr>
          <w:highlight w:val="black"/>
          <w:lang w:val="zh-CN"/>
        </w:rPr>
      </w:pPr>
      <w:r>
        <w:rPr>
          <w:highlight w:val="black"/>
          <w:lang w:val="zh-CN"/>
        </w:rPr>
        <w:t>对每次观测都要做详细记录，包括各点坐标、各点高程及测量情况简要说明。</w:t>
      </w:r>
    </w:p>
    <w:p w14:paraId="2ECE8182">
      <w:pPr>
        <w:ind w:firstLine="560"/>
        <w:rPr>
          <w:highlight w:val="black"/>
        </w:rPr>
      </w:pPr>
      <w:r>
        <w:rPr>
          <w:highlight w:val="black"/>
          <w:lang w:val="zh-CN"/>
        </w:rPr>
        <w:t>定期对观测成果进行整理，然后按地表变形有关公式计算点位下沉量、倾斜与曲率、水平移动、水平变形指标，并逐渐形成地表变形的监测数据库，根据各监测点的变形值绘制各种变形曲线。以便明确及时地分析地表变形特征和发展趋势等。</w:t>
      </w:r>
    </w:p>
    <w:p w14:paraId="434B2BC6">
      <w:pPr>
        <w:ind w:firstLine="0" w:firstLineChars="0"/>
        <w:rPr>
          <w:rFonts w:ascii="宋体" w:hAnsi="宋体" w:cs="宋体"/>
          <w:b/>
          <w:bCs/>
        </w:rPr>
      </w:pPr>
      <w:r>
        <w:rPr>
          <w:rFonts w:hint="eastAsia" w:ascii="宋体" w:hAnsi="宋体" w:cs="宋体"/>
          <w:b/>
          <w:bCs/>
        </w:rPr>
        <w:t>2.4.11.2 井下人员定位系统</w:t>
      </w:r>
    </w:p>
    <w:p w14:paraId="35DB12B6">
      <w:pPr>
        <w:ind w:firstLine="560"/>
        <w:rPr>
          <w:highlight w:val="black"/>
        </w:rPr>
      </w:pPr>
      <w:r>
        <w:rPr>
          <w:highlight w:val="black"/>
        </w:rPr>
        <w:t>矿山井下最多同时作业人员为</w:t>
      </w:r>
      <w:r>
        <w:rPr>
          <w:rFonts w:hint="eastAsia"/>
          <w:highlight w:val="black"/>
        </w:rPr>
        <w:t>2</w:t>
      </w:r>
      <w:r>
        <w:rPr>
          <w:highlight w:val="black"/>
        </w:rPr>
        <w:t>9人，根据《国家矿山安全监察局关于印发</w:t>
      </w:r>
      <w:r>
        <w:rPr>
          <w:rFonts w:hint="eastAsia"/>
          <w:highlight w:val="black"/>
        </w:rPr>
        <w:t>〈</w:t>
      </w:r>
      <w:r>
        <w:rPr>
          <w:highlight w:val="black"/>
        </w:rPr>
        <w:t>关于加强非煤矿山安全生产工作的指导意见</w:t>
      </w:r>
      <w:r>
        <w:rPr>
          <w:rFonts w:hint="eastAsia"/>
          <w:highlight w:val="black"/>
        </w:rPr>
        <w:t>〉</w:t>
      </w:r>
      <w:r>
        <w:rPr>
          <w:highlight w:val="black"/>
        </w:rPr>
        <w:t>的通知》</w:t>
      </w:r>
      <w:r>
        <w:rPr>
          <w:rFonts w:hint="eastAsia"/>
          <w:highlight w:val="black"/>
        </w:rPr>
        <w:t>（</w:t>
      </w:r>
      <w:r>
        <w:rPr>
          <w:highlight w:val="black"/>
        </w:rPr>
        <w:t>矿安</w:t>
      </w:r>
      <w:r>
        <w:rPr>
          <w:rFonts w:hint="eastAsia"/>
          <w:highlight w:val="black"/>
        </w:rPr>
        <w:t>〔2022〕4号）</w:t>
      </w:r>
      <w:r>
        <w:rPr>
          <w:highlight w:val="black"/>
        </w:rPr>
        <w:t>第3条第5款规定：“金属非金属地下矿山在基建过程中应当同步建立监测监控、人员定位、通信联络系统”。故本矿山应完善井下人员定位系统。</w:t>
      </w:r>
    </w:p>
    <w:p w14:paraId="3069AA68">
      <w:pPr>
        <w:ind w:firstLine="560"/>
        <w:rPr>
          <w:highlight w:val="black"/>
        </w:rPr>
      </w:pPr>
      <w:r>
        <w:rPr>
          <w:highlight w:val="black"/>
        </w:rPr>
        <w:t>井下建设人员定位系统，做到下井人员一人一定位卡，下井前在井口登记，姓名可在大屏幕上显示。下井后随身携带，人在井下时，定位卡发出的电磁波信号通过设在巷道里的</w:t>
      </w:r>
      <w:r>
        <w:rPr>
          <w:rFonts w:hint="eastAsia"/>
          <w:highlight w:val="black"/>
        </w:rPr>
        <w:t>接收</w:t>
      </w:r>
      <w:r>
        <w:rPr>
          <w:highlight w:val="black"/>
        </w:rPr>
        <w:t>装置统一在控制室内显示，在控制室内便可对井下人员位置一目了然，有问题能做到提前知道。人员上井后要消号，大屏幕上显示的该人姓名自动消除。这样每班都能掌握上下井的人员流动情况。</w:t>
      </w:r>
    </w:p>
    <w:p w14:paraId="60BB2CE6">
      <w:pPr>
        <w:ind w:firstLine="560"/>
        <w:rPr>
          <w:highlight w:val="black"/>
        </w:rPr>
      </w:pPr>
      <w:r>
        <w:rPr>
          <w:highlight w:val="black"/>
        </w:rPr>
        <w:t>人员定位系统线缆采用光缆，信号电缆沿</w:t>
      </w:r>
      <w:r>
        <w:rPr>
          <w:rFonts w:hint="eastAsia"/>
          <w:highlight w:val="black"/>
        </w:rPr>
        <w:t>斜坡道</w:t>
      </w:r>
      <w:r>
        <w:rPr>
          <w:highlight w:val="black"/>
        </w:rPr>
        <w:t>敷设至井下。井下传输线缆使用铠装</w:t>
      </w:r>
      <w:r>
        <w:rPr>
          <w:rFonts w:hint="eastAsia"/>
          <w:highlight w:val="black"/>
        </w:rPr>
        <w:t>低压无卤</w:t>
      </w:r>
      <w:r>
        <w:rPr>
          <w:highlight w:val="black"/>
        </w:rPr>
        <w:t>阻燃电缆。巷道内线缆敷设悬挂点的间距为1.0～1.5m，线缆与巷道壁最小净距离大于50mm。设计线缆在风、水管上方平行敷设，与管路净距为300mm。巷道内线缆每隔一定距离和在分路点上，悬挂注明编号、用途、型号、规格、起止地点等的标志牌。</w:t>
      </w:r>
    </w:p>
    <w:p w14:paraId="07B65A96">
      <w:pPr>
        <w:ind w:firstLine="560"/>
        <w:rPr>
          <w:highlight w:val="black"/>
        </w:rPr>
      </w:pPr>
      <w:r>
        <w:rPr>
          <w:highlight w:val="black"/>
        </w:rPr>
        <w:t>在</w:t>
      </w:r>
      <w:r>
        <w:rPr>
          <w:rFonts w:hint="eastAsia"/>
          <w:highlight w:val="black"/>
        </w:rPr>
        <w:t>斜坡道</w:t>
      </w:r>
      <w:r>
        <w:rPr>
          <w:highlight w:val="black"/>
        </w:rPr>
        <w:t>、生产中段、水泵房、回风井等重要场所安装分站</w:t>
      </w:r>
      <w:r>
        <w:rPr>
          <w:rFonts w:hint="eastAsia"/>
          <w:highlight w:val="black"/>
        </w:rPr>
        <w:t>（</w:t>
      </w:r>
      <w:r>
        <w:rPr>
          <w:highlight w:val="black"/>
        </w:rPr>
        <w:t>读卡器</w:t>
      </w:r>
      <w:r>
        <w:rPr>
          <w:rFonts w:hint="eastAsia"/>
          <w:highlight w:val="black"/>
        </w:rPr>
        <w:t>）</w:t>
      </w:r>
      <w:r>
        <w:rPr>
          <w:highlight w:val="black"/>
        </w:rPr>
        <w:t>，根据现场情况而定，以满足辐射区域为准。分站</w:t>
      </w:r>
      <w:r>
        <w:rPr>
          <w:rFonts w:hint="eastAsia"/>
          <w:highlight w:val="black"/>
        </w:rPr>
        <w:t>（</w:t>
      </w:r>
      <w:r>
        <w:rPr>
          <w:highlight w:val="black"/>
        </w:rPr>
        <w:t>读卡器</w:t>
      </w:r>
      <w:r>
        <w:rPr>
          <w:rFonts w:hint="eastAsia"/>
          <w:highlight w:val="black"/>
        </w:rPr>
        <w:t>）</w:t>
      </w:r>
      <w:r>
        <w:rPr>
          <w:highlight w:val="black"/>
        </w:rPr>
        <w:t>安装在便于读卡、观察、调试、检验，且围岩稳固、支护良好、无淋水、无杂物、不容易受到损害的位置。该系统设备用电源，并能保证连续工作2h以上。</w:t>
      </w:r>
    </w:p>
    <w:p w14:paraId="79BDD699">
      <w:pPr>
        <w:ind w:firstLine="560"/>
        <w:rPr>
          <w:highlight w:val="black"/>
        </w:rPr>
      </w:pPr>
      <w:r>
        <w:rPr>
          <w:highlight w:val="black"/>
        </w:rPr>
        <w:t>矿山安全生产部门向所有下井人员配置定位卡，定位卡专人专卡，并配备不少于</w:t>
      </w:r>
      <w:r>
        <w:rPr>
          <w:rFonts w:hint="eastAsia"/>
          <w:highlight w:val="black"/>
        </w:rPr>
        <w:t>所有</w:t>
      </w:r>
      <w:r>
        <w:rPr>
          <w:highlight w:val="black"/>
        </w:rPr>
        <w:t>下井人员总数10%的备用卡；矿山井下采矿劳动定员81人，为保证10%的备用系数，矿山需配备不少于90人的定位卡。发定位卡时将定位卡所对应员工的基本信</w:t>
      </w:r>
      <w:r>
        <w:rPr>
          <w:rFonts w:hint="eastAsia"/>
          <w:highlight w:val="black"/>
        </w:rPr>
        <w:t>息记</w:t>
      </w:r>
      <w:r>
        <w:rPr>
          <w:highlight w:val="black"/>
        </w:rPr>
        <w:t>录在系统数据库中，安全生产部门对定位卡进行授权后即可生效。</w:t>
      </w:r>
    </w:p>
    <w:p w14:paraId="02DEAEEF">
      <w:pPr>
        <w:ind w:firstLine="560"/>
        <w:rPr>
          <w:highlight w:val="black"/>
        </w:rPr>
      </w:pPr>
      <w:r>
        <w:rPr>
          <w:highlight w:val="black"/>
        </w:rPr>
        <w:t>巷道一旦发生安全事故，安全监控中心在第一时间可以知道被困人员的基本情况定位，救险队使用移动式远距离识别装置，在大于10m范围内方便探测遇险人员的位置，便于救护工作安全、高效运行。</w:t>
      </w:r>
    </w:p>
    <w:p w14:paraId="33E9CA56">
      <w:pPr>
        <w:ind w:firstLine="560"/>
        <w:rPr>
          <w:highlight w:val="black"/>
        </w:rPr>
      </w:pPr>
      <w:r>
        <w:rPr>
          <w:highlight w:val="black"/>
        </w:rPr>
        <w:t>人员定位系统同时应满足以下要求：</w:t>
      </w:r>
    </w:p>
    <w:p w14:paraId="2B0411F9">
      <w:pPr>
        <w:ind w:firstLine="560"/>
        <w:rPr>
          <w:highlight w:val="black"/>
        </w:rPr>
      </w:pPr>
      <w:r>
        <w:rPr>
          <w:rFonts w:hint="eastAsia"/>
          <w:highlight w:val="black"/>
        </w:rPr>
        <w:t>①</w:t>
      </w:r>
      <w:r>
        <w:rPr>
          <w:highlight w:val="black"/>
        </w:rPr>
        <w:t xml:space="preserve"> 人员定位系统要确保井下人员定位精准并同步传输实时视频。</w:t>
      </w:r>
    </w:p>
    <w:p w14:paraId="563247EF">
      <w:pPr>
        <w:ind w:firstLine="560"/>
        <w:rPr>
          <w:highlight w:val="black"/>
        </w:rPr>
      </w:pPr>
      <w:r>
        <w:rPr>
          <w:rFonts w:hint="eastAsia"/>
          <w:highlight w:val="black"/>
        </w:rPr>
        <w:t>②</w:t>
      </w:r>
      <w:r>
        <w:rPr>
          <w:highlight w:val="black"/>
        </w:rPr>
        <w:t xml:space="preserve"> 加强基站和无线网络建设，确保灵敏通信。在井下所有巷道和采掘工作面、井底车场、机电硐室等岗位，建设通信基站并敷设漏泄电缆，实现有线通信和无线通信信号全覆盖，并为每名井下作业人员配备通信终端，确保中央控制室与井下任意地点的作业人员能够随时通话对讲、传输视频。</w:t>
      </w:r>
    </w:p>
    <w:p w14:paraId="61FE8ACB">
      <w:pPr>
        <w:ind w:firstLine="560"/>
        <w:rPr>
          <w:bCs/>
          <w:szCs w:val="26"/>
          <w:highlight w:val="black"/>
        </w:rPr>
      </w:pPr>
      <w:r>
        <w:rPr>
          <w:highlight w:val="black"/>
        </w:rPr>
        <w:t>巷道一旦发生安全事故，安全监控中心在第一时间可以知道被困人员的基本情况定位，救险队使用移动式远距离识别装置，在大于10m范围内方便探测遇险人员的位置，便于救护工作安全、高效运行。</w:t>
      </w:r>
    </w:p>
    <w:p w14:paraId="7D1F67F5">
      <w:pPr>
        <w:ind w:firstLine="0" w:firstLineChars="0"/>
        <w:rPr>
          <w:rFonts w:ascii="宋体" w:hAnsi="宋体" w:cs="宋体"/>
          <w:b/>
          <w:bCs/>
        </w:rPr>
      </w:pPr>
      <w:r>
        <w:rPr>
          <w:rFonts w:hint="eastAsia" w:ascii="宋体" w:hAnsi="宋体" w:cs="宋体"/>
          <w:b/>
          <w:bCs/>
        </w:rPr>
        <w:t>2.4.11.3 紧急避险系统</w:t>
      </w:r>
    </w:p>
    <w:p w14:paraId="38E41685">
      <w:pPr>
        <w:ind w:firstLine="560"/>
        <w:rPr>
          <w:highlight w:val="black"/>
        </w:rPr>
      </w:pPr>
      <w:bookmarkStart w:id="217" w:name="_Hlk172671367"/>
      <w:r>
        <w:rPr>
          <w:highlight w:val="black"/>
        </w:rPr>
        <w:t>根据《金属非金属地下矿山紧急避险系统建设规范》(AQ/T2033-2023)：</w:t>
      </w:r>
    </w:p>
    <w:p w14:paraId="2140B12D">
      <w:pPr>
        <w:ind w:firstLine="560"/>
        <w:rPr>
          <w:highlight w:val="black"/>
        </w:rPr>
      </w:pPr>
      <w:r>
        <w:rPr>
          <w:rFonts w:hint="eastAsia"/>
          <w:highlight w:val="black"/>
        </w:rPr>
        <w:t>矿山水文地质条件中等，未来生产不存在透水风险，生产中段在地面最低安全出口以下垂直距离最大为</w:t>
      </w:r>
      <w:r>
        <w:rPr>
          <w:highlight w:val="black"/>
        </w:rPr>
        <w:t>20</w:t>
      </w:r>
      <w:r>
        <w:rPr>
          <w:rFonts w:hint="eastAsia"/>
          <w:highlight w:val="black"/>
        </w:rPr>
        <w:t>4m＜500m，故本矿山无需设置避灾硐室。但应设置紧急避险系统</w:t>
      </w:r>
      <w:r>
        <w:rPr>
          <w:highlight w:val="black"/>
        </w:rPr>
        <w:t>。</w:t>
      </w:r>
    </w:p>
    <w:p w14:paraId="49D9E26A">
      <w:pPr>
        <w:ind w:firstLine="560"/>
        <w:rPr>
          <w:highlight w:val="black"/>
        </w:rPr>
      </w:pPr>
      <w:r>
        <w:rPr>
          <w:rFonts w:hint="eastAsia"/>
          <w:highlight w:val="black"/>
        </w:rPr>
        <w:t>井下紧急避险系统是指在井下发生紧急情况下，为遇险人员安全避险提供生命保障的设施、设备、措施组成的有机整体。紧急避险系统建设的内容包括为入井人员提供自救器、建设井下紧急避险设施、合理设置避灾路线、科学制定应急预案等。</w:t>
      </w:r>
    </w:p>
    <w:p w14:paraId="46CFD8E5">
      <w:pPr>
        <w:ind w:firstLine="560"/>
        <w:rPr>
          <w:highlight w:val="black"/>
        </w:rPr>
      </w:pPr>
      <w:r>
        <w:rPr>
          <w:rFonts w:hint="eastAsia"/>
          <w:highlight w:val="black"/>
        </w:rPr>
        <w:t>1) 安全出口</w:t>
      </w:r>
    </w:p>
    <w:p w14:paraId="2EC0A19C">
      <w:pPr>
        <w:ind w:firstLine="560"/>
        <w:rPr>
          <w:highlight w:val="black"/>
        </w:rPr>
      </w:pPr>
      <w:r>
        <w:rPr>
          <w:rFonts w:hint="eastAsia"/>
          <w:highlight w:val="black"/>
        </w:rPr>
        <w:t>设计每条矿体至少有两个独立的直达地面的安全出口，安全出口间距大于30m；每个生产中段均设有两个便于行人的安全出口，并和通往地面的安全出口相通；有两个便于行人的安全出口，并经上、下巷道与通往地面的安全出口相通。安全出口设置的其他要求符合《金属非金属矿山安全规程》（GB16423-2020）的要求。</w:t>
      </w:r>
    </w:p>
    <w:p w14:paraId="2F049E09">
      <w:pPr>
        <w:ind w:firstLine="560"/>
        <w:rPr>
          <w:highlight w:val="black"/>
        </w:rPr>
      </w:pPr>
      <w:r>
        <w:rPr>
          <w:rFonts w:hint="eastAsia"/>
          <w:highlight w:val="black"/>
        </w:rPr>
        <w:t>2) 自救器</w:t>
      </w:r>
    </w:p>
    <w:p w14:paraId="5F2F9A3B">
      <w:pPr>
        <w:ind w:firstLine="560"/>
        <w:rPr>
          <w:highlight w:val="black"/>
        </w:rPr>
      </w:pPr>
      <w:r>
        <w:rPr>
          <w:rFonts w:hint="eastAsia"/>
          <w:highlight w:val="black"/>
        </w:rPr>
        <w:t>根据《金属非金属地下矿山紧急避险系统建设规范》（AQ/T2033-2023）中要求本矿为入井人员配备自救器。</w:t>
      </w:r>
    </w:p>
    <w:p w14:paraId="403CB6E7">
      <w:pPr>
        <w:ind w:firstLine="560"/>
        <w:rPr>
          <w:highlight w:val="black"/>
        </w:rPr>
      </w:pPr>
      <w:r>
        <w:rPr>
          <w:rFonts w:hint="eastAsia"/>
          <w:highlight w:val="black"/>
        </w:rPr>
        <w:t>本矿为入井人员配备额定防护时间不少于30min的自救器。自救器主要用于井下或环境空气发生有毒气体污染及缺氧窒息性灾害时，现场人员迅速佩戴，保护佩戴人员正常呼吸迅速逃离灾区实现自救。</w:t>
      </w:r>
    </w:p>
    <w:p w14:paraId="7441A437">
      <w:pPr>
        <w:ind w:firstLine="560"/>
        <w:rPr>
          <w:highlight w:val="black"/>
        </w:rPr>
      </w:pPr>
      <w:r>
        <w:rPr>
          <w:rFonts w:hint="eastAsia"/>
          <w:highlight w:val="black"/>
        </w:rPr>
        <w:t>根据定员计算，本矿人数为</w:t>
      </w:r>
      <w:r>
        <w:rPr>
          <w:highlight w:val="black"/>
        </w:rPr>
        <w:t>81</w:t>
      </w:r>
      <w:r>
        <w:rPr>
          <w:rFonts w:hint="eastAsia"/>
          <w:highlight w:val="black"/>
        </w:rPr>
        <w:t>人，设计配备</w:t>
      </w:r>
      <w:r>
        <w:rPr>
          <w:highlight w:val="black"/>
        </w:rPr>
        <w:t>90</w:t>
      </w:r>
      <w:r>
        <w:rPr>
          <w:rFonts w:hint="eastAsia"/>
          <w:highlight w:val="black"/>
        </w:rPr>
        <w:t>个自救器（</w:t>
      </w:r>
      <w:bookmarkStart w:id="218" w:name="_Hlk169552326"/>
      <w:r>
        <w:rPr>
          <w:rFonts w:hint="eastAsia"/>
          <w:highlight w:val="black"/>
        </w:rPr>
        <w:t>按全矿最大入井人数10%备用</w:t>
      </w:r>
      <w:bookmarkEnd w:id="218"/>
      <w:r>
        <w:rPr>
          <w:rFonts w:hint="eastAsia"/>
          <w:highlight w:val="black"/>
        </w:rPr>
        <w:t>），能够满足井下人员需求。</w:t>
      </w:r>
    </w:p>
    <w:p w14:paraId="1545CC31">
      <w:pPr>
        <w:ind w:firstLine="560"/>
        <w:rPr>
          <w:highlight w:val="black"/>
        </w:rPr>
      </w:pPr>
      <w:r>
        <w:rPr>
          <w:rFonts w:hint="eastAsia"/>
          <w:highlight w:val="black"/>
        </w:rPr>
        <w:t>3) 应急预案</w:t>
      </w:r>
    </w:p>
    <w:p w14:paraId="31B7312B">
      <w:pPr>
        <w:ind w:firstLine="560"/>
        <w:rPr>
          <w:highlight w:val="black"/>
        </w:rPr>
      </w:pPr>
      <w:r>
        <w:rPr>
          <w:rFonts w:hint="eastAsia"/>
          <w:highlight w:val="black"/>
        </w:rPr>
        <w:t>矿山应编制事故应急预案，制定各种灾害的避灾路线，绘制井下避灾线路图，并按照《矿山安全标志》（GB14161-2008）的规定，做好井下避灾路线的标识。井巷的所有分道口要有醒目的路标，注明其所在地点及通往地面出口的方向，并定期检查维护避灾路线，保持其通畅。</w:t>
      </w:r>
    </w:p>
    <w:p w14:paraId="5BE60F64">
      <w:pPr>
        <w:ind w:firstLine="560"/>
        <w:rPr>
          <w:highlight w:val="black"/>
        </w:rPr>
      </w:pPr>
      <w:r>
        <w:rPr>
          <w:rFonts w:hint="eastAsia"/>
          <w:highlight w:val="black"/>
        </w:rPr>
        <w:t>矿山应按照对事故危险源实行连续监控，发现可能导致重特大安全事故的隐患或险情，应立即停产整顿，并及时分析原因，制定整改方案，采取切实可行的措施，及时消除隐患，预防事故发生</w:t>
      </w:r>
      <w:bookmarkEnd w:id="217"/>
      <w:r>
        <w:rPr>
          <w:rFonts w:hint="eastAsia"/>
          <w:highlight w:val="black"/>
        </w:rPr>
        <w:t>。</w:t>
      </w:r>
    </w:p>
    <w:p w14:paraId="2D557720">
      <w:pPr>
        <w:ind w:firstLine="0" w:firstLineChars="0"/>
        <w:rPr>
          <w:rFonts w:hint="eastAsia" w:ascii="宋体" w:hAnsi="宋体" w:cs="宋体"/>
          <w:b/>
          <w:bCs/>
          <w:highlight w:val="black"/>
        </w:rPr>
      </w:pPr>
    </w:p>
    <w:p w14:paraId="23E96831">
      <w:pPr>
        <w:ind w:firstLine="0" w:firstLineChars="0"/>
        <w:rPr>
          <w:rFonts w:ascii="宋体" w:hAnsi="宋体" w:cs="宋体"/>
          <w:b/>
          <w:bCs/>
        </w:rPr>
      </w:pPr>
      <w:r>
        <w:rPr>
          <w:rFonts w:hint="eastAsia" w:ascii="宋体" w:hAnsi="宋体" w:cs="宋体"/>
          <w:b/>
          <w:bCs/>
        </w:rPr>
        <w:t>2.4.11.4 压风自救系统</w:t>
      </w:r>
    </w:p>
    <w:p w14:paraId="4C4ED2C0">
      <w:pPr>
        <w:ind w:firstLine="560"/>
        <w:rPr>
          <w:highlight w:val="black"/>
        </w:rPr>
      </w:pPr>
      <w:bookmarkStart w:id="219" w:name="_Hlk169552468"/>
      <w:r>
        <w:rPr>
          <w:highlight w:val="black"/>
        </w:rPr>
        <w:t>设计在首采中段30</w:t>
      </w:r>
      <w:r>
        <w:rPr>
          <w:rFonts w:hint="eastAsia"/>
          <w:highlight w:val="black"/>
        </w:rPr>
        <w:t>m</w:t>
      </w:r>
      <w:r>
        <w:rPr>
          <w:highlight w:val="black"/>
        </w:rPr>
        <w:t>生产中段布置压风自救系统，压风自救系统空压机及供风网络与生产供风系统共用，井下主压风管道中安装油水分离器。</w:t>
      </w:r>
    </w:p>
    <w:p w14:paraId="06F7FD60">
      <w:pPr>
        <w:ind w:firstLine="560"/>
        <w:rPr>
          <w:highlight w:val="black"/>
        </w:rPr>
      </w:pPr>
      <w:r>
        <w:rPr>
          <w:highlight w:val="black"/>
        </w:rPr>
        <w:t>根据压风自救系统安装区域工作人员数量，并考虑输气管路的漏风量和一定的</w:t>
      </w:r>
      <w:r>
        <w:rPr>
          <w:rFonts w:hint="eastAsia"/>
          <w:highlight w:val="black"/>
        </w:rPr>
        <w:t>富余</w:t>
      </w:r>
      <w:r>
        <w:rPr>
          <w:highlight w:val="black"/>
        </w:rPr>
        <w:t>量按下式确定供风量。按照最多人数</w:t>
      </w:r>
      <w:r>
        <w:rPr>
          <w:rFonts w:hint="eastAsia"/>
          <w:highlight w:val="black"/>
        </w:rPr>
        <w:t>2</w:t>
      </w:r>
      <w:r>
        <w:rPr>
          <w:highlight w:val="black"/>
        </w:rPr>
        <w:t>9人计算，设计每人需风量为0.3m</w:t>
      </w:r>
      <w:r>
        <w:rPr>
          <w:highlight w:val="black"/>
          <w:vertAlign w:val="superscript"/>
        </w:rPr>
        <w:t>3</w:t>
      </w:r>
      <w:r>
        <w:rPr>
          <w:highlight w:val="black"/>
        </w:rPr>
        <w:t>/min，则避灾时需风量为：</w:t>
      </w:r>
    </w:p>
    <w:p w14:paraId="72BFF562">
      <w:pPr>
        <w:tabs>
          <w:tab w:val="right" w:pos="8306"/>
        </w:tabs>
        <w:spacing w:line="520" w:lineRule="atLeast"/>
        <w:ind w:firstLineChars="0"/>
        <w:jc w:val="center"/>
        <w:rPr>
          <w:szCs w:val="28"/>
          <w:highlight w:val="black"/>
        </w:rPr>
      </w:pPr>
      <w:r>
        <w:rPr>
          <w:szCs w:val="28"/>
          <w:highlight w:val="black"/>
        </w:rPr>
        <w:t>Q</w:t>
      </w:r>
      <w:r>
        <w:rPr>
          <w:szCs w:val="28"/>
          <w:highlight w:val="black"/>
          <w:vertAlign w:val="subscript"/>
        </w:rPr>
        <w:t>总</w:t>
      </w:r>
      <w:r>
        <w:rPr>
          <w:szCs w:val="28"/>
          <w:highlight w:val="black"/>
        </w:rPr>
        <w:t>=K×K</w:t>
      </w:r>
      <w:r>
        <w:rPr>
          <w:szCs w:val="28"/>
          <w:highlight w:val="black"/>
          <w:vertAlign w:val="subscript"/>
        </w:rPr>
        <w:t>1</w:t>
      </w:r>
      <w:r>
        <w:rPr>
          <w:szCs w:val="28"/>
          <w:highlight w:val="black"/>
        </w:rPr>
        <w:t>×∑</w:t>
      </w:r>
      <w:r>
        <w:rPr>
          <w:szCs w:val="28"/>
          <w:highlight w:val="black"/>
          <w:vertAlign w:val="subscript"/>
        </w:rPr>
        <w:t>总</w:t>
      </w:r>
      <w:r>
        <w:rPr>
          <w:szCs w:val="28"/>
          <w:highlight w:val="black"/>
        </w:rPr>
        <w:t>×q</w:t>
      </w:r>
      <w:r>
        <w:rPr>
          <w:szCs w:val="28"/>
          <w:highlight w:val="black"/>
          <w:vertAlign w:val="subscript"/>
        </w:rPr>
        <w:t>自</w:t>
      </w:r>
      <w:r>
        <w:rPr>
          <w:szCs w:val="28"/>
          <w:highlight w:val="black"/>
        </w:rPr>
        <w:t>=1.2×1.2×</w:t>
      </w:r>
      <w:r>
        <w:rPr>
          <w:rFonts w:hint="eastAsia"/>
          <w:szCs w:val="28"/>
          <w:highlight w:val="black"/>
        </w:rPr>
        <w:t>2</w:t>
      </w:r>
      <w:r>
        <w:rPr>
          <w:szCs w:val="28"/>
          <w:highlight w:val="black"/>
        </w:rPr>
        <w:t>9×0.3=12</w:t>
      </w:r>
      <w:r>
        <w:rPr>
          <w:rFonts w:hint="eastAsia"/>
          <w:szCs w:val="28"/>
          <w:highlight w:val="black"/>
        </w:rPr>
        <w:t>.53</w:t>
      </w:r>
      <w:r>
        <w:rPr>
          <w:szCs w:val="28"/>
          <w:highlight w:val="black"/>
        </w:rPr>
        <w:t>m</w:t>
      </w:r>
      <w:r>
        <w:rPr>
          <w:szCs w:val="28"/>
          <w:highlight w:val="black"/>
          <w:vertAlign w:val="superscript"/>
        </w:rPr>
        <w:t>3</w:t>
      </w:r>
      <w:r>
        <w:rPr>
          <w:szCs w:val="28"/>
          <w:highlight w:val="black"/>
        </w:rPr>
        <w:t>/min</w:t>
      </w:r>
    </w:p>
    <w:p w14:paraId="4935A291">
      <w:pPr>
        <w:tabs>
          <w:tab w:val="right" w:pos="8306"/>
        </w:tabs>
        <w:spacing w:line="520" w:lineRule="atLeast"/>
        <w:ind w:firstLineChars="0"/>
        <w:rPr>
          <w:szCs w:val="28"/>
          <w:highlight w:val="black"/>
        </w:rPr>
      </w:pPr>
      <w:r>
        <w:rPr>
          <w:szCs w:val="28"/>
          <w:highlight w:val="black"/>
        </w:rPr>
        <w:t>式中：Q</w:t>
      </w:r>
      <w:r>
        <w:rPr>
          <w:szCs w:val="28"/>
          <w:highlight w:val="black"/>
          <w:vertAlign w:val="subscript"/>
        </w:rPr>
        <w:t>总</w:t>
      </w:r>
      <w:r>
        <w:rPr>
          <w:szCs w:val="28"/>
          <w:highlight w:val="black"/>
        </w:rPr>
        <w:t>—所需风量m</w:t>
      </w:r>
      <w:r>
        <w:rPr>
          <w:szCs w:val="28"/>
          <w:highlight w:val="black"/>
          <w:vertAlign w:val="superscript"/>
        </w:rPr>
        <w:t>3</w:t>
      </w:r>
      <w:r>
        <w:rPr>
          <w:szCs w:val="28"/>
          <w:highlight w:val="black"/>
        </w:rPr>
        <w:t>/min；</w:t>
      </w:r>
    </w:p>
    <w:p w14:paraId="29AA7928">
      <w:pPr>
        <w:tabs>
          <w:tab w:val="right" w:pos="8306"/>
        </w:tabs>
        <w:spacing w:line="520" w:lineRule="atLeast"/>
        <w:ind w:firstLine="1218" w:firstLineChars="0"/>
        <w:rPr>
          <w:szCs w:val="28"/>
          <w:highlight w:val="black"/>
        </w:rPr>
      </w:pPr>
      <w:r>
        <w:rPr>
          <w:szCs w:val="28"/>
          <w:highlight w:val="black"/>
        </w:rPr>
        <w:t>K—压风管路漏风系数，取1.2；</w:t>
      </w:r>
    </w:p>
    <w:p w14:paraId="0BF6BD44">
      <w:pPr>
        <w:tabs>
          <w:tab w:val="right" w:pos="8306"/>
        </w:tabs>
        <w:spacing w:line="520" w:lineRule="atLeast"/>
        <w:ind w:firstLine="1218" w:firstLineChars="0"/>
        <w:rPr>
          <w:szCs w:val="28"/>
          <w:highlight w:val="black"/>
        </w:rPr>
      </w:pPr>
      <w:r>
        <w:rPr>
          <w:szCs w:val="28"/>
          <w:highlight w:val="black"/>
        </w:rPr>
        <w:t>K</w:t>
      </w:r>
      <w:r>
        <w:rPr>
          <w:szCs w:val="28"/>
          <w:highlight w:val="black"/>
          <w:vertAlign w:val="subscript"/>
        </w:rPr>
        <w:t>1</w:t>
      </w:r>
      <w:r>
        <w:rPr>
          <w:szCs w:val="28"/>
          <w:highlight w:val="black"/>
        </w:rPr>
        <w:t>—压风自救器安装区域工作人员不均衡系数，取1.2；</w:t>
      </w:r>
    </w:p>
    <w:p w14:paraId="13C782FE">
      <w:pPr>
        <w:tabs>
          <w:tab w:val="right" w:pos="8306"/>
        </w:tabs>
        <w:spacing w:line="520" w:lineRule="atLeast"/>
        <w:ind w:firstLine="1218" w:firstLineChars="0"/>
        <w:rPr>
          <w:szCs w:val="28"/>
          <w:highlight w:val="black"/>
        </w:rPr>
      </w:pPr>
      <w:r>
        <w:rPr>
          <w:szCs w:val="28"/>
          <w:highlight w:val="black"/>
        </w:rPr>
        <w:t>∑</w:t>
      </w:r>
      <w:r>
        <w:rPr>
          <w:szCs w:val="28"/>
          <w:highlight w:val="black"/>
          <w:vertAlign w:val="subscript"/>
        </w:rPr>
        <w:t>总</w:t>
      </w:r>
      <w:r>
        <w:rPr>
          <w:szCs w:val="28"/>
          <w:highlight w:val="black"/>
        </w:rPr>
        <w:t>—压风自救安装区域工作的最多人数，</w:t>
      </w:r>
      <w:r>
        <w:rPr>
          <w:rFonts w:hint="eastAsia"/>
          <w:szCs w:val="28"/>
          <w:highlight w:val="black"/>
        </w:rPr>
        <w:t>27</w:t>
      </w:r>
      <w:r>
        <w:rPr>
          <w:szCs w:val="28"/>
          <w:highlight w:val="black"/>
        </w:rPr>
        <w:t>个；</w:t>
      </w:r>
    </w:p>
    <w:p w14:paraId="67F900F8">
      <w:pPr>
        <w:spacing w:line="520" w:lineRule="atLeast"/>
        <w:ind w:firstLine="1218" w:firstLineChars="0"/>
        <w:rPr>
          <w:szCs w:val="28"/>
          <w:highlight w:val="black"/>
        </w:rPr>
      </w:pPr>
      <w:r>
        <w:rPr>
          <w:szCs w:val="28"/>
          <w:highlight w:val="black"/>
        </w:rPr>
        <w:t>q</w:t>
      </w:r>
      <w:r>
        <w:rPr>
          <w:szCs w:val="28"/>
          <w:highlight w:val="black"/>
          <w:vertAlign w:val="subscript"/>
        </w:rPr>
        <w:t>自</w:t>
      </w:r>
      <w:r>
        <w:rPr>
          <w:szCs w:val="28"/>
          <w:highlight w:val="black"/>
        </w:rPr>
        <w:t>—压缩空气供风量，每人按0.3m</w:t>
      </w:r>
      <w:r>
        <w:rPr>
          <w:szCs w:val="28"/>
          <w:highlight w:val="black"/>
          <w:vertAlign w:val="superscript"/>
        </w:rPr>
        <w:t>3</w:t>
      </w:r>
      <w:r>
        <w:rPr>
          <w:szCs w:val="28"/>
          <w:highlight w:val="black"/>
        </w:rPr>
        <w:t>/min。</w:t>
      </w:r>
    </w:p>
    <w:p w14:paraId="56A71ADC">
      <w:pPr>
        <w:adjustRightInd w:val="0"/>
        <w:snapToGrid w:val="0"/>
        <w:spacing w:line="520" w:lineRule="atLeast"/>
        <w:ind w:firstLine="560"/>
        <w:rPr>
          <w:bCs/>
          <w:szCs w:val="28"/>
          <w:highlight w:val="black"/>
        </w:rPr>
      </w:pPr>
      <w:r>
        <w:rPr>
          <w:bCs/>
          <w:szCs w:val="28"/>
          <w:highlight w:val="black"/>
        </w:rPr>
        <w:t>计算</w:t>
      </w:r>
      <w:r>
        <w:rPr>
          <w:szCs w:val="28"/>
          <w:highlight w:val="black"/>
        </w:rPr>
        <w:t>压风自救系统</w:t>
      </w:r>
      <w:r>
        <w:rPr>
          <w:bCs/>
          <w:szCs w:val="28"/>
          <w:highlight w:val="black"/>
        </w:rPr>
        <w:t>需气量为</w:t>
      </w:r>
      <w:r>
        <w:rPr>
          <w:rFonts w:hint="eastAsia"/>
          <w:bCs/>
          <w:szCs w:val="28"/>
          <w:highlight w:val="black"/>
        </w:rPr>
        <w:t>12.53</w:t>
      </w:r>
      <w:r>
        <w:rPr>
          <w:bCs/>
          <w:szCs w:val="28"/>
          <w:highlight w:val="black"/>
        </w:rPr>
        <w:t>m</w:t>
      </w:r>
      <w:r>
        <w:rPr>
          <w:bCs/>
          <w:szCs w:val="28"/>
          <w:highlight w:val="black"/>
          <w:vertAlign w:val="superscript"/>
        </w:rPr>
        <w:t>3</w:t>
      </w:r>
      <w:r>
        <w:rPr>
          <w:bCs/>
          <w:szCs w:val="28"/>
          <w:highlight w:val="black"/>
        </w:rPr>
        <w:t>/min，已经统计到压气系统内。</w:t>
      </w:r>
    </w:p>
    <w:p w14:paraId="63BE51EC">
      <w:pPr>
        <w:ind w:firstLine="560"/>
        <w:rPr>
          <w:highlight w:val="black"/>
        </w:rPr>
      </w:pPr>
      <w:r>
        <w:rPr>
          <w:rFonts w:hint="eastAsia"/>
          <w:highlight w:val="black"/>
        </w:rPr>
        <w:t>主要生产中段和分段巷道的压风管路上设置的供气阀门，中段和分段间隔不大于200</w:t>
      </w:r>
      <w:r>
        <w:rPr>
          <w:highlight w:val="black"/>
        </w:rPr>
        <w:t>m</w:t>
      </w:r>
      <w:r>
        <w:rPr>
          <w:rFonts w:hint="eastAsia"/>
          <w:highlight w:val="black"/>
        </w:rPr>
        <w:t>。独头掘进巷道距掘进工作面不大于100m处的压风管道上应安设一组三通与供气阀门，相邻两组供气阀门安设间距应不大于200m。有毒有害气体涌出的独头掘进巷道距掘进工作面不大于100m处的压风管道上应安设压风自救装置</w:t>
      </w:r>
      <w:r>
        <w:rPr>
          <w:highlight w:val="black"/>
        </w:rPr>
        <w:t>。</w:t>
      </w:r>
      <w:r>
        <w:rPr>
          <w:rFonts w:hint="eastAsia"/>
          <w:highlight w:val="black"/>
        </w:rPr>
        <w:t>阀门采用DN25，PN1.0MPa闸阀。</w:t>
      </w:r>
    </w:p>
    <w:p w14:paraId="1759A912">
      <w:pPr>
        <w:ind w:firstLine="560"/>
        <w:rPr>
          <w:highlight w:val="black"/>
        </w:rPr>
      </w:pPr>
      <w:r>
        <w:rPr>
          <w:highlight w:val="black"/>
        </w:rPr>
        <w:t>在紧急避险设施、爆破时撤离人员集中地点等主要地点设置三通及阀门。</w:t>
      </w:r>
    </w:p>
    <w:p w14:paraId="65B7E550">
      <w:pPr>
        <w:ind w:firstLine="560"/>
        <w:rPr>
          <w:highlight w:val="black"/>
        </w:rPr>
      </w:pPr>
      <w:r>
        <w:rPr>
          <w:highlight w:val="black"/>
        </w:rPr>
        <w:t>压风自救系统将按照建设规范设计施工，当井下灾变发生时，为井下人员提供正常空气</w:t>
      </w:r>
      <w:bookmarkEnd w:id="219"/>
      <w:r>
        <w:rPr>
          <w:highlight w:val="black"/>
        </w:rPr>
        <w:t>。</w:t>
      </w:r>
    </w:p>
    <w:p w14:paraId="5AE51CBB">
      <w:pPr>
        <w:ind w:firstLine="0" w:firstLineChars="0"/>
      </w:pPr>
      <w:r>
        <w:rPr>
          <w:rFonts w:hint="eastAsia" w:ascii="宋体" w:hAnsi="宋体" w:cs="宋体"/>
          <w:b/>
          <w:bCs/>
        </w:rPr>
        <w:t xml:space="preserve">2.4.11.5 供水施救系统   </w:t>
      </w:r>
      <w:r>
        <w:t xml:space="preserve">                </w:t>
      </w:r>
    </w:p>
    <w:p w14:paraId="228C16A4">
      <w:pPr>
        <w:ind w:firstLine="560"/>
        <w:rPr>
          <w:highlight w:val="black"/>
        </w:rPr>
      </w:pPr>
      <w:bookmarkStart w:id="220" w:name="_Hlk169552482"/>
      <w:r>
        <w:rPr>
          <w:highlight w:val="black"/>
        </w:rPr>
        <w:t>依据《金属非金属地下矿山供水施救系统建设规范》(AQ</w:t>
      </w:r>
      <w:r>
        <w:rPr>
          <w:rFonts w:hint="eastAsia"/>
          <w:highlight w:val="black"/>
        </w:rPr>
        <w:t>/T</w:t>
      </w:r>
      <w:r>
        <w:rPr>
          <w:highlight w:val="black"/>
        </w:rPr>
        <w:t>2035-20</w:t>
      </w:r>
      <w:r>
        <w:rPr>
          <w:rFonts w:hint="eastAsia"/>
          <w:highlight w:val="black"/>
        </w:rPr>
        <w:t>23</w:t>
      </w:r>
      <w:r>
        <w:rPr>
          <w:highlight w:val="black"/>
        </w:rPr>
        <w:t>)：“供水施救系统应优先采用静压供水。供水管道应采用钢质材料或其他具有同等强度的阻燃材料。</w:t>
      </w:r>
      <w:r>
        <w:rPr>
          <w:rFonts w:hint="eastAsia"/>
          <w:highlight w:val="black"/>
        </w:rPr>
        <w:t>各主要生产中段巷道的供水管道上每隔200m安设一组三通及阀门。独头掘进巷道距掘进工作面不大于100m处的供水管道上应安设一组供水阀门，相邻两组供水阀门安设间距应不大于200m。供水阀门安装地点应宽敞、稳固，安装位置应便于避灾人员使用；阀门应开关灵活”</w:t>
      </w:r>
      <w:r>
        <w:rPr>
          <w:highlight w:val="black"/>
        </w:rPr>
        <w:t>。设计供水施救系统如下：</w:t>
      </w:r>
    </w:p>
    <w:p w14:paraId="734D49D9">
      <w:pPr>
        <w:ind w:firstLine="560"/>
        <w:rPr>
          <w:highlight w:val="black"/>
        </w:rPr>
      </w:pPr>
      <w:r>
        <w:rPr>
          <w:highlight w:val="black"/>
        </w:rPr>
        <w:t>供水施救系统与生产供水系统为同一管路，在井口通过闸阀控制进行转化，当发生灾变时，将供水水源改为生活用水，供井下人员使用，实现供水自救。供水施救系统必须安设入井前、采区、工作面等多级水质过滤器，进入采掘工作面前的管路上装备高质量的水质过滤装置，过滤器有反水清杂装置并每月检查清理一次。供水应保持24小时有水。</w:t>
      </w:r>
    </w:p>
    <w:p w14:paraId="7716F37A">
      <w:pPr>
        <w:ind w:firstLine="560"/>
        <w:rPr>
          <w:highlight w:val="black"/>
        </w:rPr>
      </w:pPr>
      <w:r>
        <w:rPr>
          <w:highlight w:val="black"/>
        </w:rPr>
        <w:t>设计采用三通及阀门规格DN70，数量7个</w:t>
      </w:r>
      <w:bookmarkEnd w:id="220"/>
      <w:r>
        <w:rPr>
          <w:highlight w:val="black"/>
        </w:rPr>
        <w:t>。</w:t>
      </w:r>
    </w:p>
    <w:p w14:paraId="46879405">
      <w:pPr>
        <w:pStyle w:val="7"/>
        <w:ind w:firstLine="0" w:firstLineChars="0"/>
        <w:rPr>
          <w:rFonts w:hAnsi="宋体" w:cs="宋体"/>
          <w:b/>
          <w:bCs/>
          <w:szCs w:val="24"/>
        </w:rPr>
      </w:pPr>
      <w:r>
        <w:rPr>
          <w:rFonts w:hint="eastAsia"/>
          <w:b/>
          <w:bCs/>
        </w:rPr>
        <w:t xml:space="preserve">2.4.11.6 通信联络系统 </w:t>
      </w:r>
      <w:r>
        <w:rPr>
          <w:rFonts w:hint="eastAsia" w:hAnsi="宋体" w:cs="宋体"/>
          <w:b/>
          <w:bCs/>
          <w:szCs w:val="24"/>
        </w:rPr>
        <w:t xml:space="preserve"> </w:t>
      </w:r>
    </w:p>
    <w:p w14:paraId="5A4651AA">
      <w:pPr>
        <w:ind w:firstLine="560"/>
        <w:rPr>
          <w:highlight w:val="black"/>
        </w:rPr>
      </w:pPr>
      <w:bookmarkStart w:id="221" w:name="_Hlk119418366"/>
      <w:bookmarkStart w:id="222" w:name="_Hlk169552490"/>
      <w:r>
        <w:rPr>
          <w:rFonts w:hint="eastAsia"/>
          <w:highlight w:val="black"/>
        </w:rPr>
        <w:t>（1）系统设置</w:t>
      </w:r>
    </w:p>
    <w:p w14:paraId="56B7DC65">
      <w:pPr>
        <w:ind w:firstLine="560"/>
        <w:rPr>
          <w:highlight w:val="black"/>
        </w:rPr>
      </w:pPr>
      <w:r>
        <w:rPr>
          <w:highlight w:val="black"/>
        </w:rPr>
        <w:t>地表调度室采用KTJ4H-20型程控交换机，具有防水、防腐、防尘功能，矿用接线盒采用JA-1-10以及JA-1-20型，电话机地表采用普通电话机，井下采用KTH-3型本安型电话机。电话机安装地点及数量如下：</w:t>
      </w:r>
    </w:p>
    <w:p w14:paraId="668EEF46">
      <w:pPr>
        <w:ind w:firstLine="560"/>
        <w:rPr>
          <w:highlight w:val="black"/>
        </w:rPr>
      </w:pPr>
      <w:r>
        <w:rPr>
          <w:highlight w:val="black"/>
        </w:rPr>
        <w:t>地表普通型电话机：调度室2台、矿长办公室1台、通风机房1台、变电所1台、安全生产技术办公室1台、出入井登记室1台，共</w:t>
      </w:r>
      <w:r>
        <w:rPr>
          <w:rFonts w:hint="eastAsia"/>
          <w:highlight w:val="black"/>
        </w:rPr>
        <w:t>8</w:t>
      </w:r>
      <w:r>
        <w:rPr>
          <w:highlight w:val="black"/>
        </w:rPr>
        <w:t>台；井下本安型电话机：水泵房1台、矿房工作面共8台、掘进工作面4台、采准工作面4台、井底车场</w:t>
      </w:r>
      <w:r>
        <w:rPr>
          <w:rFonts w:hint="eastAsia"/>
          <w:highlight w:val="black"/>
        </w:rPr>
        <w:t>4</w:t>
      </w:r>
      <w:r>
        <w:rPr>
          <w:highlight w:val="black"/>
        </w:rPr>
        <w:t>台、井下配电室1台，共24台</w:t>
      </w:r>
      <w:bookmarkEnd w:id="221"/>
      <w:r>
        <w:rPr>
          <w:highlight w:val="black"/>
        </w:rPr>
        <w:t>。</w:t>
      </w:r>
    </w:p>
    <w:p w14:paraId="147E2F71">
      <w:pPr>
        <w:ind w:firstLine="560"/>
        <w:rPr>
          <w:highlight w:val="black"/>
        </w:rPr>
      </w:pPr>
      <w:r>
        <w:rPr>
          <w:highlight w:val="black"/>
        </w:rPr>
        <w:t>根据通讯要求，选择ZRC-MHYA型10×2×0.4阻燃通讯电缆2条。</w:t>
      </w:r>
    </w:p>
    <w:p w14:paraId="47EEC1D1">
      <w:pPr>
        <w:ind w:firstLine="560"/>
        <w:rPr>
          <w:highlight w:val="black"/>
        </w:rPr>
      </w:pPr>
      <w:r>
        <w:rPr>
          <w:rFonts w:hint="eastAsia"/>
          <w:highlight w:val="black"/>
        </w:rPr>
        <w:t>一条从斜坡道进入井下配线设备，另一条从回风井进入井下配线设备</w:t>
      </w:r>
      <w:r>
        <w:rPr>
          <w:highlight w:val="black"/>
        </w:rPr>
        <w:t>；其中任何一条通讯电缆发生故障，另一条通讯电缆的容量能担负井下各通讯终端的通讯能力</w:t>
      </w:r>
      <w:bookmarkEnd w:id="222"/>
      <w:r>
        <w:rPr>
          <w:highlight w:val="black"/>
        </w:rPr>
        <w:t>。</w:t>
      </w:r>
    </w:p>
    <w:p w14:paraId="2D8E3882">
      <w:pPr>
        <w:ind w:firstLine="560"/>
        <w:rPr>
          <w:highlight w:val="black"/>
        </w:rPr>
      </w:pPr>
      <w:r>
        <w:rPr>
          <w:rFonts w:hint="eastAsia"/>
          <w:highlight w:val="black"/>
        </w:rPr>
        <w:t>（2）应急广播系统</w:t>
      </w:r>
    </w:p>
    <w:p w14:paraId="441A94F0">
      <w:pPr>
        <w:ind w:firstLine="560"/>
        <w:rPr>
          <w:highlight w:val="black"/>
        </w:rPr>
      </w:pPr>
      <w:r>
        <w:rPr>
          <w:rFonts w:hint="eastAsia"/>
          <w:highlight w:val="black"/>
        </w:rPr>
        <w:t>国家矿山安全监察局关于印发《关于加强非煤矿山安全生产工作的指导意见》的通知，矿安〔2022〕4号文要求，井下建立应急广播系统。</w:t>
      </w:r>
    </w:p>
    <w:p w14:paraId="4AD0A07D">
      <w:pPr>
        <w:ind w:firstLine="560"/>
        <w:rPr>
          <w:highlight w:val="black"/>
        </w:rPr>
      </w:pPr>
      <w:r>
        <w:rPr>
          <w:rFonts w:hint="eastAsia"/>
          <w:highlight w:val="black"/>
        </w:rPr>
        <w:t>应急广播系统主要由地面播放设备及井下音箱组成。地面播放设备安装于调度室，井下防爆音箱一般安装于井下大巷、停车场、休息室、采掘工作面等场所，通过应急广播发布风险预警预报信息，为井下工作人员及时做好灾害防范应对准备，提高职工的安全生产意识。最主要是在矿井安全出现紧急情况下，可以在调度指挥中心，通过广播系统向井下覆盖地点下达安全指令，从而有效的指导人员的安全撤离。</w:t>
      </w:r>
    </w:p>
    <w:p w14:paraId="40A9CB6E">
      <w:pPr>
        <w:pStyle w:val="4"/>
        <w:ind w:firstLine="0" w:firstLineChars="0"/>
      </w:pPr>
      <w:r>
        <w:t>2.4.</w:t>
      </w:r>
      <w:r>
        <w:rPr>
          <w:rFonts w:hint="eastAsia"/>
        </w:rPr>
        <w:t xml:space="preserve">12 </w:t>
      </w:r>
      <w:r>
        <w:t>压风及供水系统</w:t>
      </w:r>
    </w:p>
    <w:p w14:paraId="4CEE03A4">
      <w:pPr>
        <w:ind w:firstLine="560"/>
        <w:rPr>
          <w:highlight w:val="black"/>
        </w:rPr>
      </w:pPr>
      <w:r>
        <w:rPr>
          <w:rFonts w:hint="eastAsia"/>
          <w:highlight w:val="black"/>
        </w:rPr>
        <w:t>（1）</w:t>
      </w:r>
      <w:r>
        <w:rPr>
          <w:highlight w:val="black"/>
        </w:rPr>
        <w:t>压风系统</w:t>
      </w:r>
    </w:p>
    <w:p w14:paraId="620E8BC2">
      <w:pPr>
        <w:ind w:firstLine="560"/>
        <w:rPr>
          <w:highlight w:val="black"/>
        </w:rPr>
      </w:pPr>
      <w:bookmarkStart w:id="223" w:name="_Hlk57796892"/>
      <w:r>
        <w:rPr>
          <w:rFonts w:hint="eastAsia"/>
          <w:highlight w:val="black"/>
        </w:rPr>
        <w:t>本矿山</w:t>
      </w:r>
      <w:r>
        <w:rPr>
          <w:highlight w:val="black"/>
        </w:rPr>
        <w:t>井下凿岩主要是应用液压型凿岩台车及</w:t>
      </w:r>
      <w:r>
        <w:rPr>
          <w:rFonts w:hint="eastAsia"/>
          <w:highlight w:val="black"/>
        </w:rPr>
        <w:t>掘进</w:t>
      </w:r>
      <w:r>
        <w:rPr>
          <w:highlight w:val="black"/>
        </w:rPr>
        <w:t>台车，</w:t>
      </w:r>
      <w:r>
        <w:rPr>
          <w:rFonts w:hint="eastAsia"/>
          <w:highlight w:val="black"/>
        </w:rPr>
        <w:t>凿岩</w:t>
      </w:r>
      <w:r>
        <w:rPr>
          <w:highlight w:val="black"/>
        </w:rPr>
        <w:t>以液压</w:t>
      </w:r>
      <w:r>
        <w:rPr>
          <w:rFonts w:hint="eastAsia"/>
          <w:highlight w:val="black"/>
        </w:rPr>
        <w:t>为</w:t>
      </w:r>
      <w:r>
        <w:rPr>
          <w:highlight w:val="black"/>
        </w:rPr>
        <w:t>动力，无需供风。故本</w:t>
      </w:r>
      <w:r>
        <w:rPr>
          <w:rFonts w:hint="eastAsia"/>
          <w:highlight w:val="black"/>
        </w:rPr>
        <w:t>矿山</w:t>
      </w:r>
      <w:r>
        <w:rPr>
          <w:highlight w:val="black"/>
        </w:rPr>
        <w:t>井下需</w:t>
      </w:r>
      <w:r>
        <w:rPr>
          <w:rFonts w:hint="eastAsia"/>
          <w:highlight w:val="black"/>
        </w:rPr>
        <w:t>供风</w:t>
      </w:r>
      <w:r>
        <w:rPr>
          <w:highlight w:val="black"/>
        </w:rPr>
        <w:t>设备主要是辅助用</w:t>
      </w:r>
      <w:r>
        <w:rPr>
          <w:rFonts w:hint="eastAsia"/>
          <w:highlight w:val="black"/>
        </w:rPr>
        <w:t>YT</w:t>
      </w:r>
      <w:r>
        <w:rPr>
          <w:highlight w:val="black"/>
        </w:rPr>
        <w:t>-28</w:t>
      </w:r>
      <w:r>
        <w:rPr>
          <w:rFonts w:hint="eastAsia"/>
          <w:highlight w:val="black"/>
        </w:rPr>
        <w:t>、YSP-45型</w:t>
      </w:r>
      <w:r>
        <w:rPr>
          <w:highlight w:val="black"/>
        </w:rPr>
        <w:t>凿岩机，以及压风自救</w:t>
      </w:r>
      <w:r>
        <w:rPr>
          <w:rFonts w:hint="eastAsia"/>
          <w:highlight w:val="black"/>
        </w:rPr>
        <w:t>用风。根据用风设备以及压风自救系统需风量计算</w:t>
      </w:r>
      <w:r>
        <w:rPr>
          <w:highlight w:val="black"/>
        </w:rPr>
        <w:t>井下总的需风量为27.4m</w:t>
      </w:r>
      <w:r>
        <w:rPr>
          <w:highlight w:val="black"/>
          <w:vertAlign w:val="superscript"/>
        </w:rPr>
        <w:t>3</w:t>
      </w:r>
      <w:r>
        <w:rPr>
          <w:highlight w:val="black"/>
        </w:rPr>
        <w:t>/min</w:t>
      </w:r>
      <w:r>
        <w:rPr>
          <w:rFonts w:hint="eastAsia"/>
          <w:highlight w:val="black"/>
        </w:rPr>
        <w:t>，</w:t>
      </w:r>
      <w:r>
        <w:rPr>
          <w:highlight w:val="black"/>
        </w:rPr>
        <w:t>设计在</w:t>
      </w:r>
      <w:r>
        <w:rPr>
          <w:rFonts w:hint="eastAsia"/>
          <w:highlight w:val="black"/>
        </w:rPr>
        <w:t>斜坡道</w:t>
      </w:r>
      <w:r>
        <w:rPr>
          <w:highlight w:val="black"/>
        </w:rPr>
        <w:t>工业场地内设置集中供风的空压机站，通过供风管路为井下各用风地点供风，压风自救系统空压机及供风网络与生产供风系统共用，井下主压风管道中安装油水分离器。</w:t>
      </w:r>
      <w:r>
        <w:rPr>
          <w:rFonts w:hint="eastAsia"/>
          <w:highlight w:val="black"/>
        </w:rPr>
        <w:t>设计在空压机站内购置1台DLG</w:t>
      </w:r>
      <w:r>
        <w:rPr>
          <w:highlight w:val="black"/>
        </w:rPr>
        <w:t>F30</w:t>
      </w:r>
      <w:r>
        <w:rPr>
          <w:rFonts w:hint="eastAsia"/>
          <w:highlight w:val="black"/>
        </w:rPr>
        <w:t>/8</w:t>
      </w:r>
      <w:r>
        <w:rPr>
          <w:highlight w:val="black"/>
        </w:rPr>
        <w:t>-185</w:t>
      </w:r>
      <w:r>
        <w:rPr>
          <w:rFonts w:hint="eastAsia"/>
          <w:highlight w:val="black"/>
        </w:rPr>
        <w:t>型空压机，该空压机具有安标证书。</w:t>
      </w:r>
      <w:r>
        <w:rPr>
          <w:highlight w:val="black"/>
        </w:rPr>
        <w:t>DLGF30/8-185型空压机单台供风量Q=30m</w:t>
      </w:r>
      <w:r>
        <w:rPr>
          <w:highlight w:val="black"/>
          <w:vertAlign w:val="superscript"/>
        </w:rPr>
        <w:t>3</w:t>
      </w:r>
      <w:r>
        <w:rPr>
          <w:highlight w:val="black"/>
        </w:rPr>
        <w:t>/min，排气压力0.8MPa，电动机功率为</w:t>
      </w:r>
      <w:r>
        <w:rPr>
          <w:rFonts w:hint="eastAsia"/>
          <w:highlight w:val="black"/>
        </w:rPr>
        <w:t>1</w:t>
      </w:r>
      <w:r>
        <w:rPr>
          <w:highlight w:val="black"/>
        </w:rPr>
        <w:t>85kW，电压380V。</w:t>
      </w:r>
    </w:p>
    <w:bookmarkEnd w:id="223"/>
    <w:p w14:paraId="631481DE">
      <w:pPr>
        <w:ind w:firstLine="560"/>
        <w:rPr>
          <w:highlight w:val="black"/>
        </w:rPr>
      </w:pPr>
      <w:r>
        <w:rPr>
          <w:rFonts w:hint="eastAsia"/>
          <w:highlight w:val="black"/>
        </w:rPr>
        <w:t>（2）</w:t>
      </w:r>
      <w:r>
        <w:rPr>
          <w:highlight w:val="black"/>
        </w:rPr>
        <w:t>供水</w:t>
      </w:r>
      <w:r>
        <w:rPr>
          <w:rFonts w:hint="eastAsia"/>
          <w:highlight w:val="black"/>
        </w:rPr>
        <w:t>系统</w:t>
      </w:r>
    </w:p>
    <w:p w14:paraId="24C70D2C">
      <w:pPr>
        <w:ind w:firstLine="560"/>
        <w:rPr>
          <w:highlight w:val="black"/>
        </w:rPr>
      </w:pPr>
      <w:bookmarkStart w:id="224" w:name="_Hlk57796782"/>
      <w:r>
        <w:rPr>
          <w:highlight w:val="black"/>
        </w:rPr>
        <w:t>1) 生产用水</w:t>
      </w:r>
    </w:p>
    <w:p w14:paraId="03511D91">
      <w:pPr>
        <w:ind w:firstLine="560"/>
        <w:rPr>
          <w:highlight w:val="black"/>
        </w:rPr>
      </w:pPr>
      <w:bookmarkStart w:id="225" w:name="_Hlk169209779"/>
      <w:bookmarkStart w:id="226" w:name="_Hlk117671751"/>
      <w:r>
        <w:rPr>
          <w:highlight w:val="black"/>
        </w:rPr>
        <w:t>井下排水加压提升至地表澄清池，经澄清处理后储存在750m</w:t>
      </w:r>
      <w:r>
        <w:rPr>
          <w:highlight w:val="black"/>
          <w:vertAlign w:val="superscript"/>
        </w:rPr>
        <w:t>3</w:t>
      </w:r>
      <w:r>
        <w:rPr>
          <w:highlight w:val="black"/>
        </w:rPr>
        <w:t>生产、消防储水池内，由生产新水泵组加压后供斜坡道工业场地、井下消防给水以及井下生产用水，系统主管道采用1条D219×6卷焊钢管。</w:t>
      </w:r>
    </w:p>
    <w:p w14:paraId="59E7E937">
      <w:pPr>
        <w:ind w:firstLine="560"/>
        <w:rPr>
          <w:highlight w:val="black"/>
        </w:rPr>
      </w:pPr>
      <w:r>
        <w:rPr>
          <w:highlight w:val="black"/>
        </w:rPr>
        <w:t>应在主管路及支管路设置减压阀，保证消火栓栓口动压力满足要求。</w:t>
      </w:r>
    </w:p>
    <w:p w14:paraId="30EABCE6">
      <w:pPr>
        <w:ind w:firstLine="560"/>
        <w:rPr>
          <w:highlight w:val="black"/>
        </w:rPr>
      </w:pPr>
      <w:r>
        <w:rPr>
          <w:highlight w:val="black"/>
        </w:rPr>
        <w:t>当发生灾变时，将生产高位水池内水更换成饮用水，供井下人员使用，实现供水自救系统</w:t>
      </w:r>
      <w:bookmarkEnd w:id="225"/>
      <w:r>
        <w:rPr>
          <w:highlight w:val="black"/>
        </w:rPr>
        <w:t>。</w:t>
      </w:r>
    </w:p>
    <w:p w14:paraId="385D8CD6">
      <w:pPr>
        <w:ind w:firstLine="560"/>
        <w:rPr>
          <w:highlight w:val="black"/>
        </w:rPr>
      </w:pPr>
      <w:r>
        <w:rPr>
          <w:highlight w:val="black"/>
        </w:rPr>
        <w:t>2) 生活用水</w:t>
      </w:r>
    </w:p>
    <w:p w14:paraId="77F0B9F1">
      <w:pPr>
        <w:ind w:firstLine="560"/>
        <w:rPr>
          <w:highlight w:val="black"/>
        </w:rPr>
      </w:pPr>
      <w:r>
        <w:rPr>
          <w:highlight w:val="black"/>
        </w:rPr>
        <w:t>生活用水与生产用水不共用。设计生活用水采用自备浅井供水</w:t>
      </w:r>
      <w:bookmarkEnd w:id="224"/>
      <w:bookmarkEnd w:id="226"/>
      <w:r>
        <w:rPr>
          <w:highlight w:val="black"/>
        </w:rPr>
        <w:t>。</w:t>
      </w:r>
    </w:p>
    <w:p w14:paraId="691A4856">
      <w:pPr>
        <w:pStyle w:val="4"/>
        <w:ind w:firstLine="0" w:firstLineChars="0"/>
      </w:pPr>
      <w:r>
        <w:t>2.4.1</w:t>
      </w:r>
      <w:r>
        <w:rPr>
          <w:rFonts w:hint="eastAsia"/>
        </w:rPr>
        <w:t>3</w:t>
      </w:r>
      <w:r>
        <w:t>安全管理及其他</w:t>
      </w:r>
    </w:p>
    <w:p w14:paraId="3055F9C3">
      <w:pPr>
        <w:ind w:firstLine="0" w:firstLineChars="0"/>
        <w:rPr>
          <w:rFonts w:ascii="宋体" w:hAnsi="宋体" w:cs="宋体"/>
          <w:b/>
          <w:bCs/>
        </w:rPr>
      </w:pPr>
      <w:r>
        <w:rPr>
          <w:rFonts w:hint="eastAsia" w:ascii="宋体" w:hAnsi="宋体" w:cs="宋体"/>
          <w:b/>
          <w:bCs/>
        </w:rPr>
        <w:t>2.4.13.1矿山安全机构组织系统</w:t>
      </w:r>
    </w:p>
    <w:p w14:paraId="6D5B849B">
      <w:pPr>
        <w:ind w:firstLine="560"/>
        <w:rPr>
          <w:highlight w:val="black"/>
        </w:rPr>
      </w:pPr>
      <w:r>
        <w:rPr>
          <w:rFonts w:hint="eastAsia"/>
          <w:highlight w:val="black"/>
          <w:lang w:eastAsia="zh-CN"/>
        </w:rPr>
        <w:t>（</w:t>
      </w:r>
      <w:r>
        <w:rPr>
          <w:rFonts w:hint="eastAsia"/>
          <w:highlight w:val="black"/>
          <w:lang w:val="en-US" w:eastAsia="zh-CN"/>
        </w:rPr>
        <w:t>1</w:t>
      </w:r>
      <w:r>
        <w:rPr>
          <w:rFonts w:hint="eastAsia"/>
          <w:highlight w:val="black"/>
          <w:lang w:eastAsia="zh-CN"/>
        </w:rPr>
        <w:t>）</w:t>
      </w:r>
      <w:r>
        <w:rPr>
          <w:rFonts w:hint="eastAsia"/>
          <w:highlight w:val="black"/>
        </w:rPr>
        <w:t>安全生产管理机构负责本矿山安全生产的日常管理工作，组织或者参与制定安全生产规章制度、岗位操作规程、安全事故应急预案，组织安全生产教育和培训工作，组织本矿山应急救援演练。</w:t>
      </w:r>
    </w:p>
    <w:p w14:paraId="6AFB152F">
      <w:pPr>
        <w:ind w:firstLine="560"/>
        <w:rPr>
          <w:highlight w:val="black"/>
        </w:rPr>
      </w:pPr>
      <w:r>
        <w:rPr>
          <w:rFonts w:hint="eastAsia"/>
          <w:highlight w:val="black"/>
        </w:rPr>
        <w:t>（</w:t>
      </w:r>
      <w:r>
        <w:rPr>
          <w:rFonts w:hint="eastAsia"/>
          <w:highlight w:val="black"/>
          <w:lang w:val="en-US" w:eastAsia="zh-CN"/>
        </w:rPr>
        <w:t>2</w:t>
      </w:r>
      <w:r>
        <w:rPr>
          <w:rFonts w:hint="eastAsia"/>
          <w:highlight w:val="black"/>
        </w:rPr>
        <w:t>）设置安全生产矿长，总工程师和分管安全、生产、机电的副矿长，以上人员应当具有采矿、地质、矿建（井建）、通风、测量、机电、安全等矿山相关专业大专及以上学历或者中级及以上技术职称。在矿长的直接领导下，负责全矿的安全生产、消防、环保的组织、领导、指挥与协调；职工安全培训教育；重大事故处理；安全规章制度建设；安全生产责任制的检查落实；安全生产工作方面的对外联系工作。</w:t>
      </w:r>
    </w:p>
    <w:p w14:paraId="3D68950D">
      <w:pPr>
        <w:ind w:firstLine="560"/>
        <w:rPr>
          <w:highlight w:val="black"/>
        </w:rPr>
      </w:pPr>
      <w:r>
        <w:rPr>
          <w:rFonts w:hint="eastAsia"/>
          <w:highlight w:val="black"/>
        </w:rPr>
        <w:t>（</w:t>
      </w:r>
      <w:r>
        <w:rPr>
          <w:rFonts w:hint="eastAsia"/>
          <w:highlight w:val="black"/>
          <w:lang w:val="en-US" w:eastAsia="zh-CN"/>
        </w:rPr>
        <w:t>3</w:t>
      </w:r>
      <w:r>
        <w:rPr>
          <w:rFonts w:hint="eastAsia"/>
          <w:highlight w:val="black"/>
        </w:rPr>
        <w:t>）设置安全科长1人，负责全矿山的生产安全、消防及环境保护工作。在安全生产矿长的直接领导下，布置、检查、指挥本科室的工作人员开展安全工作；具体实施矿山安全培训，参与制订矿山安全规划计划和安全规章制度，负责矿山安全技术知识的宣传、推广和应用；</w:t>
      </w:r>
    </w:p>
    <w:p w14:paraId="702AD9A1">
      <w:pPr>
        <w:ind w:firstLine="560"/>
        <w:rPr>
          <w:highlight w:val="black"/>
        </w:rPr>
      </w:pPr>
      <w:r>
        <w:rPr>
          <w:rFonts w:hint="eastAsia"/>
          <w:highlight w:val="black"/>
        </w:rPr>
        <w:t>（</w:t>
      </w:r>
      <w:r>
        <w:rPr>
          <w:rFonts w:hint="eastAsia"/>
          <w:highlight w:val="black"/>
          <w:lang w:val="en-US" w:eastAsia="zh-CN"/>
        </w:rPr>
        <w:t>4</w:t>
      </w:r>
      <w:r>
        <w:rPr>
          <w:rFonts w:hint="eastAsia"/>
          <w:highlight w:val="black"/>
        </w:rPr>
        <w:t>）设置专职安全员3人，分别负责井下支护、通风防尘、灾害检测、巡回检查等方面的工作任务。在安全科长的直接领导下，按照各自的专业分工展开工作，负责日常安全检查，并提出隐患整改意见；</w:t>
      </w:r>
    </w:p>
    <w:p w14:paraId="36EBE163">
      <w:pPr>
        <w:ind w:firstLine="560"/>
        <w:rPr>
          <w:highlight w:val="black"/>
        </w:rPr>
      </w:pPr>
      <w:r>
        <w:rPr>
          <w:rFonts w:hint="eastAsia"/>
          <w:highlight w:val="black"/>
        </w:rPr>
        <w:t>（</w:t>
      </w:r>
      <w:r>
        <w:rPr>
          <w:rFonts w:hint="eastAsia"/>
          <w:highlight w:val="black"/>
          <w:lang w:val="en-US" w:eastAsia="zh-CN"/>
        </w:rPr>
        <w:t>5</w:t>
      </w:r>
      <w:r>
        <w:rPr>
          <w:rFonts w:hint="eastAsia"/>
          <w:highlight w:val="black"/>
        </w:rPr>
        <w:t>）设置班组兼职安全员，每班组1人，负责传达矿部有关安全生产方面的要求并监督实施，作业现场危险源检查，发现隐患及时上报。</w:t>
      </w:r>
    </w:p>
    <w:p w14:paraId="12325C06">
      <w:pPr>
        <w:ind w:firstLine="560"/>
        <w:rPr>
          <w:highlight w:val="black"/>
        </w:rPr>
      </w:pPr>
      <w:r>
        <w:rPr>
          <w:rFonts w:hint="eastAsia"/>
          <w:highlight w:val="black"/>
        </w:rPr>
        <w:t>（</w:t>
      </w:r>
      <w:r>
        <w:rPr>
          <w:rFonts w:hint="eastAsia"/>
          <w:highlight w:val="black"/>
          <w:lang w:val="en-US" w:eastAsia="zh-CN"/>
        </w:rPr>
        <w:t>6</w:t>
      </w:r>
      <w:r>
        <w:rPr>
          <w:rFonts w:hint="eastAsia"/>
          <w:highlight w:val="black"/>
        </w:rPr>
        <w:t>）根据《安全生产法》第二十四条，危险物品的生产、储存、装卸单位以及矿山、金属冶炼单位应当有注册安全工程师从事安全生产管理工作。</w:t>
      </w:r>
    </w:p>
    <w:p w14:paraId="3101097A">
      <w:pPr>
        <w:ind w:firstLine="0" w:firstLineChars="0"/>
        <w:rPr>
          <w:rFonts w:ascii="宋体" w:hAnsi="宋体" w:cs="宋体"/>
          <w:b/>
          <w:bCs/>
        </w:rPr>
      </w:pPr>
      <w:r>
        <w:rPr>
          <w:rFonts w:hint="eastAsia" w:ascii="宋体" w:hAnsi="宋体" w:cs="宋体"/>
          <w:b/>
          <w:bCs/>
        </w:rPr>
        <w:t>2.4.13.2安全管理人员配备及职责</w:t>
      </w:r>
    </w:p>
    <w:p w14:paraId="0FD5691C">
      <w:pPr>
        <w:ind w:firstLine="560"/>
        <w:rPr>
          <w:highlight w:val="black"/>
        </w:rPr>
      </w:pPr>
      <w:r>
        <w:rPr>
          <w:rFonts w:hint="eastAsia"/>
          <w:highlight w:val="black"/>
        </w:rPr>
        <w:t>（1）主要负责人职责</w:t>
      </w:r>
    </w:p>
    <w:p w14:paraId="092E1E35">
      <w:pPr>
        <w:ind w:firstLine="560"/>
        <w:rPr>
          <w:highlight w:val="black"/>
        </w:rPr>
      </w:pPr>
      <w:r>
        <w:rPr>
          <w:rFonts w:hint="eastAsia"/>
          <w:highlight w:val="black"/>
        </w:rPr>
        <w:t>矿山主要负责人是矿山安全生产的第一责任人，对安全生产工作全面负责，必须接受企业安全生产管理知识培训，具有领导安全生产和处理矿山事故的能力，并取得合格证书，持证上岗。主要负责人安全生产职责如下：</w:t>
      </w:r>
    </w:p>
    <w:p w14:paraId="49499239">
      <w:pPr>
        <w:ind w:firstLine="560"/>
        <w:rPr>
          <w:highlight w:val="black"/>
        </w:rPr>
      </w:pPr>
      <w:r>
        <w:rPr>
          <w:rFonts w:hint="eastAsia"/>
          <w:highlight w:val="black"/>
        </w:rPr>
        <w:t>1）建立健全并落实本单位全员安全生产责任制，加强安全生产标准化建设；</w:t>
      </w:r>
    </w:p>
    <w:p w14:paraId="267B6CAD">
      <w:pPr>
        <w:ind w:firstLine="560"/>
        <w:rPr>
          <w:highlight w:val="black"/>
        </w:rPr>
      </w:pPr>
      <w:r>
        <w:rPr>
          <w:rFonts w:hint="eastAsia"/>
          <w:highlight w:val="black"/>
        </w:rPr>
        <w:t>2）</w:t>
      </w:r>
      <w:r>
        <w:rPr>
          <w:rFonts w:hint="eastAsia"/>
          <w:highlight w:val="black"/>
        </w:rPr>
        <w:tab/>
      </w:r>
      <w:r>
        <w:rPr>
          <w:rFonts w:hint="eastAsia"/>
          <w:highlight w:val="black"/>
        </w:rPr>
        <w:t>组织制定并实施本单位安全生产规章制度和操作规程；</w:t>
      </w:r>
    </w:p>
    <w:p w14:paraId="6804E5C3">
      <w:pPr>
        <w:ind w:firstLine="560"/>
        <w:rPr>
          <w:highlight w:val="black"/>
        </w:rPr>
      </w:pPr>
      <w:r>
        <w:rPr>
          <w:rFonts w:hint="eastAsia"/>
          <w:highlight w:val="black"/>
        </w:rPr>
        <w:t>3）组织制定并实施本单位安全生产教育和培训计划；</w:t>
      </w:r>
    </w:p>
    <w:p w14:paraId="1EEF5D88">
      <w:pPr>
        <w:ind w:firstLine="560"/>
        <w:rPr>
          <w:highlight w:val="black"/>
        </w:rPr>
      </w:pPr>
      <w:r>
        <w:rPr>
          <w:rFonts w:hint="eastAsia"/>
          <w:highlight w:val="black"/>
        </w:rPr>
        <w:t>4）保证本单位安全生产投入的有效实施；</w:t>
      </w:r>
    </w:p>
    <w:p w14:paraId="5FE3EF44">
      <w:pPr>
        <w:ind w:firstLine="560"/>
        <w:rPr>
          <w:highlight w:val="black"/>
        </w:rPr>
      </w:pPr>
      <w:r>
        <w:rPr>
          <w:rFonts w:hint="eastAsia"/>
          <w:highlight w:val="black"/>
        </w:rPr>
        <w:t>5）组织建立并落实安全风险分级管控和隐患排查治理双重预防工作机制，督促、检查本单位的安全生产工作，及时消除生产安全事故隐患；</w:t>
      </w:r>
    </w:p>
    <w:p w14:paraId="465EDAC5">
      <w:pPr>
        <w:ind w:firstLine="560"/>
        <w:rPr>
          <w:highlight w:val="black"/>
        </w:rPr>
      </w:pPr>
      <w:r>
        <w:rPr>
          <w:rFonts w:hint="eastAsia"/>
          <w:highlight w:val="black"/>
        </w:rPr>
        <w:t>6）组织制定并实施本单位的生产安全事故应急救援预案；</w:t>
      </w:r>
    </w:p>
    <w:p w14:paraId="3FFB93F4">
      <w:pPr>
        <w:ind w:firstLine="560"/>
        <w:rPr>
          <w:highlight w:val="black"/>
        </w:rPr>
      </w:pPr>
      <w:r>
        <w:rPr>
          <w:rFonts w:hint="eastAsia"/>
          <w:highlight w:val="black"/>
        </w:rPr>
        <w:t>7）及时、如实报告生产安全事故。</w:t>
      </w:r>
    </w:p>
    <w:p w14:paraId="3167D00F">
      <w:pPr>
        <w:ind w:firstLine="560"/>
        <w:rPr>
          <w:highlight w:val="black"/>
        </w:rPr>
      </w:pPr>
      <w:r>
        <w:rPr>
          <w:rFonts w:hint="eastAsia"/>
          <w:highlight w:val="black"/>
        </w:rPr>
        <w:t>除履行《中华人民共和国安全生产法》规定的安全生产职责外，还应当负有以下职责：</w:t>
      </w:r>
    </w:p>
    <w:p w14:paraId="76A58FCF">
      <w:pPr>
        <w:ind w:firstLine="560"/>
        <w:rPr>
          <w:highlight w:val="black"/>
        </w:rPr>
      </w:pPr>
      <w:r>
        <w:rPr>
          <w:rFonts w:hint="eastAsia"/>
          <w:highlight w:val="black"/>
        </w:rPr>
        <w:t>1）加强本单位安全生产基础管理工作，不断提高矿山安全质量标准化水平，努力提高矿山机械化、信息化、自动化程度，不断改善矿山安全生产条件。</w:t>
      </w:r>
    </w:p>
    <w:p w14:paraId="488AF986">
      <w:pPr>
        <w:ind w:firstLine="560"/>
        <w:rPr>
          <w:highlight w:val="black"/>
        </w:rPr>
      </w:pPr>
      <w:r>
        <w:rPr>
          <w:rFonts w:hint="eastAsia"/>
          <w:highlight w:val="black"/>
        </w:rPr>
        <w:t>2）定期主持召开安全生产例会，听取工作汇报，协调解决重大问题，形成会议纪要。</w:t>
      </w:r>
    </w:p>
    <w:p w14:paraId="1693774D">
      <w:pPr>
        <w:ind w:firstLine="560"/>
        <w:rPr>
          <w:highlight w:val="black"/>
        </w:rPr>
      </w:pPr>
      <w:r>
        <w:rPr>
          <w:rFonts w:hint="eastAsia"/>
          <w:highlight w:val="black"/>
        </w:rPr>
        <w:t>3）每季度至少组织一次安全生产全面检查，研究分析安全生产存在的问题。</w:t>
      </w:r>
    </w:p>
    <w:p w14:paraId="325494D9">
      <w:pPr>
        <w:ind w:firstLine="560"/>
        <w:rPr>
          <w:highlight w:val="black"/>
        </w:rPr>
      </w:pPr>
      <w:r>
        <w:rPr>
          <w:rFonts w:hint="eastAsia"/>
          <w:highlight w:val="black"/>
        </w:rPr>
        <w:t>4）每年至少组织并参与一次生产安全事故应急救援演练。</w:t>
      </w:r>
    </w:p>
    <w:p w14:paraId="71DF146F">
      <w:pPr>
        <w:ind w:firstLine="560"/>
        <w:rPr>
          <w:highlight w:val="black"/>
        </w:rPr>
      </w:pPr>
      <w:r>
        <w:rPr>
          <w:rFonts w:hint="eastAsia"/>
          <w:highlight w:val="black"/>
        </w:rPr>
        <w:t>5）矿山企业发生伤亡或其他重大事故时，主要负责人或其代理人必须立即到现场指挥组织抢救，采取有效措施，防止事故扩大；对伤亡事故，必须按规定如实上报行政主管部门和管理矿山企业的主管部门，并配合调查处理；事故发生后，必须及时调查分析，查清事故原因，并提出防止同类事故发生的措施。</w:t>
      </w:r>
    </w:p>
    <w:p w14:paraId="161FCABB">
      <w:pPr>
        <w:ind w:firstLine="560"/>
        <w:rPr>
          <w:highlight w:val="black"/>
        </w:rPr>
      </w:pPr>
      <w:r>
        <w:rPr>
          <w:rFonts w:hint="eastAsia"/>
          <w:highlight w:val="black"/>
        </w:rPr>
        <w:t>6）每年向董事会或者职工代表大会报告安全生产工作和个人履行安全生产管理职责的情况。</w:t>
      </w:r>
    </w:p>
    <w:p w14:paraId="5CB12AB1">
      <w:pPr>
        <w:ind w:firstLine="560"/>
        <w:rPr>
          <w:highlight w:val="black"/>
        </w:rPr>
      </w:pPr>
      <w:r>
        <w:rPr>
          <w:rFonts w:hint="eastAsia"/>
          <w:highlight w:val="black"/>
        </w:rPr>
        <w:t>（2）安全生产管理部门以及安全生产管理人员职责</w:t>
      </w:r>
    </w:p>
    <w:p w14:paraId="13BFC270">
      <w:pPr>
        <w:ind w:firstLine="560"/>
        <w:rPr>
          <w:highlight w:val="black"/>
        </w:rPr>
      </w:pPr>
      <w:r>
        <w:rPr>
          <w:rFonts w:hint="eastAsia"/>
          <w:highlight w:val="black"/>
        </w:rPr>
        <w:t>矿山安全科应配备不少于3名的专职安全生产管理人员，专职安全生产管理人员应当从事矿山工作5年及以上、具有相应的非煤矿山安全生产专业知识和工作经验并熟悉本矿生产系统，专门负责矿山安全工作的研究、督查、考核、追究等，矿山应配备1名注册安全工程师。车间配有一定数量的兼职安全生产管理人员，负责各车间安全生产和劳动卫生管理工作，外包工程安全生产依法管理和监督，确保每班有专职安全检查人员。</w:t>
      </w:r>
    </w:p>
    <w:p w14:paraId="3E92F903">
      <w:pPr>
        <w:ind w:firstLine="560"/>
        <w:rPr>
          <w:highlight w:val="black"/>
        </w:rPr>
      </w:pPr>
      <w:r>
        <w:rPr>
          <w:rFonts w:hint="eastAsia"/>
          <w:highlight w:val="black"/>
        </w:rPr>
        <w:t>公司安全生产管理部门以及安全生产管理人员安全生产职责如下：</w:t>
      </w:r>
    </w:p>
    <w:p w14:paraId="2767B604">
      <w:pPr>
        <w:ind w:firstLine="560"/>
        <w:rPr>
          <w:highlight w:val="black"/>
        </w:rPr>
      </w:pPr>
      <w:r>
        <w:rPr>
          <w:rFonts w:hint="eastAsia"/>
          <w:highlight w:val="black"/>
        </w:rPr>
        <w:t>1）组织或者参与拟订本单位安全生产规章制度、操作规程和生产安全事故应急救援预案；</w:t>
      </w:r>
    </w:p>
    <w:p w14:paraId="50BE8DB2">
      <w:pPr>
        <w:ind w:firstLine="560"/>
        <w:rPr>
          <w:highlight w:val="black"/>
        </w:rPr>
      </w:pPr>
      <w:r>
        <w:rPr>
          <w:rFonts w:hint="eastAsia"/>
          <w:highlight w:val="black"/>
        </w:rPr>
        <w:t>2）组织或者参与本单位安全生产教育和培训，如实记录安全生产教育和培训情况；</w:t>
      </w:r>
    </w:p>
    <w:p w14:paraId="394EC220">
      <w:pPr>
        <w:ind w:firstLine="560"/>
        <w:rPr>
          <w:highlight w:val="black"/>
        </w:rPr>
      </w:pPr>
      <w:r>
        <w:rPr>
          <w:rFonts w:hint="eastAsia"/>
          <w:highlight w:val="black"/>
        </w:rPr>
        <w:t>3）督促落实本单位重大危险源的安全管理措施；</w:t>
      </w:r>
    </w:p>
    <w:p w14:paraId="1D7A2503">
      <w:pPr>
        <w:ind w:firstLine="560"/>
        <w:rPr>
          <w:highlight w:val="black"/>
        </w:rPr>
      </w:pPr>
      <w:r>
        <w:rPr>
          <w:rFonts w:hint="eastAsia"/>
          <w:highlight w:val="black"/>
        </w:rPr>
        <w:t>4）组织或者参与本单位应急救援演练；</w:t>
      </w:r>
    </w:p>
    <w:p w14:paraId="71EAA054">
      <w:pPr>
        <w:ind w:firstLine="560"/>
        <w:rPr>
          <w:highlight w:val="black"/>
        </w:rPr>
      </w:pPr>
      <w:r>
        <w:rPr>
          <w:rFonts w:hint="eastAsia"/>
          <w:highlight w:val="black"/>
        </w:rPr>
        <w:t>5）检查本单位的安全生产状况，及时排查生产安全事故隐患，提出改进安全生产管理的建议；</w:t>
      </w:r>
    </w:p>
    <w:p w14:paraId="5115B837">
      <w:pPr>
        <w:ind w:firstLine="560"/>
        <w:rPr>
          <w:highlight w:val="black"/>
        </w:rPr>
      </w:pPr>
      <w:r>
        <w:rPr>
          <w:rFonts w:hint="eastAsia"/>
          <w:highlight w:val="black"/>
        </w:rPr>
        <w:t>6）制止和纠正违章指挥、强令冒险作业、违反操作规程的行为；</w:t>
      </w:r>
    </w:p>
    <w:p w14:paraId="49490001">
      <w:pPr>
        <w:ind w:firstLine="560"/>
        <w:rPr>
          <w:highlight w:val="black"/>
        </w:rPr>
      </w:pPr>
      <w:r>
        <w:rPr>
          <w:rFonts w:hint="eastAsia"/>
          <w:highlight w:val="black"/>
        </w:rPr>
        <w:t>7）督促落实本单位安全生产整改措施；</w:t>
      </w:r>
    </w:p>
    <w:p w14:paraId="10920108">
      <w:pPr>
        <w:ind w:firstLine="560"/>
        <w:rPr>
          <w:highlight w:val="black"/>
        </w:rPr>
      </w:pPr>
      <w:r>
        <w:rPr>
          <w:rFonts w:hint="eastAsia"/>
          <w:highlight w:val="black"/>
        </w:rPr>
        <w:t>8）对要害岗位、重要设备和设施及危险区域，严加管理。要求矿山在编制年度生产计划和长远发展规划的同时，必须编制安全、卫生工程技术措施计划和规划；</w:t>
      </w:r>
    </w:p>
    <w:p w14:paraId="4C3E3B24">
      <w:pPr>
        <w:ind w:firstLine="560"/>
        <w:rPr>
          <w:highlight w:val="black"/>
        </w:rPr>
      </w:pPr>
      <w:r>
        <w:rPr>
          <w:rFonts w:hint="eastAsia"/>
          <w:highlight w:val="black"/>
        </w:rPr>
        <w:t>9）履行法律、法规和上级有关安全生产文件规定的其他安全生产职责</w:t>
      </w:r>
      <w:r>
        <w:rPr>
          <w:highlight w:val="black"/>
        </w:rPr>
        <w:t>。</w:t>
      </w:r>
    </w:p>
    <w:p w14:paraId="0A6FA681">
      <w:pPr>
        <w:ind w:firstLine="0" w:firstLineChars="0"/>
        <w:rPr>
          <w:rFonts w:ascii="宋体" w:hAnsi="宋体" w:cs="宋体"/>
          <w:b/>
          <w:bCs/>
        </w:rPr>
      </w:pPr>
      <w:bookmarkStart w:id="227" w:name="_Toc191205384"/>
      <w:r>
        <w:rPr>
          <w:rFonts w:hint="eastAsia" w:ascii="宋体" w:hAnsi="宋体" w:cs="宋体"/>
          <w:b/>
          <w:bCs/>
        </w:rPr>
        <w:t>2.4.13.3 技术管理机构</w:t>
      </w:r>
    </w:p>
    <w:p w14:paraId="78534ED8">
      <w:pPr>
        <w:ind w:firstLine="560"/>
        <w:rPr>
          <w:highlight w:val="black"/>
        </w:rPr>
      </w:pPr>
      <w:r>
        <w:rPr>
          <w:rFonts w:hint="eastAsia"/>
          <w:highlight w:val="black"/>
        </w:rPr>
        <w:t>为强化矿山技术管理，本矿山设立技术管理机构，由矿长直接负责，并建立健全技术管理制度，配备具有采矿、地质、测量、机电等矿山相关专业中专及以上学历或者中级及以上技术职称的专职技术人员，每个专业至少配备1人。</w:t>
      </w:r>
    </w:p>
    <w:p w14:paraId="2F04A636">
      <w:pPr>
        <w:ind w:firstLine="0" w:firstLineChars="0"/>
        <w:rPr>
          <w:rFonts w:ascii="宋体" w:hAnsi="宋体" w:cs="宋体"/>
          <w:b/>
          <w:bCs/>
        </w:rPr>
      </w:pPr>
      <w:r>
        <w:rPr>
          <w:rFonts w:hint="eastAsia" w:ascii="宋体" w:hAnsi="宋体" w:cs="宋体"/>
          <w:b/>
          <w:bCs/>
        </w:rPr>
        <w:t>2.4.13.4 健全完善安全生产责任制和规章制度</w:t>
      </w:r>
    </w:p>
    <w:p w14:paraId="60693544">
      <w:pPr>
        <w:ind w:firstLine="560"/>
        <w:rPr>
          <w:highlight w:val="black"/>
        </w:rPr>
      </w:pPr>
      <w:r>
        <w:rPr>
          <w:rFonts w:hint="eastAsia"/>
          <w:highlight w:val="black"/>
        </w:rPr>
        <w:t>矿山要严格按照国家矿山安全监察局〈关于加强非煤矿山安全生产工作的指导意见〉（矿安〔2022〕4号）要求：企业应当建立健全覆盖实际控制人在内的全员安全生产责任制和岗位操作规程。严格落实《金属非金属地下矿山企业领导带班下井及监督检查暂行规定》（原国家安全监管总局令第34号），实行发包单位和承包单位领导双带班下井制度。实施井下劳动定员管理，不得超定员安排人员下井作业。严格控制井下单班作业人数，禁止在采掘等安全风险集中区域安排平行作业。鼓励有条件的金属非金属地下矿山取消井下夜班采掘、井巷维修作业。</w:t>
      </w:r>
    </w:p>
    <w:p w14:paraId="3F2D4EC4">
      <w:pPr>
        <w:pStyle w:val="7"/>
        <w:ind w:firstLine="0" w:firstLineChars="0"/>
        <w:rPr>
          <w:rFonts w:hAnsi="宋体" w:cs="宋体"/>
          <w:b/>
          <w:bCs/>
          <w:szCs w:val="24"/>
        </w:rPr>
      </w:pPr>
      <w:r>
        <w:rPr>
          <w:rFonts w:hint="eastAsia" w:hAnsi="宋体" w:cs="宋体"/>
          <w:b/>
          <w:bCs/>
        </w:rPr>
        <w:t>2</w:t>
      </w:r>
      <w:r>
        <w:rPr>
          <w:rFonts w:hint="eastAsia" w:hAnsi="宋体" w:cs="宋体"/>
          <w:b/>
          <w:bCs/>
          <w:szCs w:val="24"/>
        </w:rPr>
        <w:t>.4.13.5强化主要负责人安全履职</w:t>
      </w:r>
    </w:p>
    <w:p w14:paraId="48337F9B">
      <w:pPr>
        <w:ind w:firstLine="560"/>
        <w:rPr>
          <w:highlight w:val="black"/>
        </w:rPr>
      </w:pPr>
      <w:r>
        <w:rPr>
          <w:rFonts w:hint="eastAsia"/>
          <w:highlight w:val="black"/>
        </w:rPr>
        <w:t>矿山要严格按照国家矿山安全监察局〈关于加强非煤矿山安全生产工作的指导意见〉（矿安〔2022〕4号）要求：非煤矿山企业主要负责人（含法定代表人和实际控制人）是本单位安全生产第一责任人，必须严格履行《安全生产法》规定的职责。主要负责人应当每月对照金属非金属矿山重大生产安全事故隐患判定标准，组织开展全面排查，形成重大事故隐患排查治理报告签字备查。金属非金属地下矿山企业主要负责人每月带班下井不得少于5个。推行主要负责人安全生产考核计分制度，及时调整不严格履职的主要负责人。企业实际控制人每月在生产现场履行安全生产职责时间不得少于10个工作日；每月组织研究一次安全生产重大问题，形成会议纪要。</w:t>
      </w:r>
    </w:p>
    <w:p w14:paraId="7AB3454E">
      <w:pPr>
        <w:ind w:firstLine="0" w:firstLineChars="0"/>
        <w:rPr>
          <w:rFonts w:ascii="宋体" w:hAnsi="宋体" w:cs="宋体"/>
          <w:b/>
          <w:bCs/>
        </w:rPr>
      </w:pPr>
      <w:r>
        <w:rPr>
          <w:rFonts w:hint="eastAsia" w:ascii="宋体" w:hAnsi="宋体" w:cs="宋体"/>
          <w:b/>
          <w:bCs/>
        </w:rPr>
        <w:t>2.4.13.6 严格按照设计建设和生产</w:t>
      </w:r>
    </w:p>
    <w:p w14:paraId="4A76C609">
      <w:pPr>
        <w:ind w:firstLine="560"/>
        <w:rPr>
          <w:highlight w:val="black"/>
        </w:rPr>
      </w:pPr>
      <w:r>
        <w:rPr>
          <w:rFonts w:hint="eastAsia"/>
          <w:highlight w:val="black"/>
        </w:rPr>
        <w:t>矿山要严格按照国家矿山安全监察局〈关于加强非煤矿山安全生产工作的指导意见〉（矿安〔2022〕4号）要求：企业必须按照批准的安全设施设计建设，严禁以采代建；必须有与实际相符的纸质现状图，其中开拓系统图，中段平面图，通风系统图，井上、井下对照图，压风、供水、排水系统图，供配电系统图，井下避灾路线图等，至少每月更新一次并由主要负责人签字确认。正常投产后应当按照《金属非金属矿山安全规程》（GB16423-2020）规定的图纸目录，绘制与现场实际相符的纸质现状图，且至少每3个月更新一次并由主要负责人签字确认。</w:t>
      </w:r>
    </w:p>
    <w:p w14:paraId="4998151F">
      <w:pPr>
        <w:ind w:firstLine="0" w:firstLineChars="0"/>
        <w:rPr>
          <w:rFonts w:ascii="宋体" w:hAnsi="宋体" w:cs="宋体"/>
          <w:b/>
          <w:bCs/>
        </w:rPr>
      </w:pPr>
      <w:r>
        <w:rPr>
          <w:rFonts w:hint="eastAsia" w:ascii="宋体" w:hAnsi="宋体" w:cs="宋体"/>
          <w:b/>
          <w:bCs/>
        </w:rPr>
        <w:t xml:space="preserve">2.4.13.7 </w:t>
      </w:r>
      <w:r>
        <w:rPr>
          <w:rFonts w:ascii="宋体" w:hAnsi="宋体" w:cs="宋体"/>
          <w:b/>
          <w:bCs/>
        </w:rPr>
        <w:t>严格按规定提取和使用安全生产费用</w:t>
      </w:r>
    </w:p>
    <w:p w14:paraId="6A6F1589">
      <w:pPr>
        <w:ind w:firstLine="560"/>
      </w:pPr>
      <w:r>
        <w:rPr>
          <w:rFonts w:hint="eastAsia"/>
          <w:highlight w:val="black"/>
        </w:rPr>
        <w:t>矿山要严格按照国家矿山安全监察局〈关于加强非煤矿山安全生产工作的指导意见〉（矿安〔2022〕4号）要求：应当按规定足额提取和使用安全生产费用，实行专户核算，严禁超范围支出。矿山建设生产经营单位应当具备安全生产条件所必需的资金投入，由生产经营单位的决策机构、主要负责人或者个人经营的投资人予以保证，并对由于安全生产所必需的资金投入不足导致的后果承担责任。生产单位的项目建设期必须满足安全生产条件所必需的资金投入，矿山投产后，安全生产费用应按规定按月提取，用于改善矿山安全条件，使矿山生产过程中的安全生产有资金保障。</w:t>
      </w:r>
    </w:p>
    <w:p w14:paraId="429A095A">
      <w:pPr>
        <w:ind w:firstLine="0" w:firstLineChars="0"/>
        <w:rPr>
          <w:rFonts w:ascii="宋体" w:hAnsi="宋体" w:cs="宋体"/>
          <w:b/>
          <w:bCs/>
        </w:rPr>
      </w:pPr>
      <w:r>
        <w:rPr>
          <w:rFonts w:hint="eastAsia" w:ascii="宋体" w:hAnsi="宋体" w:cs="宋体"/>
          <w:b/>
          <w:bCs/>
        </w:rPr>
        <w:t>2.4.13.8 依法参加工伤社会保险和安全生产责任险</w:t>
      </w:r>
    </w:p>
    <w:p w14:paraId="2A65A0B5">
      <w:pPr>
        <w:ind w:firstLine="560"/>
        <w:rPr>
          <w:highlight w:val="black"/>
        </w:rPr>
      </w:pPr>
      <w:r>
        <w:rPr>
          <w:highlight w:val="black"/>
        </w:rPr>
        <w:t>矿山企业应依法参加工伤社会保险和安全生产责任险，为从业人员缴纳保险费，并缴纳安全风险抵押金。</w:t>
      </w:r>
    </w:p>
    <w:p w14:paraId="17D2FF85">
      <w:pPr>
        <w:pStyle w:val="7"/>
        <w:ind w:firstLine="0" w:firstLineChars="0"/>
        <w:rPr>
          <w:rFonts w:hAnsi="宋体" w:cs="宋体"/>
          <w:b/>
          <w:bCs/>
        </w:rPr>
      </w:pPr>
      <w:r>
        <w:rPr>
          <w:rFonts w:hint="eastAsia" w:hAnsi="宋体" w:cs="宋体"/>
          <w:b/>
          <w:bCs/>
        </w:rPr>
        <w:t>2.4.13.9 强化安全生产标准化建设</w:t>
      </w:r>
    </w:p>
    <w:p w14:paraId="14A15AE6">
      <w:pPr>
        <w:ind w:firstLine="560"/>
        <w:rPr>
          <w:highlight w:val="black"/>
        </w:rPr>
      </w:pPr>
      <w:r>
        <w:rPr>
          <w:highlight w:val="black"/>
        </w:rPr>
        <w:t>矿山要严格按照国家矿山安全监察局</w:t>
      </w:r>
      <w:r>
        <w:rPr>
          <w:rFonts w:hint="eastAsia"/>
          <w:highlight w:val="black"/>
        </w:rPr>
        <w:t>〈</w:t>
      </w:r>
      <w:r>
        <w:rPr>
          <w:highlight w:val="black"/>
        </w:rPr>
        <w:t>关于加强非煤矿山安全生产工作的指导意见</w:t>
      </w:r>
      <w:r>
        <w:rPr>
          <w:rFonts w:hint="eastAsia"/>
          <w:highlight w:val="black"/>
        </w:rPr>
        <w:t>〉（</w:t>
      </w:r>
      <w:r>
        <w:rPr>
          <w:highlight w:val="black"/>
        </w:rPr>
        <w:t>矿安〔2022〕4号</w:t>
      </w:r>
      <w:r>
        <w:rPr>
          <w:rFonts w:hint="eastAsia"/>
          <w:highlight w:val="black"/>
        </w:rPr>
        <w:t>）</w:t>
      </w:r>
      <w:r>
        <w:rPr>
          <w:highlight w:val="black"/>
        </w:rPr>
        <w:t>要求：矿山企业应当依法加强安全生产标准化管理体系建设，建立健全安全风险分级管控和事故隐患排查治理双重预防机制，强化安全风险辨识管控，确定管控重点，落实管控责任，加强隐患排查治理，分析隐患成因，制定落实消除措施。持续加强现场安全管理，强化监督检查和激励约束，严格考核兑现。全面实现岗位达标、专业达标、企业达标，夯实安全生产基础。</w:t>
      </w:r>
    </w:p>
    <w:p w14:paraId="0D28EB45">
      <w:pPr>
        <w:ind w:firstLine="0" w:firstLineChars="0"/>
      </w:pPr>
      <w:r>
        <w:rPr>
          <w:rFonts w:hint="eastAsia" w:ascii="宋体" w:hAnsi="宋体" w:cs="宋体"/>
          <w:b/>
          <w:bCs/>
        </w:rPr>
        <w:t xml:space="preserve">2.4.13.10 安全教育及培训 </w:t>
      </w:r>
    </w:p>
    <w:p w14:paraId="75D67501">
      <w:pPr>
        <w:ind w:firstLine="560"/>
        <w:rPr>
          <w:highlight w:val="black"/>
        </w:rPr>
      </w:pPr>
      <w:r>
        <w:rPr>
          <w:highlight w:val="black"/>
        </w:rPr>
        <w:t>矿山从业人员在上岗前，必须经过厂</w:t>
      </w:r>
      <w:r>
        <w:rPr>
          <w:rFonts w:hint="eastAsia"/>
          <w:highlight w:val="black"/>
        </w:rPr>
        <w:t>（</w:t>
      </w:r>
      <w:r>
        <w:rPr>
          <w:highlight w:val="black"/>
        </w:rPr>
        <w:t>矿</w:t>
      </w:r>
      <w:r>
        <w:rPr>
          <w:rFonts w:hint="eastAsia"/>
          <w:highlight w:val="black"/>
        </w:rPr>
        <w:t>）</w:t>
      </w:r>
      <w:r>
        <w:rPr>
          <w:highlight w:val="black"/>
        </w:rPr>
        <w:t>、车间</w:t>
      </w:r>
      <w:r>
        <w:rPr>
          <w:rFonts w:hint="eastAsia"/>
          <w:highlight w:val="black"/>
        </w:rPr>
        <w:t>（</w:t>
      </w:r>
      <w:r>
        <w:rPr>
          <w:highlight w:val="black"/>
        </w:rPr>
        <w:t>工段、区、队</w:t>
      </w:r>
      <w:r>
        <w:rPr>
          <w:rFonts w:hint="eastAsia"/>
          <w:highlight w:val="black"/>
        </w:rPr>
        <w:t>）</w:t>
      </w:r>
      <w:r>
        <w:rPr>
          <w:highlight w:val="black"/>
        </w:rPr>
        <w:t>、班组三级安全培训教育。从业人员在本生产经营单位内调整工作岗位或离岗一年以上重新上岗时，应当重新接受车间和班组级的安全培训。生产经营单位采用新工艺、新技术、新材料或者使用新设备时，应当对有关从业人员重新进行有针对性的安全培训。</w:t>
      </w:r>
    </w:p>
    <w:p w14:paraId="3F539762">
      <w:pPr>
        <w:ind w:firstLine="560"/>
        <w:rPr>
          <w:highlight w:val="black"/>
        </w:rPr>
      </w:pPr>
      <w:r>
        <w:rPr>
          <w:highlight w:val="black"/>
        </w:rPr>
        <w:t>生产经营单位负责本单位从业人员安全培训工作，当生产经营单位无培训能力时，可委托中介机构进行安全生产教育培训工作。</w:t>
      </w:r>
    </w:p>
    <w:p w14:paraId="04E3535C">
      <w:pPr>
        <w:ind w:firstLine="560"/>
        <w:rPr>
          <w:highlight w:val="black"/>
        </w:rPr>
      </w:pPr>
      <w:r>
        <w:rPr>
          <w:rFonts w:hint="eastAsia"/>
          <w:highlight w:val="black"/>
        </w:rPr>
        <w:t>（1）</w:t>
      </w:r>
      <w:r>
        <w:rPr>
          <w:highlight w:val="black"/>
        </w:rPr>
        <w:t>培训对象</w:t>
      </w:r>
    </w:p>
    <w:p w14:paraId="2001B236">
      <w:pPr>
        <w:ind w:firstLine="560"/>
        <w:rPr>
          <w:highlight w:val="black"/>
        </w:rPr>
      </w:pPr>
      <w:r>
        <w:rPr>
          <w:highlight w:val="black"/>
        </w:rPr>
        <w:t>全员培训、突出重点。公司全部在册人员都必须普遍进行培训提高。在此基础上，突出搞好重点生产和工作岗位上人员的培训。本项目重点培训人员为：</w:t>
      </w:r>
    </w:p>
    <w:p w14:paraId="7C1E8786">
      <w:pPr>
        <w:ind w:firstLine="560"/>
        <w:rPr>
          <w:highlight w:val="black"/>
        </w:rPr>
      </w:pPr>
      <w:r>
        <w:rPr>
          <w:highlight w:val="black"/>
        </w:rPr>
        <w:t>1) 安全管理及技术人员。</w:t>
      </w:r>
    </w:p>
    <w:p w14:paraId="3A420B94">
      <w:pPr>
        <w:ind w:firstLine="560"/>
        <w:rPr>
          <w:highlight w:val="black"/>
        </w:rPr>
      </w:pPr>
      <w:r>
        <w:rPr>
          <w:highlight w:val="black"/>
        </w:rPr>
        <w:t>2) 机电、设备维修人员。</w:t>
      </w:r>
    </w:p>
    <w:p w14:paraId="12C2F5D3">
      <w:pPr>
        <w:ind w:firstLine="560"/>
        <w:rPr>
          <w:highlight w:val="black"/>
        </w:rPr>
      </w:pPr>
      <w:r>
        <w:rPr>
          <w:highlight w:val="black"/>
        </w:rPr>
        <w:t>3) 特种设备和其他设备操作人员。</w:t>
      </w:r>
    </w:p>
    <w:p w14:paraId="5C5D56F3">
      <w:pPr>
        <w:ind w:firstLine="560"/>
        <w:rPr>
          <w:highlight w:val="black"/>
        </w:rPr>
      </w:pPr>
      <w:r>
        <w:rPr>
          <w:rFonts w:hint="eastAsia"/>
          <w:highlight w:val="black"/>
        </w:rPr>
        <w:t>（2）</w:t>
      </w:r>
      <w:r>
        <w:rPr>
          <w:highlight w:val="black"/>
        </w:rPr>
        <w:t>培训目的</w:t>
      </w:r>
    </w:p>
    <w:p w14:paraId="03DD8412">
      <w:pPr>
        <w:ind w:firstLine="560"/>
        <w:rPr>
          <w:highlight w:val="black"/>
        </w:rPr>
      </w:pPr>
      <w:r>
        <w:rPr>
          <w:highlight w:val="black"/>
        </w:rPr>
        <w:t>培训是企业获得合格人才的重要措施。企业能否实现安全生产，从而保障达产，实现经济效益，很大程度上取决于培训工作的质和量。不论管理人员还是操作、维修人员，都需要根据法律、法规要求以及本企业生产需要，在投产前接受必要的培训，达到规定的技术水平和业务能力。</w:t>
      </w:r>
    </w:p>
    <w:p w14:paraId="64204735">
      <w:pPr>
        <w:ind w:firstLine="560"/>
        <w:rPr>
          <w:highlight w:val="black"/>
        </w:rPr>
      </w:pPr>
      <w:r>
        <w:rPr>
          <w:highlight w:val="black"/>
        </w:rPr>
        <w:t>矿长必须具备安全专业知识，具有领导安全生产和处理矿山事故的能力。所有经培训的人员，必须具备必要的安全生产知识，熟悉有关的安全生产规章制度和安全操作规程，掌握本岗位的安全操作技能。未经安全生产教育和培训合格的，严禁上岗作业。</w:t>
      </w:r>
    </w:p>
    <w:p w14:paraId="45589D96">
      <w:pPr>
        <w:ind w:firstLine="560"/>
        <w:rPr>
          <w:highlight w:val="black"/>
        </w:rPr>
      </w:pPr>
      <w:r>
        <w:rPr>
          <w:rFonts w:hint="eastAsia"/>
          <w:highlight w:val="black"/>
        </w:rPr>
        <w:t>（3）</w:t>
      </w:r>
      <w:r>
        <w:rPr>
          <w:highlight w:val="black"/>
        </w:rPr>
        <w:t>培训水平</w:t>
      </w:r>
    </w:p>
    <w:p w14:paraId="73A25B75">
      <w:pPr>
        <w:ind w:firstLine="560"/>
        <w:rPr>
          <w:highlight w:val="black"/>
        </w:rPr>
      </w:pPr>
      <w:r>
        <w:rPr>
          <w:highlight w:val="black"/>
        </w:rPr>
        <w:t>针对岗位责任的要求，通过理论与实践相结合的培训，最终达到：</w:t>
      </w:r>
    </w:p>
    <w:p w14:paraId="369B7AC9">
      <w:pPr>
        <w:ind w:firstLine="560"/>
        <w:rPr>
          <w:highlight w:val="black"/>
        </w:rPr>
      </w:pPr>
      <w:r>
        <w:rPr>
          <w:highlight w:val="black"/>
        </w:rPr>
        <w:t>1) 管理及技术人员：通过培训，熟悉相关的专业知识，能明确自己的责任和权力，有能力解决本岗位或部门出现的实际问题。</w:t>
      </w:r>
    </w:p>
    <w:p w14:paraId="05C23E6D">
      <w:pPr>
        <w:ind w:firstLine="560"/>
        <w:rPr>
          <w:highlight w:val="black"/>
        </w:rPr>
      </w:pPr>
      <w:r>
        <w:rPr>
          <w:highlight w:val="black"/>
        </w:rPr>
        <w:t>2) 维修人员：掌握有关设备的工作原理，熟悉设备的构成；具有基本的看图知识；能根据设备故障现象作出故障原因的判断；具有操作有关维修设备的能力；具有安全生产意识。</w:t>
      </w:r>
    </w:p>
    <w:p w14:paraId="07E18111">
      <w:pPr>
        <w:ind w:firstLine="560"/>
        <w:rPr>
          <w:highlight w:val="black"/>
        </w:rPr>
      </w:pPr>
      <w:r>
        <w:rPr>
          <w:highlight w:val="black"/>
        </w:rPr>
        <w:t>3) 特种设备和其他设备操作人员：了解有关设备工作原理及结构的基本知识，能在不同工作环境下熟练操作有关设备，并能避免人为因素致使设备发生故障或效率降低；具有提高设备运行效率和降低运行成本的意识；具有安全生产意识。</w:t>
      </w:r>
    </w:p>
    <w:p w14:paraId="712115C1">
      <w:pPr>
        <w:ind w:firstLine="560"/>
        <w:rPr>
          <w:highlight w:val="black"/>
        </w:rPr>
      </w:pPr>
      <w:r>
        <w:rPr>
          <w:rFonts w:hint="eastAsia"/>
          <w:highlight w:val="black"/>
        </w:rPr>
        <w:t>（4）</w:t>
      </w:r>
      <w:r>
        <w:rPr>
          <w:highlight w:val="black"/>
        </w:rPr>
        <w:t>培训时间、期限</w:t>
      </w:r>
    </w:p>
    <w:p w14:paraId="1D4C903E">
      <w:pPr>
        <w:ind w:firstLine="560"/>
        <w:rPr>
          <w:highlight w:val="black"/>
        </w:rPr>
      </w:pPr>
      <w:r>
        <w:rPr>
          <w:highlight w:val="black"/>
        </w:rPr>
        <w:t>1) 矿山企业应对矿山从业人员进行安全生产教育和培训，保证各岗位人员具备必要的安全生产知识，熟悉本矿山安全生产规章制度和本岗位安全操作规程，掌握本岗位的安全操作技能。未经安全生产教育和培训合格的，不准许上岗。</w:t>
      </w:r>
    </w:p>
    <w:p w14:paraId="1D464935">
      <w:pPr>
        <w:ind w:firstLine="560"/>
        <w:rPr>
          <w:highlight w:val="black"/>
        </w:rPr>
      </w:pPr>
      <w:r>
        <w:rPr>
          <w:highlight w:val="black"/>
        </w:rPr>
        <w:t>2) 新进地下矿山的生产作业人员应接受不少于72h的安全培训；经考试合格后，由从事地下矿山作业2年以上的老工人带领工作至少4个月，熟悉本工种操作技术并经考核合格方可独立工作。</w:t>
      </w:r>
    </w:p>
    <w:p w14:paraId="2C732FF3">
      <w:pPr>
        <w:ind w:firstLine="560"/>
        <w:rPr>
          <w:highlight w:val="black"/>
        </w:rPr>
      </w:pPr>
      <w:r>
        <w:rPr>
          <w:highlight w:val="black"/>
        </w:rPr>
        <w:t>3) 调换工种的生产作业人员应接受新岗位的安全操作培训，考试合格方可进行新工种操作。</w:t>
      </w:r>
    </w:p>
    <w:p w14:paraId="5A0351DF">
      <w:pPr>
        <w:ind w:firstLine="560"/>
        <w:rPr>
          <w:highlight w:val="black"/>
        </w:rPr>
      </w:pPr>
      <w:r>
        <w:rPr>
          <w:highlight w:val="black"/>
        </w:rPr>
        <w:t>4) 所有生产作业人员每年至少应接受20h的职业安全再培训，并应考试合格。</w:t>
      </w:r>
    </w:p>
    <w:p w14:paraId="4C68B49F">
      <w:pPr>
        <w:ind w:firstLine="560"/>
        <w:rPr>
          <w:highlight w:val="black"/>
        </w:rPr>
      </w:pPr>
      <w:r>
        <w:rPr>
          <w:highlight w:val="black"/>
        </w:rPr>
        <w:t>5) 采用新工艺、新技术、新设备、新材料时，应对有关人员进行专门培训和考试。</w:t>
      </w:r>
    </w:p>
    <w:p w14:paraId="67E62514">
      <w:pPr>
        <w:ind w:firstLine="560"/>
        <w:rPr>
          <w:highlight w:val="black"/>
        </w:rPr>
      </w:pPr>
      <w:r>
        <w:rPr>
          <w:highlight w:val="black"/>
        </w:rPr>
        <w:t>6) 入矿参观、考察、实习、学习、检查等的外来人员，应接受安全教育，并由熟悉本矿山安全生产系统的从业人员带领进入作业场所。</w:t>
      </w:r>
    </w:p>
    <w:p w14:paraId="032970FF">
      <w:pPr>
        <w:ind w:firstLine="560"/>
        <w:rPr>
          <w:highlight w:val="black"/>
        </w:rPr>
      </w:pPr>
      <w:r>
        <w:rPr>
          <w:highlight w:val="black"/>
        </w:rPr>
        <w:t>7) 矿山从业人员的安全培训情况和考核结果，应记录存档。</w:t>
      </w:r>
    </w:p>
    <w:p w14:paraId="67E09C5C">
      <w:pPr>
        <w:ind w:firstLine="560"/>
        <w:rPr>
          <w:highlight w:val="black"/>
        </w:rPr>
      </w:pPr>
      <w:r>
        <w:rPr>
          <w:rFonts w:hint="eastAsia"/>
          <w:highlight w:val="black"/>
        </w:rPr>
        <w:t>（5）</w:t>
      </w:r>
      <w:r>
        <w:rPr>
          <w:highlight w:val="black"/>
        </w:rPr>
        <w:t>培训结果</w:t>
      </w:r>
    </w:p>
    <w:p w14:paraId="2EDB5855">
      <w:pPr>
        <w:ind w:firstLine="560"/>
        <w:rPr>
          <w:highlight w:val="black"/>
        </w:rPr>
      </w:pPr>
      <w:r>
        <w:rPr>
          <w:highlight w:val="black"/>
        </w:rPr>
        <w:t>1) 公司安全生产第一责任人必须具备安全专业知识，具有领导安全生产和处理矿山事故的能力，并经过考核，取得安全资格证。</w:t>
      </w:r>
    </w:p>
    <w:p w14:paraId="2FD8765E">
      <w:pPr>
        <w:ind w:firstLine="560"/>
        <w:rPr>
          <w:highlight w:val="black"/>
        </w:rPr>
      </w:pPr>
      <w:r>
        <w:rPr>
          <w:highlight w:val="black"/>
        </w:rPr>
        <w:t>2) 安全工作人员必须具备必要的安全专业知识和矿山安全工作经验，并经过考核，取得《生产经营单位管理人员安全资格证书》。</w:t>
      </w:r>
    </w:p>
    <w:p w14:paraId="1E41C48D">
      <w:pPr>
        <w:ind w:firstLine="560"/>
        <w:rPr>
          <w:highlight w:val="black"/>
        </w:rPr>
      </w:pPr>
      <w:r>
        <w:rPr>
          <w:highlight w:val="black"/>
        </w:rPr>
        <w:t>3) 特种作业人员必须接受专门培训，经考核合格取得特种作业人员操作资格证，方可上岗作业。</w:t>
      </w:r>
    </w:p>
    <w:p w14:paraId="5C1E04E0">
      <w:pPr>
        <w:ind w:firstLine="560"/>
        <w:rPr>
          <w:highlight w:val="black"/>
        </w:rPr>
      </w:pPr>
      <w:r>
        <w:rPr>
          <w:highlight w:val="black"/>
        </w:rPr>
        <w:t>4) 所有从业人员必须经过岗位培训，熟悉本岗位、工种的安全生产岗位责任制、安全操作规程、应急救援预案实施步骤及相应的救护常识。</w:t>
      </w:r>
    </w:p>
    <w:p w14:paraId="06ADF34C">
      <w:pPr>
        <w:ind w:firstLine="560"/>
        <w:rPr>
          <w:highlight w:val="black"/>
        </w:rPr>
      </w:pPr>
      <w:r>
        <w:rPr>
          <w:highlight w:val="black"/>
        </w:rPr>
        <w:t>5) 所有从业人员不应酒后进入矿山作业场所；受酒精或麻醉剂影响的人员不应从事井下作业。不应将酒类饮料和麻醉剂带入作业场所。</w:t>
      </w:r>
    </w:p>
    <w:p w14:paraId="5A5B6FFE">
      <w:pPr>
        <w:ind w:firstLine="560"/>
        <w:rPr>
          <w:highlight w:val="black"/>
        </w:rPr>
      </w:pPr>
      <w:r>
        <w:rPr>
          <w:highlight w:val="black"/>
        </w:rPr>
        <w:t>6) 应按规定向职工发放劳动保护用品。入场人员，应按规定穿戴劳动保护用品。</w:t>
      </w:r>
    </w:p>
    <w:p w14:paraId="00E444C2">
      <w:pPr>
        <w:ind w:firstLine="0" w:firstLineChars="0"/>
        <w:rPr>
          <w:rFonts w:ascii="宋体" w:hAnsi="宋体" w:cs="宋体"/>
          <w:b/>
          <w:bCs/>
        </w:rPr>
      </w:pPr>
      <w:r>
        <w:rPr>
          <w:rFonts w:hint="eastAsia" w:ascii="宋体" w:hAnsi="宋体" w:cs="宋体"/>
          <w:b/>
          <w:bCs/>
        </w:rPr>
        <w:t>2.4.13.11 安全管理制度</w:t>
      </w:r>
    </w:p>
    <w:p w14:paraId="502E8604">
      <w:pPr>
        <w:ind w:firstLine="560"/>
        <w:rPr>
          <w:highlight w:val="black"/>
        </w:rPr>
      </w:pPr>
      <w:r>
        <w:rPr>
          <w:rFonts w:hint="eastAsia"/>
          <w:highlight w:val="black"/>
        </w:rPr>
        <w:t>（1）</w:t>
      </w:r>
      <w:r>
        <w:rPr>
          <w:highlight w:val="black"/>
        </w:rPr>
        <w:t>制订全员安全生产责任制度、矿山安全生产规章制度及各工程安全技术操作规程。</w:t>
      </w:r>
    </w:p>
    <w:p w14:paraId="23D8227F">
      <w:pPr>
        <w:ind w:firstLine="560"/>
        <w:rPr>
          <w:highlight w:val="black"/>
        </w:rPr>
      </w:pPr>
      <w:r>
        <w:rPr>
          <w:rFonts w:hint="eastAsia"/>
          <w:highlight w:val="black"/>
        </w:rPr>
        <w:t>（2）</w:t>
      </w:r>
      <w:r>
        <w:rPr>
          <w:highlight w:val="black"/>
        </w:rPr>
        <w:t>把安全工作落实到各职能部门，贯穿到生产的每个环节当中，把安全经营目标层层分解到各班组，做到安全生产，人人有责，建立各级安全生产责任制：</w:t>
      </w:r>
    </w:p>
    <w:p w14:paraId="35B01550">
      <w:pPr>
        <w:ind w:firstLine="560"/>
        <w:rPr>
          <w:highlight w:val="black"/>
        </w:rPr>
      </w:pPr>
      <w:r>
        <w:rPr>
          <w:highlight w:val="black"/>
        </w:rPr>
        <w:t>1) 企业主要负责人安全生产责任制</w:t>
      </w:r>
    </w:p>
    <w:p w14:paraId="3F2E7A3A">
      <w:pPr>
        <w:ind w:firstLine="560"/>
        <w:rPr>
          <w:highlight w:val="black"/>
        </w:rPr>
      </w:pPr>
      <w:bookmarkStart w:id="228" w:name="_Toc255817534"/>
      <w:r>
        <w:rPr>
          <w:highlight w:val="black"/>
        </w:rPr>
        <w:t>2) 主管矿长、安全矿长</w:t>
      </w:r>
      <w:r>
        <w:rPr>
          <w:rFonts w:hint="eastAsia"/>
          <w:highlight w:val="black"/>
        </w:rPr>
        <w:t>安全生产责任制</w:t>
      </w:r>
      <w:r>
        <w:rPr>
          <w:highlight w:val="black"/>
        </w:rPr>
        <w:t>；</w:t>
      </w:r>
      <w:bookmarkEnd w:id="228"/>
    </w:p>
    <w:p w14:paraId="7513C694">
      <w:pPr>
        <w:ind w:firstLine="560"/>
        <w:rPr>
          <w:highlight w:val="black"/>
        </w:rPr>
      </w:pPr>
      <w:r>
        <w:rPr>
          <w:highlight w:val="black"/>
        </w:rPr>
        <w:t>3) 安全科与安全科长</w:t>
      </w:r>
      <w:r>
        <w:rPr>
          <w:rFonts w:hint="eastAsia"/>
          <w:highlight w:val="black"/>
        </w:rPr>
        <w:t>安全生产责任制</w:t>
      </w:r>
      <w:r>
        <w:rPr>
          <w:highlight w:val="black"/>
        </w:rPr>
        <w:t>；</w:t>
      </w:r>
    </w:p>
    <w:p w14:paraId="12B60EDC">
      <w:pPr>
        <w:ind w:firstLine="560"/>
        <w:rPr>
          <w:highlight w:val="black"/>
        </w:rPr>
      </w:pPr>
      <w:r>
        <w:rPr>
          <w:highlight w:val="black"/>
        </w:rPr>
        <w:t>4) 安全员</w:t>
      </w:r>
      <w:r>
        <w:rPr>
          <w:rFonts w:hint="eastAsia"/>
          <w:highlight w:val="black"/>
        </w:rPr>
        <w:t>安全生产责任制</w:t>
      </w:r>
      <w:r>
        <w:rPr>
          <w:highlight w:val="black"/>
        </w:rPr>
        <w:t>；</w:t>
      </w:r>
    </w:p>
    <w:p w14:paraId="6D64C165">
      <w:pPr>
        <w:ind w:firstLine="560"/>
        <w:rPr>
          <w:highlight w:val="black"/>
        </w:rPr>
      </w:pPr>
      <w:r>
        <w:rPr>
          <w:highlight w:val="black"/>
        </w:rPr>
        <w:t>5) 技术负责人</w:t>
      </w:r>
      <w:r>
        <w:rPr>
          <w:rFonts w:hint="eastAsia"/>
          <w:highlight w:val="black"/>
        </w:rPr>
        <w:t>安全生产责任制</w:t>
      </w:r>
      <w:r>
        <w:rPr>
          <w:highlight w:val="black"/>
        </w:rPr>
        <w:t>；</w:t>
      </w:r>
    </w:p>
    <w:p w14:paraId="4D5C37BA">
      <w:pPr>
        <w:ind w:firstLine="560"/>
        <w:rPr>
          <w:highlight w:val="black"/>
        </w:rPr>
      </w:pPr>
      <w:r>
        <w:rPr>
          <w:highlight w:val="black"/>
        </w:rPr>
        <w:t>6) 车间、班组</w:t>
      </w:r>
      <w:r>
        <w:rPr>
          <w:rFonts w:hint="eastAsia"/>
          <w:highlight w:val="black"/>
        </w:rPr>
        <w:t>安全生产责任制</w:t>
      </w:r>
      <w:r>
        <w:rPr>
          <w:highlight w:val="black"/>
        </w:rPr>
        <w:t>；</w:t>
      </w:r>
    </w:p>
    <w:p w14:paraId="65D2B41C">
      <w:pPr>
        <w:ind w:firstLine="560"/>
        <w:rPr>
          <w:highlight w:val="black"/>
        </w:rPr>
      </w:pPr>
      <w:r>
        <w:rPr>
          <w:highlight w:val="black"/>
        </w:rPr>
        <w:t>7) 班长</w:t>
      </w:r>
      <w:r>
        <w:rPr>
          <w:rFonts w:hint="eastAsia"/>
          <w:highlight w:val="black"/>
        </w:rPr>
        <w:t>（</w:t>
      </w:r>
      <w:r>
        <w:rPr>
          <w:highlight w:val="black"/>
        </w:rPr>
        <w:t>兼职安全员</w:t>
      </w:r>
      <w:r>
        <w:rPr>
          <w:rFonts w:hint="eastAsia"/>
          <w:highlight w:val="black"/>
        </w:rPr>
        <w:t>）安全生产责任制</w:t>
      </w:r>
    </w:p>
    <w:p w14:paraId="5F547255">
      <w:pPr>
        <w:ind w:firstLine="560"/>
        <w:rPr>
          <w:highlight w:val="black"/>
        </w:rPr>
      </w:pPr>
      <w:r>
        <w:rPr>
          <w:highlight w:val="black"/>
        </w:rPr>
        <w:t>8) 各工种安全生产责任制：如电工、机修工、空压机工、运输工、凿岩工、出渣工等。</w:t>
      </w:r>
    </w:p>
    <w:p w14:paraId="45B310C1">
      <w:pPr>
        <w:ind w:firstLine="560"/>
        <w:rPr>
          <w:highlight w:val="black"/>
        </w:rPr>
      </w:pPr>
      <w:r>
        <w:rPr>
          <w:rFonts w:hint="eastAsia"/>
          <w:highlight w:val="black"/>
        </w:rPr>
        <w:t>（3）</w:t>
      </w:r>
      <w:r>
        <w:rPr>
          <w:highlight w:val="black"/>
        </w:rPr>
        <w:t>制定安全生产管理规章制度，在安全生产管理中做到有章可循。</w:t>
      </w:r>
    </w:p>
    <w:p w14:paraId="019688D8">
      <w:pPr>
        <w:ind w:firstLine="560"/>
        <w:rPr>
          <w:highlight w:val="black"/>
        </w:rPr>
      </w:pPr>
      <w:r>
        <w:rPr>
          <w:highlight w:val="black"/>
        </w:rPr>
        <w:t>1) 安全生产投入保障制度；</w:t>
      </w:r>
    </w:p>
    <w:p w14:paraId="070C79F3">
      <w:pPr>
        <w:ind w:firstLine="560"/>
        <w:rPr>
          <w:highlight w:val="black"/>
        </w:rPr>
      </w:pPr>
      <w:r>
        <w:rPr>
          <w:highlight w:val="black"/>
        </w:rPr>
        <w:t>2) 建设项目安全管理制度；</w:t>
      </w:r>
    </w:p>
    <w:p w14:paraId="04AF0A97">
      <w:pPr>
        <w:ind w:firstLine="560"/>
        <w:rPr>
          <w:highlight w:val="black"/>
        </w:rPr>
      </w:pPr>
      <w:r>
        <w:rPr>
          <w:highlight w:val="black"/>
        </w:rPr>
        <w:t>3) 安全设施、设备管理和检修、维修制度；</w:t>
      </w:r>
    </w:p>
    <w:p w14:paraId="4A360162">
      <w:pPr>
        <w:ind w:firstLine="560"/>
        <w:rPr>
          <w:highlight w:val="black"/>
        </w:rPr>
      </w:pPr>
      <w:r>
        <w:rPr>
          <w:highlight w:val="black"/>
        </w:rPr>
        <w:t>4) 消防安全管理制度；</w:t>
      </w:r>
    </w:p>
    <w:p w14:paraId="14DFE97A">
      <w:pPr>
        <w:ind w:firstLine="560"/>
        <w:rPr>
          <w:highlight w:val="black"/>
        </w:rPr>
      </w:pPr>
      <w:r>
        <w:rPr>
          <w:highlight w:val="black"/>
        </w:rPr>
        <w:t>5) 具有较大危险、危害因素的生产经营场所安全管理制度；</w:t>
      </w:r>
    </w:p>
    <w:p w14:paraId="6D0CB972">
      <w:pPr>
        <w:ind w:firstLine="560"/>
        <w:rPr>
          <w:highlight w:val="black"/>
        </w:rPr>
      </w:pPr>
      <w:r>
        <w:rPr>
          <w:highlight w:val="black"/>
        </w:rPr>
        <w:t>6) 出入井登记制度；</w:t>
      </w:r>
    </w:p>
    <w:p w14:paraId="1C33393C">
      <w:pPr>
        <w:ind w:firstLine="560"/>
        <w:rPr>
          <w:highlight w:val="black"/>
        </w:rPr>
      </w:pPr>
      <w:r>
        <w:rPr>
          <w:highlight w:val="black"/>
        </w:rPr>
        <w:t>7) 职业卫生管理制度；</w:t>
      </w:r>
    </w:p>
    <w:p w14:paraId="74277F25">
      <w:pPr>
        <w:ind w:firstLine="560"/>
        <w:rPr>
          <w:highlight w:val="black"/>
        </w:rPr>
      </w:pPr>
      <w:r>
        <w:rPr>
          <w:highlight w:val="black"/>
        </w:rPr>
        <w:t>8) 劳动防护用品发放和管理制度；</w:t>
      </w:r>
    </w:p>
    <w:p w14:paraId="2A45B22B">
      <w:pPr>
        <w:ind w:firstLine="560"/>
        <w:rPr>
          <w:highlight w:val="black"/>
        </w:rPr>
      </w:pPr>
      <w:r>
        <w:rPr>
          <w:highlight w:val="black"/>
        </w:rPr>
        <w:t>9) 安全生产逐级检查及事故隐患排查、整改制度；</w:t>
      </w:r>
    </w:p>
    <w:p w14:paraId="4ED0DBAF">
      <w:pPr>
        <w:ind w:firstLine="560"/>
        <w:rPr>
          <w:highlight w:val="black"/>
        </w:rPr>
      </w:pPr>
      <w:r>
        <w:rPr>
          <w:highlight w:val="black"/>
        </w:rPr>
        <w:t>10) 安全生产奖惩和责任追究制度；</w:t>
      </w:r>
    </w:p>
    <w:p w14:paraId="3D88AE07">
      <w:pPr>
        <w:ind w:firstLine="560"/>
        <w:rPr>
          <w:highlight w:val="black"/>
        </w:rPr>
      </w:pPr>
      <w:r>
        <w:rPr>
          <w:highlight w:val="black"/>
        </w:rPr>
        <w:t>11) 安全生产教育培训考核制度；</w:t>
      </w:r>
    </w:p>
    <w:p w14:paraId="3F891A22">
      <w:pPr>
        <w:ind w:firstLine="560"/>
        <w:rPr>
          <w:highlight w:val="black"/>
        </w:rPr>
      </w:pPr>
      <w:r>
        <w:rPr>
          <w:highlight w:val="black"/>
        </w:rPr>
        <w:t>12) 特种作业人员管理制度；</w:t>
      </w:r>
    </w:p>
    <w:p w14:paraId="09BC7128">
      <w:pPr>
        <w:ind w:firstLine="560"/>
        <w:rPr>
          <w:highlight w:val="black"/>
        </w:rPr>
      </w:pPr>
      <w:r>
        <w:rPr>
          <w:highlight w:val="black"/>
        </w:rPr>
        <w:t>13) 安全标准化管理制度；</w:t>
      </w:r>
    </w:p>
    <w:p w14:paraId="1D4DC71A">
      <w:pPr>
        <w:ind w:firstLine="560"/>
        <w:rPr>
          <w:highlight w:val="black"/>
        </w:rPr>
      </w:pPr>
      <w:r>
        <w:rPr>
          <w:highlight w:val="black"/>
        </w:rPr>
        <w:t>14) 安全生产会议管理制度；</w:t>
      </w:r>
    </w:p>
    <w:p w14:paraId="4BDBF36E">
      <w:pPr>
        <w:ind w:firstLine="560"/>
        <w:rPr>
          <w:highlight w:val="black"/>
        </w:rPr>
      </w:pPr>
      <w:r>
        <w:rPr>
          <w:highlight w:val="black"/>
        </w:rPr>
        <w:t>15) 生产安全事故报告和调查处理制度；</w:t>
      </w:r>
    </w:p>
    <w:p w14:paraId="5016ABA3">
      <w:pPr>
        <w:ind w:firstLine="560"/>
        <w:rPr>
          <w:highlight w:val="black"/>
        </w:rPr>
      </w:pPr>
      <w:r>
        <w:rPr>
          <w:highlight w:val="black"/>
        </w:rPr>
        <w:t>16) 安全活动日制度；</w:t>
      </w:r>
    </w:p>
    <w:p w14:paraId="10C35C8B">
      <w:pPr>
        <w:ind w:firstLine="560"/>
        <w:rPr>
          <w:highlight w:val="black"/>
        </w:rPr>
      </w:pPr>
      <w:r>
        <w:rPr>
          <w:highlight w:val="black"/>
        </w:rPr>
        <w:t>17) 安全目标管理制度；</w:t>
      </w:r>
    </w:p>
    <w:p w14:paraId="31C1E92F">
      <w:pPr>
        <w:ind w:firstLine="560"/>
        <w:rPr>
          <w:highlight w:val="black"/>
        </w:rPr>
      </w:pPr>
      <w:r>
        <w:rPr>
          <w:highlight w:val="black"/>
        </w:rPr>
        <w:t>18) 安全技术措施审批制度；</w:t>
      </w:r>
    </w:p>
    <w:p w14:paraId="771B7BC0">
      <w:pPr>
        <w:ind w:firstLine="560"/>
        <w:rPr>
          <w:highlight w:val="black"/>
        </w:rPr>
      </w:pPr>
      <w:r>
        <w:rPr>
          <w:highlight w:val="black"/>
        </w:rPr>
        <w:t>19) 危险源监控和安全隐患排查制度；</w:t>
      </w:r>
    </w:p>
    <w:p w14:paraId="7467601F">
      <w:pPr>
        <w:ind w:firstLine="560"/>
        <w:rPr>
          <w:highlight w:val="black"/>
        </w:rPr>
      </w:pPr>
      <w:r>
        <w:rPr>
          <w:highlight w:val="black"/>
        </w:rPr>
        <w:t>20) 安全检查制度；</w:t>
      </w:r>
    </w:p>
    <w:p w14:paraId="3CDF6A57">
      <w:pPr>
        <w:ind w:firstLine="560"/>
        <w:rPr>
          <w:highlight w:val="black"/>
        </w:rPr>
      </w:pPr>
      <w:r>
        <w:rPr>
          <w:highlight w:val="black"/>
        </w:rPr>
        <w:t>21) 安全办公会议制度；</w:t>
      </w:r>
    </w:p>
    <w:p w14:paraId="61FF66CB">
      <w:pPr>
        <w:ind w:firstLine="560"/>
        <w:rPr>
          <w:highlight w:val="black"/>
        </w:rPr>
      </w:pPr>
      <w:r>
        <w:rPr>
          <w:highlight w:val="black"/>
        </w:rPr>
        <w:t>22) 交接班制度；</w:t>
      </w:r>
    </w:p>
    <w:p w14:paraId="1E1755C3">
      <w:pPr>
        <w:ind w:firstLine="560"/>
        <w:rPr>
          <w:highlight w:val="black"/>
        </w:rPr>
      </w:pPr>
      <w:r>
        <w:rPr>
          <w:highlight w:val="black"/>
        </w:rPr>
        <w:t>23) 假日值班制度等。</w:t>
      </w:r>
    </w:p>
    <w:p w14:paraId="0041CF6B">
      <w:pPr>
        <w:ind w:firstLine="560"/>
        <w:rPr>
          <w:highlight w:val="black"/>
        </w:rPr>
      </w:pPr>
      <w:r>
        <w:rPr>
          <w:highlight w:val="black"/>
        </w:rPr>
        <w:t>24) 领导下井带班制度；</w:t>
      </w:r>
    </w:p>
    <w:p w14:paraId="77BEEA79">
      <w:pPr>
        <w:ind w:firstLine="560"/>
        <w:rPr>
          <w:highlight w:val="black"/>
        </w:rPr>
      </w:pPr>
      <w:r>
        <w:rPr>
          <w:highlight w:val="black"/>
        </w:rPr>
        <w:t>25) 劳动管理制度；</w:t>
      </w:r>
    </w:p>
    <w:p w14:paraId="72362369">
      <w:pPr>
        <w:ind w:firstLine="560"/>
        <w:rPr>
          <w:highlight w:val="black"/>
        </w:rPr>
      </w:pPr>
      <w:r>
        <w:rPr>
          <w:highlight w:val="black"/>
        </w:rPr>
        <w:t>26) 矿山应建立各种岗位技术操作规程，各岗位工人都应熟练掌握本岗位操作规程。</w:t>
      </w:r>
    </w:p>
    <w:p w14:paraId="21F95A53">
      <w:pPr>
        <w:ind w:firstLine="560"/>
        <w:rPr>
          <w:highlight w:val="black"/>
        </w:rPr>
      </w:pPr>
      <w:r>
        <w:rPr>
          <w:rFonts w:hint="eastAsia"/>
          <w:highlight w:val="black"/>
        </w:rPr>
        <w:t>（4）</w:t>
      </w:r>
      <w:r>
        <w:rPr>
          <w:highlight w:val="black"/>
        </w:rPr>
        <w:t>制订各工种岗位操作规程，如电工、机修工、空压机工、运输工、凿岩工、出渣工等；</w:t>
      </w:r>
    </w:p>
    <w:p w14:paraId="760ADA45">
      <w:pPr>
        <w:ind w:firstLine="560"/>
        <w:rPr>
          <w:highlight w:val="black"/>
        </w:rPr>
      </w:pPr>
      <w:r>
        <w:rPr>
          <w:rFonts w:hint="eastAsia"/>
          <w:highlight w:val="black"/>
        </w:rPr>
        <w:t>（5）</w:t>
      </w:r>
      <w:r>
        <w:rPr>
          <w:highlight w:val="black"/>
        </w:rPr>
        <w:t>企业应依法参加工伤社会保险，为从业人员缴纳保险费。</w:t>
      </w:r>
    </w:p>
    <w:p w14:paraId="19648B25">
      <w:pPr>
        <w:ind w:firstLine="560"/>
        <w:rPr>
          <w:highlight w:val="black"/>
        </w:rPr>
      </w:pPr>
      <w:r>
        <w:rPr>
          <w:rFonts w:hint="eastAsia"/>
          <w:highlight w:val="black"/>
        </w:rPr>
        <w:t>（6）</w:t>
      </w:r>
      <w:r>
        <w:rPr>
          <w:highlight w:val="black"/>
        </w:rPr>
        <w:t>矿山应编制应急救援预案。应急预案应经过评审，并按照隶属关系向当地县级以上安全生产监督管理部门备案。矿山企业应制定应急预案演练计划，每年至少组织一次综合应急预案演练或者专项应急预案演练，每半年至少组织一次现场处置方案演练。应当组织开展本单位应急预案培训活动，使有关人员了解应急预案内容，熟悉应急职责、应急程序和岗位应急处置方案。</w:t>
      </w:r>
    </w:p>
    <w:p w14:paraId="413ACA81">
      <w:pPr>
        <w:ind w:firstLine="0" w:firstLineChars="0"/>
        <w:rPr>
          <w:rFonts w:ascii="宋体" w:hAnsi="宋体" w:cs="宋体"/>
          <w:b/>
          <w:bCs/>
        </w:rPr>
      </w:pPr>
      <w:r>
        <w:rPr>
          <w:rFonts w:hint="eastAsia" w:ascii="宋体" w:hAnsi="宋体" w:cs="宋体"/>
          <w:b/>
          <w:bCs/>
        </w:rPr>
        <w:t>2.4.13.12 企业组织及定员</w:t>
      </w:r>
    </w:p>
    <w:p w14:paraId="07779C52">
      <w:pPr>
        <w:adjustRightInd w:val="0"/>
        <w:snapToGrid w:val="0"/>
        <w:spacing w:line="520" w:lineRule="atLeast"/>
        <w:ind w:firstLine="560"/>
        <w:rPr>
          <w:rFonts w:ascii="宋体" w:hAnsi="宋体" w:cs="宋体"/>
          <w:szCs w:val="28"/>
          <w:highlight w:val="black"/>
        </w:rPr>
      </w:pPr>
      <w:r>
        <w:rPr>
          <w:rFonts w:hint="eastAsia" w:ascii="宋体" w:hAnsi="宋体" w:cs="宋体"/>
          <w:szCs w:val="28"/>
          <w:highlight w:val="black"/>
        </w:rPr>
        <w:t>（1）组织机构</w:t>
      </w:r>
    </w:p>
    <w:p w14:paraId="12B4A705">
      <w:pPr>
        <w:autoSpaceDE w:val="0"/>
        <w:autoSpaceDN w:val="0"/>
        <w:adjustRightInd w:val="0"/>
        <w:spacing w:line="520" w:lineRule="atLeast"/>
        <w:ind w:firstLine="560"/>
        <w:jc w:val="left"/>
        <w:rPr>
          <w:rFonts w:ascii="宋体" w:hAnsi="宋体" w:cs="宋体"/>
          <w:szCs w:val="28"/>
          <w:highlight w:val="black"/>
        </w:rPr>
      </w:pPr>
      <w:r>
        <w:rPr>
          <w:rFonts w:hint="eastAsia" w:ascii="宋体" w:hAnsi="宋体" w:cs="宋体"/>
          <w:szCs w:val="28"/>
          <w:highlight w:val="black"/>
        </w:rPr>
        <w:t>采用总经理负责制，本着精简高效的原则，组织机构高效的原则，组织机构推荐采用二级管理形式，矿部设办公室、生产技术、财务、供应、安全、后勤等职能科室。</w:t>
      </w:r>
    </w:p>
    <w:p w14:paraId="37782B41">
      <w:pPr>
        <w:adjustRightInd w:val="0"/>
        <w:snapToGrid w:val="0"/>
        <w:spacing w:line="520" w:lineRule="atLeast"/>
        <w:ind w:firstLine="560"/>
        <w:rPr>
          <w:rFonts w:ascii="宋体" w:hAnsi="宋体" w:cs="宋体"/>
          <w:szCs w:val="28"/>
          <w:highlight w:val="black"/>
        </w:rPr>
      </w:pPr>
      <w:r>
        <w:rPr>
          <w:rFonts w:hint="eastAsia" w:ascii="宋体" w:hAnsi="宋体" w:cs="宋体"/>
          <w:szCs w:val="28"/>
          <w:highlight w:val="black"/>
        </w:rPr>
        <w:t>（2）劳动定员</w:t>
      </w:r>
    </w:p>
    <w:p w14:paraId="18203E8C">
      <w:pPr>
        <w:spacing w:line="520" w:lineRule="atLeast"/>
        <w:ind w:firstLine="560" w:firstLineChars="0"/>
        <w:rPr>
          <w:rFonts w:ascii="宋体" w:hAnsi="宋体" w:cs="宋体"/>
          <w:szCs w:val="28"/>
          <w:highlight w:val="black"/>
        </w:rPr>
      </w:pPr>
      <w:r>
        <w:rPr>
          <w:rFonts w:hint="eastAsia" w:ascii="宋体" w:hAnsi="宋体" w:cs="宋体"/>
          <w:szCs w:val="28"/>
          <w:highlight w:val="black"/>
        </w:rPr>
        <w:t>1）工作制度</w:t>
      </w:r>
    </w:p>
    <w:p w14:paraId="280C43D9">
      <w:pPr>
        <w:spacing w:line="520" w:lineRule="atLeast"/>
        <w:ind w:firstLine="560" w:firstLineChars="0"/>
        <w:rPr>
          <w:rFonts w:ascii="宋体" w:hAnsi="宋体" w:cs="宋体"/>
          <w:szCs w:val="28"/>
          <w:highlight w:val="black"/>
        </w:rPr>
      </w:pPr>
      <w:r>
        <w:rPr>
          <w:rFonts w:hint="eastAsia" w:ascii="宋体" w:hAnsi="宋体" w:cs="宋体"/>
          <w:szCs w:val="28"/>
          <w:highlight w:val="black"/>
        </w:rPr>
        <w:t>采用连续工作制，年工作300天，每天3班，每班工作8小时。</w:t>
      </w:r>
    </w:p>
    <w:p w14:paraId="79939E24">
      <w:pPr>
        <w:spacing w:line="520" w:lineRule="atLeast"/>
        <w:ind w:firstLine="560" w:firstLineChars="0"/>
        <w:rPr>
          <w:rFonts w:ascii="宋体" w:hAnsi="宋体" w:cs="宋体"/>
          <w:szCs w:val="28"/>
          <w:highlight w:val="black"/>
        </w:rPr>
      </w:pPr>
      <w:r>
        <w:rPr>
          <w:rFonts w:hint="eastAsia" w:ascii="宋体" w:hAnsi="宋体" w:cs="宋体"/>
          <w:szCs w:val="28"/>
          <w:highlight w:val="black"/>
        </w:rPr>
        <w:t>2）劳动定员</w:t>
      </w:r>
    </w:p>
    <w:p w14:paraId="2F26C1C4">
      <w:pPr>
        <w:spacing w:line="520" w:lineRule="atLeast"/>
        <w:ind w:firstLine="560" w:firstLineChars="0"/>
        <w:rPr>
          <w:rFonts w:ascii="宋体" w:hAnsi="宋体" w:cs="宋体"/>
          <w:szCs w:val="28"/>
          <w:highlight w:val="black"/>
        </w:rPr>
      </w:pPr>
      <w:r>
        <w:rPr>
          <w:rFonts w:hint="eastAsia" w:ascii="宋体" w:hAnsi="宋体" w:cs="宋体"/>
          <w:szCs w:val="28"/>
          <w:highlight w:val="black"/>
        </w:rPr>
        <w:t>生产人员根据生产岗位需要和劳动生产定额确定定员，管理人员按职能设置进行安排。</w:t>
      </w:r>
    </w:p>
    <w:p w14:paraId="7CE44B40">
      <w:pPr>
        <w:spacing w:line="520" w:lineRule="atLeast"/>
        <w:ind w:firstLine="560" w:firstLineChars="0"/>
        <w:rPr>
          <w:rFonts w:ascii="宋体" w:hAnsi="宋体" w:cs="宋体"/>
          <w:szCs w:val="28"/>
          <w:highlight w:val="black"/>
        </w:rPr>
      </w:pPr>
      <w:bookmarkStart w:id="229" w:name="_Hlk138435602"/>
      <w:r>
        <w:rPr>
          <w:rFonts w:hint="eastAsia" w:ascii="宋体" w:hAnsi="宋体" w:cs="宋体"/>
          <w:szCs w:val="28"/>
          <w:highlight w:val="black"/>
        </w:rPr>
        <w:t>根据矿山开拓以及开采方式，矿山工作主要包括以下：①地质测量；②地下采场开采、装载、运输；③排水；④供电；⑤总图运输；⑥机修。</w:t>
      </w:r>
    </w:p>
    <w:bookmarkEnd w:id="229"/>
    <w:p w14:paraId="5D27C84A">
      <w:pPr>
        <w:spacing w:line="520" w:lineRule="atLeast"/>
        <w:ind w:firstLine="560" w:firstLineChars="0"/>
        <w:rPr>
          <w:rFonts w:ascii="宋体" w:hAnsi="宋体" w:cs="宋体"/>
          <w:szCs w:val="28"/>
          <w:highlight w:val="black"/>
        </w:rPr>
      </w:pPr>
      <w:bookmarkStart w:id="230" w:name="_Hlk117672746"/>
      <w:bookmarkStart w:id="231" w:name="_Hlk138435637"/>
      <w:r>
        <w:rPr>
          <w:rFonts w:hint="eastAsia" w:ascii="宋体" w:hAnsi="宋体" w:cs="宋体"/>
          <w:szCs w:val="28"/>
          <w:highlight w:val="black"/>
        </w:rPr>
        <w:t>矿山工作制度为三班工作制，矿山职工定员总数为81人，其中生产工人69人，管理人员12人（含安全员），单班最大下井人数为29人</w:t>
      </w:r>
      <w:bookmarkEnd w:id="230"/>
      <w:r>
        <w:rPr>
          <w:rFonts w:hint="eastAsia" w:ascii="宋体" w:hAnsi="宋体" w:cs="宋体"/>
          <w:szCs w:val="28"/>
          <w:highlight w:val="black"/>
        </w:rPr>
        <w:t>。职工岗位定员具体见劳动定员表</w:t>
      </w:r>
      <w:bookmarkEnd w:id="231"/>
      <w:r>
        <w:rPr>
          <w:rFonts w:hint="eastAsia" w:ascii="宋体" w:hAnsi="宋体" w:cs="宋体"/>
          <w:szCs w:val="28"/>
          <w:highlight w:val="black"/>
        </w:rPr>
        <w:t>。</w:t>
      </w:r>
    </w:p>
    <w:p w14:paraId="07B78975">
      <w:pPr>
        <w:spacing w:line="240" w:lineRule="auto"/>
        <w:ind w:firstLine="422"/>
        <w:jc w:val="center"/>
        <w:rPr>
          <w:rFonts w:hint="eastAsia" w:ascii="宋体" w:hAnsi="宋体" w:cs="宋体"/>
          <w:b/>
          <w:sz w:val="21"/>
          <w:szCs w:val="21"/>
          <w:highlight w:val="black"/>
        </w:rPr>
      </w:pPr>
    </w:p>
    <w:p w14:paraId="5A3BAA67">
      <w:pPr>
        <w:spacing w:line="240" w:lineRule="auto"/>
        <w:ind w:firstLine="422"/>
        <w:jc w:val="center"/>
        <w:rPr>
          <w:rFonts w:ascii="宋体" w:hAnsi="宋体" w:cs="宋体"/>
          <w:b/>
          <w:sz w:val="21"/>
          <w:szCs w:val="21"/>
          <w:highlight w:val="black"/>
        </w:rPr>
      </w:pPr>
      <w:r>
        <w:rPr>
          <w:rFonts w:hint="eastAsia" w:ascii="宋体" w:hAnsi="宋体" w:cs="宋体"/>
          <w:b/>
          <w:sz w:val="21"/>
          <w:szCs w:val="21"/>
          <w:highlight w:val="black"/>
        </w:rPr>
        <w:t>表2-26 劳动定员表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585"/>
        <w:gridCol w:w="1115"/>
        <w:gridCol w:w="1115"/>
        <w:gridCol w:w="1115"/>
        <w:gridCol w:w="1478"/>
      </w:tblGrid>
      <w:tr w14:paraId="54E83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4" w:type="pct"/>
            <w:tcBorders>
              <w:tl2br w:val="nil"/>
              <w:tr2bl w:val="nil"/>
            </w:tcBorders>
            <w:shd w:val="clear" w:color="auto" w:fill="auto"/>
            <w:vAlign w:val="center"/>
          </w:tcPr>
          <w:p w14:paraId="3E05245C">
            <w:pPr>
              <w:widowControl/>
              <w:snapToGrid w:val="0"/>
              <w:spacing w:line="240" w:lineRule="atLeast"/>
              <w:ind w:firstLine="0" w:firstLineChars="0"/>
              <w:jc w:val="center"/>
              <w:rPr>
                <w:kern w:val="0"/>
                <w:sz w:val="21"/>
                <w:szCs w:val="21"/>
                <w:highlight w:val="black"/>
              </w:rPr>
            </w:pPr>
            <w:r>
              <w:rPr>
                <w:kern w:val="0"/>
                <w:sz w:val="21"/>
                <w:szCs w:val="21"/>
                <w:highlight w:val="black"/>
              </w:rPr>
              <w:t>序号</w:t>
            </w:r>
          </w:p>
        </w:tc>
        <w:tc>
          <w:tcPr>
            <w:tcW w:w="1517" w:type="pct"/>
            <w:tcBorders>
              <w:tl2br w:val="nil"/>
              <w:tr2bl w:val="nil"/>
            </w:tcBorders>
            <w:shd w:val="clear" w:color="auto" w:fill="auto"/>
            <w:vAlign w:val="center"/>
          </w:tcPr>
          <w:p w14:paraId="6650A952">
            <w:pPr>
              <w:widowControl/>
              <w:snapToGrid w:val="0"/>
              <w:spacing w:line="240" w:lineRule="atLeast"/>
              <w:ind w:firstLine="0" w:firstLineChars="0"/>
              <w:jc w:val="center"/>
              <w:rPr>
                <w:kern w:val="0"/>
                <w:sz w:val="21"/>
                <w:szCs w:val="21"/>
                <w:highlight w:val="black"/>
              </w:rPr>
            </w:pPr>
            <w:r>
              <w:rPr>
                <w:kern w:val="0"/>
                <w:sz w:val="21"/>
                <w:szCs w:val="21"/>
                <w:highlight w:val="black"/>
              </w:rPr>
              <w:t>工种</w:t>
            </w:r>
          </w:p>
        </w:tc>
        <w:tc>
          <w:tcPr>
            <w:tcW w:w="654" w:type="pct"/>
            <w:tcBorders>
              <w:tl2br w:val="nil"/>
              <w:tr2bl w:val="nil"/>
            </w:tcBorders>
            <w:shd w:val="clear" w:color="auto" w:fill="auto"/>
            <w:vAlign w:val="center"/>
          </w:tcPr>
          <w:p w14:paraId="3F7CAF11">
            <w:pPr>
              <w:widowControl/>
              <w:snapToGrid w:val="0"/>
              <w:spacing w:line="240" w:lineRule="atLeast"/>
              <w:ind w:firstLine="0" w:firstLineChars="0"/>
              <w:jc w:val="center"/>
              <w:rPr>
                <w:kern w:val="0"/>
                <w:sz w:val="21"/>
                <w:szCs w:val="21"/>
                <w:highlight w:val="black"/>
              </w:rPr>
            </w:pPr>
            <w:r>
              <w:rPr>
                <w:kern w:val="0"/>
                <w:sz w:val="21"/>
                <w:szCs w:val="21"/>
                <w:highlight w:val="black"/>
              </w:rPr>
              <w:t>一班</w:t>
            </w:r>
          </w:p>
        </w:tc>
        <w:tc>
          <w:tcPr>
            <w:tcW w:w="654" w:type="pct"/>
            <w:tcBorders>
              <w:tl2br w:val="nil"/>
              <w:tr2bl w:val="nil"/>
            </w:tcBorders>
            <w:shd w:val="clear" w:color="auto" w:fill="auto"/>
            <w:vAlign w:val="center"/>
          </w:tcPr>
          <w:p w14:paraId="2D54F7D1">
            <w:pPr>
              <w:widowControl/>
              <w:snapToGrid w:val="0"/>
              <w:spacing w:line="240" w:lineRule="atLeast"/>
              <w:ind w:firstLine="0" w:firstLineChars="0"/>
              <w:jc w:val="center"/>
              <w:rPr>
                <w:kern w:val="0"/>
                <w:sz w:val="21"/>
                <w:szCs w:val="21"/>
                <w:highlight w:val="black"/>
              </w:rPr>
            </w:pPr>
            <w:r>
              <w:rPr>
                <w:kern w:val="0"/>
                <w:sz w:val="21"/>
                <w:szCs w:val="21"/>
                <w:highlight w:val="black"/>
              </w:rPr>
              <w:t>二班</w:t>
            </w:r>
          </w:p>
        </w:tc>
        <w:tc>
          <w:tcPr>
            <w:tcW w:w="654" w:type="pct"/>
            <w:tcBorders>
              <w:tl2br w:val="nil"/>
              <w:tr2bl w:val="nil"/>
            </w:tcBorders>
            <w:shd w:val="clear" w:color="auto" w:fill="auto"/>
            <w:vAlign w:val="center"/>
          </w:tcPr>
          <w:p w14:paraId="2FB3E232">
            <w:pPr>
              <w:widowControl/>
              <w:snapToGrid w:val="0"/>
              <w:spacing w:line="240" w:lineRule="atLeast"/>
              <w:ind w:firstLine="0" w:firstLineChars="0"/>
              <w:jc w:val="center"/>
              <w:rPr>
                <w:kern w:val="0"/>
                <w:sz w:val="21"/>
                <w:szCs w:val="21"/>
                <w:highlight w:val="black"/>
              </w:rPr>
            </w:pPr>
            <w:r>
              <w:rPr>
                <w:kern w:val="0"/>
                <w:sz w:val="21"/>
                <w:szCs w:val="21"/>
                <w:highlight w:val="black"/>
              </w:rPr>
              <w:t>三班</w:t>
            </w:r>
          </w:p>
        </w:tc>
        <w:tc>
          <w:tcPr>
            <w:tcW w:w="869" w:type="pct"/>
            <w:tcBorders>
              <w:tl2br w:val="nil"/>
              <w:tr2bl w:val="nil"/>
            </w:tcBorders>
            <w:shd w:val="clear" w:color="auto" w:fill="auto"/>
            <w:vAlign w:val="center"/>
          </w:tcPr>
          <w:p w14:paraId="22F966C4">
            <w:pPr>
              <w:widowControl/>
              <w:snapToGrid w:val="0"/>
              <w:spacing w:line="240" w:lineRule="atLeast"/>
              <w:ind w:firstLine="0" w:firstLineChars="0"/>
              <w:jc w:val="center"/>
              <w:rPr>
                <w:kern w:val="0"/>
                <w:sz w:val="21"/>
                <w:szCs w:val="21"/>
                <w:highlight w:val="black"/>
              </w:rPr>
            </w:pPr>
            <w:r>
              <w:rPr>
                <w:kern w:val="0"/>
                <w:sz w:val="21"/>
                <w:szCs w:val="21"/>
                <w:highlight w:val="black"/>
              </w:rPr>
              <w:t>总人数</w:t>
            </w:r>
          </w:p>
        </w:tc>
      </w:tr>
      <w:tr w14:paraId="724C7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6B56C10F">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517" w:type="pct"/>
            <w:tcBorders>
              <w:tl2br w:val="nil"/>
              <w:tr2bl w:val="nil"/>
            </w:tcBorders>
            <w:shd w:val="clear" w:color="auto" w:fill="auto"/>
            <w:vAlign w:val="center"/>
          </w:tcPr>
          <w:p w14:paraId="7A393F34">
            <w:pPr>
              <w:widowControl/>
              <w:snapToGrid w:val="0"/>
              <w:spacing w:line="240" w:lineRule="atLeast"/>
              <w:ind w:firstLine="0" w:firstLineChars="0"/>
              <w:jc w:val="center"/>
              <w:rPr>
                <w:kern w:val="0"/>
                <w:sz w:val="21"/>
                <w:szCs w:val="21"/>
                <w:highlight w:val="black"/>
              </w:rPr>
            </w:pPr>
            <w:r>
              <w:rPr>
                <w:kern w:val="0"/>
                <w:sz w:val="21"/>
                <w:szCs w:val="21"/>
                <w:highlight w:val="black"/>
              </w:rPr>
              <w:t>凿岩工</w:t>
            </w:r>
          </w:p>
        </w:tc>
        <w:tc>
          <w:tcPr>
            <w:tcW w:w="654" w:type="pct"/>
            <w:tcBorders>
              <w:tl2br w:val="nil"/>
              <w:tr2bl w:val="nil"/>
            </w:tcBorders>
            <w:shd w:val="clear" w:color="auto" w:fill="auto"/>
            <w:vAlign w:val="center"/>
          </w:tcPr>
          <w:p w14:paraId="013A9752">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654" w:type="pct"/>
            <w:tcBorders>
              <w:tl2br w:val="nil"/>
              <w:tr2bl w:val="nil"/>
            </w:tcBorders>
            <w:shd w:val="clear" w:color="auto" w:fill="auto"/>
            <w:vAlign w:val="center"/>
          </w:tcPr>
          <w:p w14:paraId="3FCBC7C8">
            <w:pPr>
              <w:widowControl/>
              <w:snapToGrid w:val="0"/>
              <w:spacing w:line="240" w:lineRule="atLeast"/>
              <w:ind w:firstLine="0" w:firstLineChars="0"/>
              <w:jc w:val="center"/>
              <w:rPr>
                <w:kern w:val="0"/>
                <w:sz w:val="21"/>
                <w:szCs w:val="21"/>
                <w:highlight w:val="black"/>
              </w:rPr>
            </w:pPr>
          </w:p>
        </w:tc>
        <w:tc>
          <w:tcPr>
            <w:tcW w:w="654" w:type="pct"/>
            <w:tcBorders>
              <w:tl2br w:val="nil"/>
              <w:tr2bl w:val="nil"/>
            </w:tcBorders>
            <w:shd w:val="clear" w:color="auto" w:fill="auto"/>
            <w:vAlign w:val="center"/>
          </w:tcPr>
          <w:p w14:paraId="07BC16D5">
            <w:pPr>
              <w:widowControl/>
              <w:snapToGrid w:val="0"/>
              <w:spacing w:line="240" w:lineRule="atLeast"/>
              <w:ind w:firstLine="0" w:firstLineChars="0"/>
              <w:jc w:val="center"/>
              <w:rPr>
                <w:kern w:val="0"/>
                <w:sz w:val="21"/>
                <w:szCs w:val="21"/>
                <w:highlight w:val="black"/>
              </w:rPr>
            </w:pPr>
          </w:p>
        </w:tc>
        <w:tc>
          <w:tcPr>
            <w:tcW w:w="869" w:type="pct"/>
            <w:tcBorders>
              <w:tl2br w:val="nil"/>
              <w:tr2bl w:val="nil"/>
            </w:tcBorders>
            <w:shd w:val="clear" w:color="auto" w:fill="auto"/>
            <w:vAlign w:val="center"/>
          </w:tcPr>
          <w:p w14:paraId="55C499C8">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r>
      <w:tr w14:paraId="6FED3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7A1F6E4D">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1517" w:type="pct"/>
            <w:tcBorders>
              <w:tl2br w:val="nil"/>
              <w:tr2bl w:val="nil"/>
            </w:tcBorders>
            <w:shd w:val="clear" w:color="auto" w:fill="auto"/>
            <w:vAlign w:val="center"/>
          </w:tcPr>
          <w:p w14:paraId="22D78B91">
            <w:pPr>
              <w:widowControl/>
              <w:snapToGrid w:val="0"/>
              <w:spacing w:line="240" w:lineRule="atLeast"/>
              <w:ind w:firstLine="0" w:firstLineChars="0"/>
              <w:jc w:val="center"/>
              <w:rPr>
                <w:kern w:val="0"/>
                <w:sz w:val="21"/>
                <w:szCs w:val="21"/>
                <w:highlight w:val="black"/>
              </w:rPr>
            </w:pPr>
            <w:r>
              <w:rPr>
                <w:kern w:val="0"/>
                <w:sz w:val="21"/>
                <w:szCs w:val="21"/>
                <w:highlight w:val="black"/>
              </w:rPr>
              <w:t>爆破工</w:t>
            </w:r>
          </w:p>
        </w:tc>
        <w:tc>
          <w:tcPr>
            <w:tcW w:w="654" w:type="pct"/>
            <w:tcBorders>
              <w:tl2br w:val="nil"/>
              <w:tr2bl w:val="nil"/>
            </w:tcBorders>
            <w:shd w:val="clear" w:color="auto" w:fill="auto"/>
            <w:vAlign w:val="center"/>
          </w:tcPr>
          <w:p w14:paraId="4211FC70">
            <w:pPr>
              <w:widowControl/>
              <w:snapToGrid w:val="0"/>
              <w:spacing w:line="240" w:lineRule="atLeast"/>
              <w:ind w:firstLine="0" w:firstLineChars="0"/>
              <w:jc w:val="center"/>
              <w:rPr>
                <w:kern w:val="0"/>
                <w:sz w:val="21"/>
                <w:szCs w:val="21"/>
                <w:highlight w:val="black"/>
              </w:rPr>
            </w:pPr>
          </w:p>
        </w:tc>
        <w:tc>
          <w:tcPr>
            <w:tcW w:w="654" w:type="pct"/>
            <w:tcBorders>
              <w:tl2br w:val="nil"/>
              <w:tr2bl w:val="nil"/>
            </w:tcBorders>
            <w:shd w:val="clear" w:color="auto" w:fill="auto"/>
            <w:vAlign w:val="center"/>
          </w:tcPr>
          <w:p w14:paraId="470E2875">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0532ED32">
            <w:pPr>
              <w:widowControl/>
              <w:snapToGrid w:val="0"/>
              <w:spacing w:line="240" w:lineRule="atLeast"/>
              <w:ind w:firstLine="0" w:firstLineChars="0"/>
              <w:jc w:val="center"/>
              <w:rPr>
                <w:kern w:val="0"/>
                <w:sz w:val="21"/>
                <w:szCs w:val="21"/>
                <w:highlight w:val="black"/>
              </w:rPr>
            </w:pPr>
          </w:p>
        </w:tc>
        <w:tc>
          <w:tcPr>
            <w:tcW w:w="869" w:type="pct"/>
            <w:tcBorders>
              <w:tl2br w:val="nil"/>
              <w:tr2bl w:val="nil"/>
            </w:tcBorders>
            <w:shd w:val="clear" w:color="auto" w:fill="auto"/>
            <w:vAlign w:val="center"/>
          </w:tcPr>
          <w:p w14:paraId="0DC23EBB">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r>
      <w:tr w14:paraId="25818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7B1C7705">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1517" w:type="pct"/>
            <w:tcBorders>
              <w:tl2br w:val="nil"/>
              <w:tr2bl w:val="nil"/>
            </w:tcBorders>
            <w:shd w:val="clear" w:color="auto" w:fill="auto"/>
            <w:vAlign w:val="center"/>
          </w:tcPr>
          <w:p w14:paraId="0E0F00B7">
            <w:pPr>
              <w:widowControl/>
              <w:snapToGrid w:val="0"/>
              <w:spacing w:line="240" w:lineRule="atLeast"/>
              <w:ind w:firstLine="0" w:firstLineChars="0"/>
              <w:jc w:val="center"/>
              <w:rPr>
                <w:kern w:val="0"/>
                <w:sz w:val="21"/>
                <w:szCs w:val="21"/>
                <w:highlight w:val="black"/>
              </w:rPr>
            </w:pPr>
            <w:r>
              <w:rPr>
                <w:kern w:val="0"/>
                <w:sz w:val="21"/>
                <w:szCs w:val="21"/>
                <w:highlight w:val="black"/>
              </w:rPr>
              <w:t>平场撬毛工</w:t>
            </w:r>
          </w:p>
        </w:tc>
        <w:tc>
          <w:tcPr>
            <w:tcW w:w="654" w:type="pct"/>
            <w:tcBorders>
              <w:tl2br w:val="nil"/>
              <w:tr2bl w:val="nil"/>
            </w:tcBorders>
            <w:shd w:val="clear" w:color="auto" w:fill="auto"/>
            <w:vAlign w:val="center"/>
          </w:tcPr>
          <w:p w14:paraId="709B36BB">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0D8FA45D">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5AA14426">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869" w:type="pct"/>
            <w:tcBorders>
              <w:tl2br w:val="nil"/>
              <w:tr2bl w:val="nil"/>
            </w:tcBorders>
            <w:shd w:val="clear" w:color="auto" w:fill="auto"/>
            <w:vAlign w:val="center"/>
          </w:tcPr>
          <w:p w14:paraId="77C040C4">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r>
      <w:tr w14:paraId="77893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75FE8ADB">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c>
          <w:tcPr>
            <w:tcW w:w="1517" w:type="pct"/>
            <w:tcBorders>
              <w:tl2br w:val="nil"/>
              <w:tr2bl w:val="nil"/>
            </w:tcBorders>
            <w:shd w:val="clear" w:color="auto" w:fill="auto"/>
            <w:vAlign w:val="center"/>
          </w:tcPr>
          <w:p w14:paraId="4121F4BC">
            <w:pPr>
              <w:widowControl/>
              <w:snapToGrid w:val="0"/>
              <w:spacing w:line="240" w:lineRule="atLeast"/>
              <w:ind w:firstLine="0" w:firstLineChars="0"/>
              <w:jc w:val="center"/>
              <w:rPr>
                <w:kern w:val="0"/>
                <w:sz w:val="21"/>
                <w:szCs w:val="21"/>
                <w:highlight w:val="black"/>
              </w:rPr>
            </w:pPr>
            <w:r>
              <w:rPr>
                <w:kern w:val="0"/>
                <w:sz w:val="21"/>
                <w:szCs w:val="21"/>
                <w:highlight w:val="black"/>
              </w:rPr>
              <w:t>支护工</w:t>
            </w:r>
          </w:p>
        </w:tc>
        <w:tc>
          <w:tcPr>
            <w:tcW w:w="654" w:type="pct"/>
            <w:tcBorders>
              <w:tl2br w:val="nil"/>
              <w:tr2bl w:val="nil"/>
            </w:tcBorders>
            <w:shd w:val="clear" w:color="auto" w:fill="auto"/>
            <w:vAlign w:val="center"/>
          </w:tcPr>
          <w:p w14:paraId="4EB6AFD4">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5184488F">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5AE0690B">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869" w:type="pct"/>
            <w:tcBorders>
              <w:tl2br w:val="nil"/>
              <w:tr2bl w:val="nil"/>
            </w:tcBorders>
            <w:shd w:val="clear" w:color="auto" w:fill="auto"/>
            <w:vAlign w:val="center"/>
          </w:tcPr>
          <w:p w14:paraId="6E2AB5B1">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r>
      <w:tr w14:paraId="1777F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668F085F">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1517" w:type="pct"/>
            <w:tcBorders>
              <w:tl2br w:val="nil"/>
              <w:tr2bl w:val="nil"/>
            </w:tcBorders>
            <w:shd w:val="clear" w:color="auto" w:fill="auto"/>
            <w:vAlign w:val="center"/>
          </w:tcPr>
          <w:p w14:paraId="1841015A">
            <w:pPr>
              <w:widowControl/>
              <w:snapToGrid w:val="0"/>
              <w:spacing w:line="240" w:lineRule="atLeast"/>
              <w:ind w:firstLine="0" w:firstLineChars="0"/>
              <w:jc w:val="center"/>
              <w:rPr>
                <w:kern w:val="0"/>
                <w:sz w:val="21"/>
                <w:szCs w:val="21"/>
                <w:highlight w:val="black"/>
              </w:rPr>
            </w:pPr>
            <w:r>
              <w:rPr>
                <w:kern w:val="0"/>
                <w:sz w:val="21"/>
                <w:szCs w:val="21"/>
                <w:highlight w:val="black"/>
              </w:rPr>
              <w:t>空压机工</w:t>
            </w:r>
          </w:p>
        </w:tc>
        <w:tc>
          <w:tcPr>
            <w:tcW w:w="654" w:type="pct"/>
            <w:tcBorders>
              <w:tl2br w:val="nil"/>
              <w:tr2bl w:val="nil"/>
            </w:tcBorders>
            <w:shd w:val="clear" w:color="auto" w:fill="auto"/>
            <w:vAlign w:val="center"/>
          </w:tcPr>
          <w:p w14:paraId="10DD8F33">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1ECB3F2B">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76430B77">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869" w:type="pct"/>
            <w:tcBorders>
              <w:tl2br w:val="nil"/>
              <w:tr2bl w:val="nil"/>
            </w:tcBorders>
            <w:shd w:val="clear" w:color="auto" w:fill="auto"/>
            <w:vAlign w:val="center"/>
          </w:tcPr>
          <w:p w14:paraId="051BD2F0">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r>
      <w:tr w14:paraId="55D17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70D7E515">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c>
          <w:tcPr>
            <w:tcW w:w="1517" w:type="pct"/>
            <w:tcBorders>
              <w:tl2br w:val="nil"/>
              <w:tr2bl w:val="nil"/>
            </w:tcBorders>
            <w:shd w:val="clear" w:color="auto" w:fill="auto"/>
            <w:vAlign w:val="center"/>
          </w:tcPr>
          <w:p w14:paraId="257C3F9B">
            <w:pPr>
              <w:widowControl/>
              <w:snapToGrid w:val="0"/>
              <w:spacing w:line="240" w:lineRule="atLeast"/>
              <w:ind w:firstLine="0" w:firstLineChars="0"/>
              <w:jc w:val="center"/>
              <w:rPr>
                <w:kern w:val="0"/>
                <w:sz w:val="21"/>
                <w:szCs w:val="21"/>
                <w:highlight w:val="black"/>
              </w:rPr>
            </w:pPr>
            <w:r>
              <w:rPr>
                <w:kern w:val="0"/>
                <w:sz w:val="21"/>
                <w:szCs w:val="21"/>
                <w:highlight w:val="black"/>
              </w:rPr>
              <w:t>铲运机司机</w:t>
            </w:r>
          </w:p>
        </w:tc>
        <w:tc>
          <w:tcPr>
            <w:tcW w:w="654" w:type="pct"/>
            <w:tcBorders>
              <w:tl2br w:val="nil"/>
              <w:tr2bl w:val="nil"/>
            </w:tcBorders>
            <w:shd w:val="clear" w:color="auto" w:fill="auto"/>
            <w:vAlign w:val="center"/>
          </w:tcPr>
          <w:p w14:paraId="2AA0E338">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654" w:type="pct"/>
            <w:tcBorders>
              <w:tl2br w:val="nil"/>
              <w:tr2bl w:val="nil"/>
            </w:tcBorders>
            <w:shd w:val="clear" w:color="auto" w:fill="auto"/>
            <w:vAlign w:val="center"/>
          </w:tcPr>
          <w:p w14:paraId="7939A0E0">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654" w:type="pct"/>
            <w:tcBorders>
              <w:tl2br w:val="nil"/>
              <w:tr2bl w:val="nil"/>
            </w:tcBorders>
            <w:shd w:val="clear" w:color="auto" w:fill="auto"/>
            <w:vAlign w:val="center"/>
          </w:tcPr>
          <w:p w14:paraId="32DDA0CB">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869" w:type="pct"/>
            <w:tcBorders>
              <w:tl2br w:val="nil"/>
              <w:tr2bl w:val="nil"/>
            </w:tcBorders>
            <w:shd w:val="clear" w:color="auto" w:fill="auto"/>
            <w:vAlign w:val="center"/>
          </w:tcPr>
          <w:p w14:paraId="7B6E697A">
            <w:pPr>
              <w:widowControl/>
              <w:snapToGrid w:val="0"/>
              <w:spacing w:line="240" w:lineRule="atLeast"/>
              <w:ind w:firstLine="0" w:firstLineChars="0"/>
              <w:jc w:val="center"/>
              <w:rPr>
                <w:kern w:val="0"/>
                <w:sz w:val="21"/>
                <w:szCs w:val="21"/>
                <w:highlight w:val="black"/>
              </w:rPr>
            </w:pPr>
            <w:r>
              <w:rPr>
                <w:kern w:val="0"/>
                <w:sz w:val="21"/>
                <w:szCs w:val="21"/>
                <w:highlight w:val="black"/>
              </w:rPr>
              <w:t>9</w:t>
            </w:r>
          </w:p>
        </w:tc>
      </w:tr>
      <w:tr w14:paraId="1BA9B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5FB9901C">
            <w:pPr>
              <w:widowControl/>
              <w:snapToGrid w:val="0"/>
              <w:spacing w:line="240" w:lineRule="atLeast"/>
              <w:ind w:firstLine="0" w:firstLineChars="0"/>
              <w:jc w:val="center"/>
              <w:rPr>
                <w:kern w:val="0"/>
                <w:sz w:val="21"/>
                <w:szCs w:val="21"/>
                <w:highlight w:val="black"/>
              </w:rPr>
            </w:pPr>
            <w:r>
              <w:rPr>
                <w:kern w:val="0"/>
                <w:sz w:val="21"/>
                <w:szCs w:val="21"/>
                <w:highlight w:val="black"/>
              </w:rPr>
              <w:t>7</w:t>
            </w:r>
          </w:p>
        </w:tc>
        <w:tc>
          <w:tcPr>
            <w:tcW w:w="1517" w:type="pct"/>
            <w:tcBorders>
              <w:tl2br w:val="nil"/>
              <w:tr2bl w:val="nil"/>
            </w:tcBorders>
            <w:shd w:val="clear" w:color="auto" w:fill="auto"/>
            <w:vAlign w:val="center"/>
          </w:tcPr>
          <w:p w14:paraId="6CDA71D0">
            <w:pPr>
              <w:widowControl/>
              <w:snapToGrid w:val="0"/>
              <w:spacing w:line="240" w:lineRule="atLeast"/>
              <w:ind w:firstLine="0" w:firstLineChars="0"/>
              <w:jc w:val="center"/>
              <w:rPr>
                <w:kern w:val="0"/>
                <w:sz w:val="21"/>
                <w:szCs w:val="21"/>
                <w:highlight w:val="black"/>
              </w:rPr>
            </w:pPr>
            <w:r>
              <w:rPr>
                <w:kern w:val="0"/>
                <w:sz w:val="21"/>
                <w:szCs w:val="21"/>
                <w:highlight w:val="black"/>
              </w:rPr>
              <w:t>自卸汽车司机</w:t>
            </w:r>
          </w:p>
        </w:tc>
        <w:tc>
          <w:tcPr>
            <w:tcW w:w="654" w:type="pct"/>
            <w:tcBorders>
              <w:tl2br w:val="nil"/>
              <w:tr2bl w:val="nil"/>
            </w:tcBorders>
            <w:shd w:val="clear" w:color="auto" w:fill="auto"/>
            <w:vAlign w:val="center"/>
          </w:tcPr>
          <w:p w14:paraId="134D2B22">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654" w:type="pct"/>
            <w:tcBorders>
              <w:tl2br w:val="nil"/>
              <w:tr2bl w:val="nil"/>
            </w:tcBorders>
            <w:shd w:val="clear" w:color="auto" w:fill="auto"/>
            <w:vAlign w:val="center"/>
          </w:tcPr>
          <w:p w14:paraId="127C607E">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654" w:type="pct"/>
            <w:tcBorders>
              <w:tl2br w:val="nil"/>
              <w:tr2bl w:val="nil"/>
            </w:tcBorders>
            <w:shd w:val="clear" w:color="auto" w:fill="auto"/>
            <w:vAlign w:val="center"/>
          </w:tcPr>
          <w:p w14:paraId="488E6A89">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869" w:type="pct"/>
            <w:tcBorders>
              <w:tl2br w:val="nil"/>
              <w:tr2bl w:val="nil"/>
            </w:tcBorders>
            <w:shd w:val="clear" w:color="auto" w:fill="auto"/>
            <w:vAlign w:val="center"/>
          </w:tcPr>
          <w:p w14:paraId="1A99DC6B">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9</w:t>
            </w:r>
          </w:p>
        </w:tc>
      </w:tr>
      <w:tr w14:paraId="63445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58AEB8DA">
            <w:pPr>
              <w:widowControl/>
              <w:snapToGrid w:val="0"/>
              <w:spacing w:line="240" w:lineRule="atLeast"/>
              <w:ind w:firstLine="0" w:firstLineChars="0"/>
              <w:jc w:val="center"/>
              <w:rPr>
                <w:kern w:val="0"/>
                <w:sz w:val="21"/>
                <w:szCs w:val="21"/>
                <w:highlight w:val="black"/>
              </w:rPr>
            </w:pPr>
            <w:r>
              <w:rPr>
                <w:kern w:val="0"/>
                <w:sz w:val="21"/>
                <w:szCs w:val="21"/>
                <w:highlight w:val="black"/>
              </w:rPr>
              <w:t>8</w:t>
            </w:r>
          </w:p>
        </w:tc>
        <w:tc>
          <w:tcPr>
            <w:tcW w:w="1517" w:type="pct"/>
            <w:tcBorders>
              <w:tl2br w:val="nil"/>
              <w:tr2bl w:val="nil"/>
            </w:tcBorders>
            <w:shd w:val="clear" w:color="auto" w:fill="auto"/>
            <w:vAlign w:val="center"/>
          </w:tcPr>
          <w:p w14:paraId="41F67A2F">
            <w:pPr>
              <w:widowControl/>
              <w:snapToGrid w:val="0"/>
              <w:spacing w:line="240" w:lineRule="atLeast"/>
              <w:ind w:firstLine="0" w:firstLineChars="0"/>
              <w:jc w:val="center"/>
              <w:rPr>
                <w:kern w:val="0"/>
                <w:sz w:val="21"/>
                <w:szCs w:val="21"/>
                <w:highlight w:val="black"/>
              </w:rPr>
            </w:pPr>
            <w:r>
              <w:rPr>
                <w:kern w:val="0"/>
                <w:sz w:val="21"/>
                <w:szCs w:val="21"/>
                <w:highlight w:val="black"/>
              </w:rPr>
              <w:t>通风工</w:t>
            </w:r>
          </w:p>
        </w:tc>
        <w:tc>
          <w:tcPr>
            <w:tcW w:w="654" w:type="pct"/>
            <w:tcBorders>
              <w:tl2br w:val="nil"/>
              <w:tr2bl w:val="nil"/>
            </w:tcBorders>
            <w:shd w:val="clear" w:color="auto" w:fill="auto"/>
            <w:vAlign w:val="center"/>
          </w:tcPr>
          <w:p w14:paraId="27BA21A3">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2AA92569">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360CF3A7">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869" w:type="pct"/>
            <w:tcBorders>
              <w:tl2br w:val="nil"/>
              <w:tr2bl w:val="nil"/>
            </w:tcBorders>
            <w:shd w:val="clear" w:color="auto" w:fill="auto"/>
            <w:vAlign w:val="center"/>
          </w:tcPr>
          <w:p w14:paraId="29EC2496">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r>
      <w:tr w14:paraId="50F60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50AE6A35">
            <w:pPr>
              <w:widowControl/>
              <w:snapToGrid w:val="0"/>
              <w:spacing w:line="240" w:lineRule="atLeast"/>
              <w:ind w:firstLine="0" w:firstLineChars="0"/>
              <w:jc w:val="center"/>
              <w:rPr>
                <w:kern w:val="0"/>
                <w:sz w:val="21"/>
                <w:szCs w:val="21"/>
                <w:highlight w:val="black"/>
              </w:rPr>
            </w:pPr>
            <w:r>
              <w:rPr>
                <w:kern w:val="0"/>
                <w:sz w:val="21"/>
                <w:szCs w:val="21"/>
                <w:highlight w:val="black"/>
              </w:rPr>
              <w:t>9</w:t>
            </w:r>
          </w:p>
        </w:tc>
        <w:tc>
          <w:tcPr>
            <w:tcW w:w="1517" w:type="pct"/>
            <w:tcBorders>
              <w:tl2br w:val="nil"/>
              <w:tr2bl w:val="nil"/>
            </w:tcBorders>
            <w:shd w:val="clear" w:color="auto" w:fill="auto"/>
            <w:vAlign w:val="center"/>
          </w:tcPr>
          <w:p w14:paraId="4E2D593B">
            <w:pPr>
              <w:widowControl/>
              <w:snapToGrid w:val="0"/>
              <w:spacing w:line="240" w:lineRule="atLeast"/>
              <w:ind w:firstLine="0" w:firstLineChars="0"/>
              <w:jc w:val="center"/>
              <w:rPr>
                <w:kern w:val="0"/>
                <w:sz w:val="21"/>
                <w:szCs w:val="21"/>
                <w:highlight w:val="black"/>
              </w:rPr>
            </w:pPr>
            <w:r>
              <w:rPr>
                <w:kern w:val="0"/>
                <w:sz w:val="21"/>
                <w:szCs w:val="21"/>
                <w:highlight w:val="black"/>
              </w:rPr>
              <w:t>水泵工</w:t>
            </w:r>
          </w:p>
        </w:tc>
        <w:tc>
          <w:tcPr>
            <w:tcW w:w="654" w:type="pct"/>
            <w:tcBorders>
              <w:tl2br w:val="nil"/>
              <w:tr2bl w:val="nil"/>
            </w:tcBorders>
            <w:shd w:val="clear" w:color="auto" w:fill="auto"/>
            <w:vAlign w:val="center"/>
          </w:tcPr>
          <w:p w14:paraId="3CC50E71">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6EC7CF01">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025D3DEC">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869" w:type="pct"/>
            <w:tcBorders>
              <w:tl2br w:val="nil"/>
              <w:tr2bl w:val="nil"/>
            </w:tcBorders>
            <w:shd w:val="clear" w:color="auto" w:fill="auto"/>
            <w:vAlign w:val="center"/>
          </w:tcPr>
          <w:p w14:paraId="4E1D3138">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r>
      <w:tr w14:paraId="2CA6A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0A099366">
            <w:pPr>
              <w:widowControl/>
              <w:snapToGrid w:val="0"/>
              <w:spacing w:line="240" w:lineRule="atLeast"/>
              <w:ind w:firstLine="0" w:firstLineChars="0"/>
              <w:jc w:val="center"/>
              <w:rPr>
                <w:kern w:val="0"/>
                <w:sz w:val="21"/>
                <w:szCs w:val="21"/>
                <w:highlight w:val="black"/>
              </w:rPr>
            </w:pPr>
            <w:r>
              <w:rPr>
                <w:kern w:val="0"/>
                <w:sz w:val="21"/>
                <w:szCs w:val="21"/>
                <w:highlight w:val="black"/>
              </w:rPr>
              <w:t>10</w:t>
            </w:r>
          </w:p>
        </w:tc>
        <w:tc>
          <w:tcPr>
            <w:tcW w:w="1517" w:type="pct"/>
            <w:tcBorders>
              <w:tl2br w:val="nil"/>
              <w:tr2bl w:val="nil"/>
            </w:tcBorders>
            <w:shd w:val="clear" w:color="auto" w:fill="auto"/>
            <w:vAlign w:val="center"/>
          </w:tcPr>
          <w:p w14:paraId="2C686E9F">
            <w:pPr>
              <w:widowControl/>
              <w:snapToGrid w:val="0"/>
              <w:spacing w:line="240" w:lineRule="atLeast"/>
              <w:ind w:firstLine="0" w:firstLineChars="0"/>
              <w:jc w:val="center"/>
              <w:rPr>
                <w:kern w:val="0"/>
                <w:sz w:val="21"/>
                <w:szCs w:val="21"/>
                <w:highlight w:val="black"/>
              </w:rPr>
            </w:pPr>
            <w:r>
              <w:rPr>
                <w:kern w:val="0"/>
                <w:sz w:val="21"/>
                <w:szCs w:val="21"/>
                <w:highlight w:val="black"/>
              </w:rPr>
              <w:t>电工</w:t>
            </w:r>
          </w:p>
        </w:tc>
        <w:tc>
          <w:tcPr>
            <w:tcW w:w="654" w:type="pct"/>
            <w:tcBorders>
              <w:tl2br w:val="nil"/>
              <w:tr2bl w:val="nil"/>
            </w:tcBorders>
            <w:shd w:val="clear" w:color="auto" w:fill="auto"/>
            <w:vAlign w:val="center"/>
          </w:tcPr>
          <w:p w14:paraId="3D6896F0">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70735278">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132FCB45">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869" w:type="pct"/>
            <w:tcBorders>
              <w:tl2br w:val="nil"/>
              <w:tr2bl w:val="nil"/>
            </w:tcBorders>
            <w:shd w:val="clear" w:color="auto" w:fill="auto"/>
            <w:vAlign w:val="center"/>
          </w:tcPr>
          <w:p w14:paraId="2B95CB58">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r>
      <w:tr w14:paraId="68545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108A5764">
            <w:pPr>
              <w:widowControl/>
              <w:snapToGrid w:val="0"/>
              <w:spacing w:line="240" w:lineRule="atLeast"/>
              <w:ind w:firstLine="0" w:firstLineChars="0"/>
              <w:jc w:val="center"/>
              <w:rPr>
                <w:kern w:val="0"/>
                <w:sz w:val="21"/>
                <w:szCs w:val="21"/>
                <w:highlight w:val="black"/>
              </w:rPr>
            </w:pPr>
            <w:r>
              <w:rPr>
                <w:kern w:val="0"/>
                <w:sz w:val="21"/>
                <w:szCs w:val="21"/>
                <w:highlight w:val="black"/>
              </w:rPr>
              <w:t>11</w:t>
            </w:r>
          </w:p>
        </w:tc>
        <w:tc>
          <w:tcPr>
            <w:tcW w:w="1517" w:type="pct"/>
            <w:tcBorders>
              <w:tl2br w:val="nil"/>
              <w:tr2bl w:val="nil"/>
            </w:tcBorders>
            <w:shd w:val="clear" w:color="auto" w:fill="auto"/>
            <w:vAlign w:val="center"/>
          </w:tcPr>
          <w:p w14:paraId="2647482F">
            <w:pPr>
              <w:widowControl/>
              <w:snapToGrid w:val="0"/>
              <w:spacing w:line="240" w:lineRule="atLeast"/>
              <w:ind w:firstLine="0" w:firstLineChars="0"/>
              <w:jc w:val="center"/>
              <w:rPr>
                <w:kern w:val="0"/>
                <w:sz w:val="21"/>
                <w:szCs w:val="21"/>
                <w:highlight w:val="black"/>
              </w:rPr>
            </w:pPr>
            <w:r>
              <w:rPr>
                <w:kern w:val="0"/>
                <w:sz w:val="21"/>
                <w:szCs w:val="21"/>
                <w:highlight w:val="black"/>
              </w:rPr>
              <w:t>辅助车辆司机</w:t>
            </w:r>
          </w:p>
        </w:tc>
        <w:tc>
          <w:tcPr>
            <w:tcW w:w="654" w:type="pct"/>
            <w:tcBorders>
              <w:tl2br w:val="nil"/>
              <w:tr2bl w:val="nil"/>
            </w:tcBorders>
            <w:shd w:val="clear" w:color="auto" w:fill="auto"/>
            <w:vAlign w:val="center"/>
          </w:tcPr>
          <w:p w14:paraId="17A8F709">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654" w:type="pct"/>
            <w:tcBorders>
              <w:tl2br w:val="nil"/>
              <w:tr2bl w:val="nil"/>
            </w:tcBorders>
            <w:shd w:val="clear" w:color="auto" w:fill="auto"/>
            <w:vAlign w:val="center"/>
          </w:tcPr>
          <w:p w14:paraId="4819E471">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654" w:type="pct"/>
            <w:tcBorders>
              <w:tl2br w:val="nil"/>
              <w:tr2bl w:val="nil"/>
            </w:tcBorders>
            <w:shd w:val="clear" w:color="auto" w:fill="auto"/>
            <w:vAlign w:val="center"/>
          </w:tcPr>
          <w:p w14:paraId="245DAA87">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869" w:type="pct"/>
            <w:tcBorders>
              <w:tl2br w:val="nil"/>
              <w:tr2bl w:val="nil"/>
            </w:tcBorders>
            <w:shd w:val="clear" w:color="auto" w:fill="auto"/>
            <w:vAlign w:val="center"/>
          </w:tcPr>
          <w:p w14:paraId="3863D0F7">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9</w:t>
            </w:r>
          </w:p>
        </w:tc>
      </w:tr>
      <w:tr w14:paraId="30106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06C070F6">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12</w:t>
            </w:r>
          </w:p>
        </w:tc>
        <w:tc>
          <w:tcPr>
            <w:tcW w:w="1517" w:type="pct"/>
            <w:tcBorders>
              <w:tl2br w:val="nil"/>
              <w:tr2bl w:val="nil"/>
            </w:tcBorders>
            <w:shd w:val="clear" w:color="auto" w:fill="auto"/>
            <w:vAlign w:val="center"/>
          </w:tcPr>
          <w:p w14:paraId="1FBA3DFF">
            <w:pPr>
              <w:widowControl/>
              <w:snapToGrid w:val="0"/>
              <w:spacing w:line="240" w:lineRule="atLeast"/>
              <w:ind w:firstLine="0" w:firstLineChars="0"/>
              <w:jc w:val="center"/>
              <w:rPr>
                <w:kern w:val="0"/>
                <w:sz w:val="21"/>
                <w:szCs w:val="21"/>
                <w:highlight w:val="black"/>
              </w:rPr>
            </w:pPr>
            <w:r>
              <w:rPr>
                <w:kern w:val="0"/>
                <w:sz w:val="21"/>
                <w:szCs w:val="21"/>
                <w:highlight w:val="black"/>
              </w:rPr>
              <w:t>充填</w:t>
            </w:r>
            <w:r>
              <w:rPr>
                <w:rFonts w:hint="eastAsia"/>
                <w:kern w:val="0"/>
                <w:sz w:val="21"/>
                <w:szCs w:val="21"/>
                <w:highlight w:val="black"/>
              </w:rPr>
              <w:t>工</w:t>
            </w:r>
          </w:p>
        </w:tc>
        <w:tc>
          <w:tcPr>
            <w:tcW w:w="654" w:type="pct"/>
            <w:tcBorders>
              <w:tl2br w:val="nil"/>
              <w:tr2bl w:val="nil"/>
            </w:tcBorders>
            <w:shd w:val="clear" w:color="auto" w:fill="auto"/>
            <w:vAlign w:val="center"/>
          </w:tcPr>
          <w:p w14:paraId="46E9350E">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2</w:t>
            </w:r>
          </w:p>
        </w:tc>
        <w:tc>
          <w:tcPr>
            <w:tcW w:w="654" w:type="pct"/>
            <w:tcBorders>
              <w:tl2br w:val="nil"/>
              <w:tr2bl w:val="nil"/>
            </w:tcBorders>
            <w:shd w:val="clear" w:color="auto" w:fill="auto"/>
            <w:vAlign w:val="center"/>
          </w:tcPr>
          <w:p w14:paraId="7BA5369E">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3</w:t>
            </w:r>
          </w:p>
        </w:tc>
        <w:tc>
          <w:tcPr>
            <w:tcW w:w="654" w:type="pct"/>
            <w:tcBorders>
              <w:tl2br w:val="nil"/>
              <w:tr2bl w:val="nil"/>
            </w:tcBorders>
            <w:shd w:val="clear" w:color="auto" w:fill="auto"/>
            <w:vAlign w:val="center"/>
          </w:tcPr>
          <w:p w14:paraId="0C2D581E">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2</w:t>
            </w:r>
          </w:p>
        </w:tc>
        <w:tc>
          <w:tcPr>
            <w:tcW w:w="869" w:type="pct"/>
            <w:tcBorders>
              <w:tl2br w:val="nil"/>
              <w:tr2bl w:val="nil"/>
            </w:tcBorders>
            <w:shd w:val="clear" w:color="auto" w:fill="auto"/>
            <w:vAlign w:val="center"/>
          </w:tcPr>
          <w:p w14:paraId="429A2F2B">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7</w:t>
            </w:r>
          </w:p>
        </w:tc>
      </w:tr>
      <w:tr w14:paraId="4FF5C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01632B41">
            <w:pPr>
              <w:widowControl/>
              <w:snapToGrid w:val="0"/>
              <w:spacing w:line="240" w:lineRule="atLeast"/>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3</w:t>
            </w:r>
          </w:p>
        </w:tc>
        <w:tc>
          <w:tcPr>
            <w:tcW w:w="1517" w:type="pct"/>
            <w:tcBorders>
              <w:tl2br w:val="nil"/>
              <w:tr2bl w:val="nil"/>
            </w:tcBorders>
            <w:shd w:val="clear" w:color="auto" w:fill="auto"/>
            <w:vAlign w:val="center"/>
          </w:tcPr>
          <w:p w14:paraId="547F1C74">
            <w:pPr>
              <w:widowControl/>
              <w:snapToGrid w:val="0"/>
              <w:spacing w:line="240" w:lineRule="atLeast"/>
              <w:ind w:firstLine="0" w:firstLineChars="0"/>
              <w:jc w:val="center"/>
              <w:rPr>
                <w:kern w:val="0"/>
                <w:sz w:val="21"/>
                <w:szCs w:val="21"/>
                <w:highlight w:val="black"/>
              </w:rPr>
            </w:pPr>
            <w:r>
              <w:rPr>
                <w:kern w:val="0"/>
                <w:sz w:val="21"/>
                <w:szCs w:val="21"/>
                <w:highlight w:val="black"/>
              </w:rPr>
              <w:t>机修工</w:t>
            </w:r>
          </w:p>
        </w:tc>
        <w:tc>
          <w:tcPr>
            <w:tcW w:w="654" w:type="pct"/>
            <w:tcBorders>
              <w:tl2br w:val="nil"/>
              <w:tr2bl w:val="nil"/>
            </w:tcBorders>
            <w:shd w:val="clear" w:color="auto" w:fill="auto"/>
            <w:vAlign w:val="center"/>
          </w:tcPr>
          <w:p w14:paraId="2B735EB1">
            <w:pPr>
              <w:widowControl/>
              <w:snapToGrid w:val="0"/>
              <w:spacing w:line="240" w:lineRule="atLeast"/>
              <w:ind w:firstLine="0" w:firstLineChars="0"/>
              <w:jc w:val="center"/>
              <w:rPr>
                <w:kern w:val="0"/>
                <w:sz w:val="21"/>
                <w:szCs w:val="21"/>
                <w:highlight w:val="black"/>
              </w:rPr>
            </w:pPr>
          </w:p>
        </w:tc>
        <w:tc>
          <w:tcPr>
            <w:tcW w:w="654" w:type="pct"/>
            <w:tcBorders>
              <w:tl2br w:val="nil"/>
              <w:tr2bl w:val="nil"/>
            </w:tcBorders>
            <w:shd w:val="clear" w:color="auto" w:fill="auto"/>
            <w:vAlign w:val="center"/>
          </w:tcPr>
          <w:p w14:paraId="0404755C">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3A1701B8">
            <w:pPr>
              <w:widowControl/>
              <w:snapToGrid w:val="0"/>
              <w:spacing w:line="240" w:lineRule="atLeast"/>
              <w:ind w:firstLine="0" w:firstLineChars="0"/>
              <w:jc w:val="center"/>
              <w:rPr>
                <w:kern w:val="0"/>
                <w:sz w:val="21"/>
                <w:szCs w:val="21"/>
                <w:highlight w:val="black"/>
              </w:rPr>
            </w:pPr>
          </w:p>
        </w:tc>
        <w:tc>
          <w:tcPr>
            <w:tcW w:w="869" w:type="pct"/>
            <w:tcBorders>
              <w:tl2br w:val="nil"/>
              <w:tr2bl w:val="nil"/>
            </w:tcBorders>
            <w:shd w:val="clear" w:color="auto" w:fill="auto"/>
            <w:vAlign w:val="center"/>
          </w:tcPr>
          <w:p w14:paraId="1FA9CBA2">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r>
      <w:tr w14:paraId="62449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23C1DB6F">
            <w:pPr>
              <w:widowControl/>
              <w:snapToGrid w:val="0"/>
              <w:spacing w:line="240" w:lineRule="atLeast"/>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4</w:t>
            </w:r>
          </w:p>
        </w:tc>
        <w:tc>
          <w:tcPr>
            <w:tcW w:w="1517" w:type="pct"/>
            <w:tcBorders>
              <w:tl2br w:val="nil"/>
              <w:tr2bl w:val="nil"/>
            </w:tcBorders>
            <w:shd w:val="clear" w:color="auto" w:fill="auto"/>
            <w:vAlign w:val="center"/>
          </w:tcPr>
          <w:p w14:paraId="5F0C094A">
            <w:pPr>
              <w:widowControl/>
              <w:snapToGrid w:val="0"/>
              <w:spacing w:line="240" w:lineRule="atLeast"/>
              <w:ind w:firstLine="0" w:firstLineChars="0"/>
              <w:jc w:val="center"/>
              <w:rPr>
                <w:kern w:val="0"/>
                <w:sz w:val="21"/>
                <w:szCs w:val="21"/>
                <w:highlight w:val="black"/>
              </w:rPr>
            </w:pPr>
            <w:r>
              <w:rPr>
                <w:kern w:val="0"/>
                <w:sz w:val="21"/>
                <w:szCs w:val="21"/>
                <w:highlight w:val="black"/>
              </w:rPr>
              <w:t>安全员</w:t>
            </w:r>
          </w:p>
        </w:tc>
        <w:tc>
          <w:tcPr>
            <w:tcW w:w="654" w:type="pct"/>
            <w:tcBorders>
              <w:tl2br w:val="nil"/>
              <w:tr2bl w:val="nil"/>
            </w:tcBorders>
            <w:shd w:val="clear" w:color="auto" w:fill="auto"/>
            <w:vAlign w:val="center"/>
          </w:tcPr>
          <w:p w14:paraId="6BCD3F29">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3BFCFB96">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734C6E59">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869" w:type="pct"/>
            <w:tcBorders>
              <w:tl2br w:val="nil"/>
              <w:tr2bl w:val="nil"/>
            </w:tcBorders>
            <w:shd w:val="clear" w:color="auto" w:fill="auto"/>
            <w:vAlign w:val="center"/>
          </w:tcPr>
          <w:p w14:paraId="563249C3">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r>
      <w:tr w14:paraId="5E375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7CE33B39">
            <w:pPr>
              <w:widowControl/>
              <w:snapToGrid w:val="0"/>
              <w:spacing w:line="240" w:lineRule="atLeast"/>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5</w:t>
            </w:r>
          </w:p>
        </w:tc>
        <w:tc>
          <w:tcPr>
            <w:tcW w:w="1517" w:type="pct"/>
            <w:tcBorders>
              <w:tl2br w:val="nil"/>
              <w:tr2bl w:val="nil"/>
            </w:tcBorders>
            <w:shd w:val="clear" w:color="auto" w:fill="auto"/>
            <w:vAlign w:val="center"/>
          </w:tcPr>
          <w:p w14:paraId="3463FE8E">
            <w:pPr>
              <w:widowControl/>
              <w:snapToGrid w:val="0"/>
              <w:spacing w:line="240" w:lineRule="atLeast"/>
              <w:ind w:firstLine="0" w:firstLineChars="0"/>
              <w:jc w:val="center"/>
              <w:rPr>
                <w:kern w:val="0"/>
                <w:sz w:val="21"/>
                <w:szCs w:val="21"/>
                <w:highlight w:val="black"/>
              </w:rPr>
            </w:pPr>
            <w:r>
              <w:rPr>
                <w:kern w:val="0"/>
                <w:sz w:val="21"/>
                <w:szCs w:val="21"/>
                <w:highlight w:val="black"/>
              </w:rPr>
              <w:t>技术人员</w:t>
            </w:r>
          </w:p>
        </w:tc>
        <w:tc>
          <w:tcPr>
            <w:tcW w:w="654" w:type="pct"/>
            <w:tcBorders>
              <w:tl2br w:val="nil"/>
              <w:tr2bl w:val="nil"/>
            </w:tcBorders>
            <w:shd w:val="clear" w:color="auto" w:fill="auto"/>
            <w:vAlign w:val="center"/>
          </w:tcPr>
          <w:p w14:paraId="7B29695F">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7EBC4EE7">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192BFB9E">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869" w:type="pct"/>
            <w:tcBorders>
              <w:tl2br w:val="nil"/>
              <w:tr2bl w:val="nil"/>
            </w:tcBorders>
            <w:shd w:val="clear" w:color="auto" w:fill="auto"/>
            <w:vAlign w:val="center"/>
          </w:tcPr>
          <w:p w14:paraId="47608E13">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r>
      <w:tr w14:paraId="2AA10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0C63F660">
            <w:pPr>
              <w:widowControl/>
              <w:snapToGrid w:val="0"/>
              <w:spacing w:line="240" w:lineRule="atLeast"/>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6</w:t>
            </w:r>
          </w:p>
        </w:tc>
        <w:tc>
          <w:tcPr>
            <w:tcW w:w="1517" w:type="pct"/>
            <w:tcBorders>
              <w:tl2br w:val="nil"/>
              <w:tr2bl w:val="nil"/>
            </w:tcBorders>
            <w:shd w:val="clear" w:color="auto" w:fill="auto"/>
            <w:vAlign w:val="center"/>
          </w:tcPr>
          <w:p w14:paraId="71EF861B">
            <w:pPr>
              <w:widowControl/>
              <w:snapToGrid w:val="0"/>
              <w:spacing w:line="240" w:lineRule="atLeast"/>
              <w:ind w:firstLine="0" w:firstLineChars="0"/>
              <w:jc w:val="center"/>
              <w:rPr>
                <w:kern w:val="0"/>
                <w:sz w:val="21"/>
                <w:szCs w:val="21"/>
                <w:highlight w:val="black"/>
              </w:rPr>
            </w:pPr>
            <w:r>
              <w:rPr>
                <w:kern w:val="0"/>
                <w:sz w:val="21"/>
                <w:szCs w:val="21"/>
                <w:highlight w:val="black"/>
              </w:rPr>
              <w:t>管理人员</w:t>
            </w:r>
          </w:p>
        </w:tc>
        <w:tc>
          <w:tcPr>
            <w:tcW w:w="654" w:type="pct"/>
            <w:tcBorders>
              <w:tl2br w:val="nil"/>
              <w:tr2bl w:val="nil"/>
            </w:tcBorders>
            <w:shd w:val="clear" w:color="auto" w:fill="auto"/>
            <w:vAlign w:val="center"/>
          </w:tcPr>
          <w:p w14:paraId="0CF8B3B8">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654" w:type="pct"/>
            <w:tcBorders>
              <w:tl2br w:val="nil"/>
              <w:tr2bl w:val="nil"/>
            </w:tcBorders>
            <w:shd w:val="clear" w:color="auto" w:fill="auto"/>
            <w:vAlign w:val="center"/>
          </w:tcPr>
          <w:p w14:paraId="3C1361B3">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654" w:type="pct"/>
            <w:tcBorders>
              <w:tl2br w:val="nil"/>
              <w:tr2bl w:val="nil"/>
            </w:tcBorders>
            <w:shd w:val="clear" w:color="auto" w:fill="auto"/>
            <w:vAlign w:val="center"/>
          </w:tcPr>
          <w:p w14:paraId="4E97F149">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869" w:type="pct"/>
            <w:tcBorders>
              <w:tl2br w:val="nil"/>
              <w:tr2bl w:val="nil"/>
            </w:tcBorders>
            <w:shd w:val="clear" w:color="auto" w:fill="auto"/>
            <w:vAlign w:val="center"/>
          </w:tcPr>
          <w:p w14:paraId="36104E85">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r>
      <w:tr w14:paraId="1431E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shd w:val="clear" w:color="auto" w:fill="auto"/>
            <w:vAlign w:val="center"/>
          </w:tcPr>
          <w:p w14:paraId="7E574102">
            <w:pPr>
              <w:widowControl/>
              <w:snapToGrid w:val="0"/>
              <w:spacing w:line="240" w:lineRule="atLeast"/>
              <w:ind w:firstLine="0" w:firstLineChars="0"/>
              <w:jc w:val="center"/>
              <w:rPr>
                <w:kern w:val="0"/>
                <w:sz w:val="21"/>
                <w:szCs w:val="21"/>
                <w:highlight w:val="black"/>
              </w:rPr>
            </w:pPr>
            <w:r>
              <w:rPr>
                <w:kern w:val="0"/>
                <w:sz w:val="21"/>
                <w:szCs w:val="21"/>
                <w:highlight w:val="black"/>
              </w:rPr>
              <w:t>1</w:t>
            </w:r>
            <w:r>
              <w:rPr>
                <w:rFonts w:hint="eastAsia"/>
                <w:kern w:val="0"/>
                <w:sz w:val="21"/>
                <w:szCs w:val="21"/>
                <w:highlight w:val="black"/>
              </w:rPr>
              <w:t>7</w:t>
            </w:r>
          </w:p>
        </w:tc>
        <w:tc>
          <w:tcPr>
            <w:tcW w:w="1517" w:type="pct"/>
            <w:tcBorders>
              <w:tl2br w:val="nil"/>
              <w:tr2bl w:val="nil"/>
            </w:tcBorders>
            <w:shd w:val="clear" w:color="auto" w:fill="auto"/>
            <w:vAlign w:val="center"/>
          </w:tcPr>
          <w:p w14:paraId="7465D878">
            <w:pPr>
              <w:widowControl/>
              <w:snapToGrid w:val="0"/>
              <w:spacing w:line="240" w:lineRule="atLeast"/>
              <w:ind w:firstLine="0" w:firstLineChars="0"/>
              <w:jc w:val="center"/>
              <w:rPr>
                <w:kern w:val="0"/>
                <w:sz w:val="21"/>
                <w:szCs w:val="21"/>
                <w:highlight w:val="black"/>
              </w:rPr>
            </w:pPr>
            <w:r>
              <w:rPr>
                <w:kern w:val="0"/>
                <w:sz w:val="21"/>
                <w:szCs w:val="21"/>
                <w:highlight w:val="black"/>
              </w:rPr>
              <w:t>合计</w:t>
            </w:r>
          </w:p>
        </w:tc>
        <w:tc>
          <w:tcPr>
            <w:tcW w:w="654" w:type="pct"/>
            <w:tcBorders>
              <w:tl2br w:val="nil"/>
              <w:tr2bl w:val="nil"/>
            </w:tcBorders>
            <w:shd w:val="clear" w:color="auto" w:fill="auto"/>
            <w:vAlign w:val="center"/>
          </w:tcPr>
          <w:p w14:paraId="022E5F6B">
            <w:pPr>
              <w:widowControl/>
              <w:snapToGrid w:val="0"/>
              <w:spacing w:line="240" w:lineRule="atLeast"/>
              <w:ind w:firstLine="0" w:firstLineChars="0"/>
              <w:jc w:val="center"/>
              <w:rPr>
                <w:kern w:val="0"/>
                <w:sz w:val="21"/>
                <w:szCs w:val="21"/>
                <w:highlight w:val="black"/>
              </w:rPr>
            </w:pPr>
            <w:r>
              <w:rPr>
                <w:kern w:val="0"/>
                <w:sz w:val="21"/>
                <w:szCs w:val="21"/>
                <w:highlight w:val="black"/>
              </w:rPr>
              <w:t>28</w:t>
            </w:r>
          </w:p>
        </w:tc>
        <w:tc>
          <w:tcPr>
            <w:tcW w:w="654" w:type="pct"/>
            <w:tcBorders>
              <w:tl2br w:val="nil"/>
              <w:tr2bl w:val="nil"/>
            </w:tcBorders>
            <w:shd w:val="clear" w:color="auto" w:fill="auto"/>
            <w:vAlign w:val="center"/>
          </w:tcPr>
          <w:p w14:paraId="480F4E08">
            <w:pPr>
              <w:widowControl/>
              <w:snapToGrid w:val="0"/>
              <w:spacing w:line="240" w:lineRule="atLeast"/>
              <w:ind w:firstLine="0" w:firstLineChars="0"/>
              <w:jc w:val="center"/>
              <w:rPr>
                <w:kern w:val="0"/>
                <w:sz w:val="21"/>
                <w:szCs w:val="21"/>
                <w:highlight w:val="black"/>
              </w:rPr>
            </w:pPr>
            <w:r>
              <w:rPr>
                <w:kern w:val="0"/>
                <w:sz w:val="21"/>
                <w:szCs w:val="21"/>
                <w:highlight w:val="black"/>
              </w:rPr>
              <w:t>29</w:t>
            </w:r>
          </w:p>
        </w:tc>
        <w:tc>
          <w:tcPr>
            <w:tcW w:w="654" w:type="pct"/>
            <w:tcBorders>
              <w:tl2br w:val="nil"/>
              <w:tr2bl w:val="nil"/>
            </w:tcBorders>
            <w:shd w:val="clear" w:color="auto" w:fill="auto"/>
            <w:vAlign w:val="center"/>
          </w:tcPr>
          <w:p w14:paraId="0E3171A9">
            <w:pPr>
              <w:widowControl/>
              <w:snapToGrid w:val="0"/>
              <w:spacing w:line="240" w:lineRule="atLeast"/>
              <w:ind w:firstLine="0" w:firstLineChars="0"/>
              <w:jc w:val="center"/>
              <w:rPr>
                <w:kern w:val="0"/>
                <w:sz w:val="21"/>
                <w:szCs w:val="21"/>
                <w:highlight w:val="black"/>
              </w:rPr>
            </w:pPr>
            <w:r>
              <w:rPr>
                <w:kern w:val="0"/>
                <w:sz w:val="21"/>
                <w:szCs w:val="21"/>
                <w:highlight w:val="black"/>
              </w:rPr>
              <w:t>24</w:t>
            </w:r>
          </w:p>
        </w:tc>
        <w:tc>
          <w:tcPr>
            <w:tcW w:w="869" w:type="pct"/>
            <w:tcBorders>
              <w:tl2br w:val="nil"/>
              <w:tr2bl w:val="nil"/>
            </w:tcBorders>
            <w:shd w:val="clear" w:color="auto" w:fill="auto"/>
            <w:vAlign w:val="center"/>
          </w:tcPr>
          <w:p w14:paraId="19E22854">
            <w:pPr>
              <w:widowControl/>
              <w:snapToGrid w:val="0"/>
              <w:spacing w:line="240" w:lineRule="atLeast"/>
              <w:ind w:firstLine="0" w:firstLineChars="0"/>
              <w:jc w:val="center"/>
              <w:rPr>
                <w:kern w:val="0"/>
                <w:sz w:val="21"/>
                <w:szCs w:val="21"/>
                <w:highlight w:val="black"/>
              </w:rPr>
            </w:pPr>
            <w:r>
              <w:rPr>
                <w:kern w:val="0"/>
                <w:sz w:val="21"/>
                <w:szCs w:val="21"/>
                <w:highlight w:val="black"/>
              </w:rPr>
              <w:t>81</w:t>
            </w:r>
          </w:p>
        </w:tc>
      </w:tr>
    </w:tbl>
    <w:p w14:paraId="5879B61D">
      <w:pPr>
        <w:adjustRightInd w:val="0"/>
        <w:snapToGrid w:val="0"/>
        <w:spacing w:line="520" w:lineRule="atLeast"/>
        <w:ind w:firstLine="560"/>
        <w:rPr>
          <w:rFonts w:ascii="宋体" w:hAnsi="宋体" w:cs="宋体"/>
          <w:szCs w:val="28"/>
          <w:highlight w:val="black"/>
        </w:rPr>
      </w:pPr>
      <w:r>
        <w:rPr>
          <w:rFonts w:hint="eastAsia" w:ascii="宋体" w:hAnsi="宋体" w:cs="宋体"/>
          <w:szCs w:val="28"/>
          <w:highlight w:val="black"/>
        </w:rPr>
        <w:t>3）劳动生产率</w:t>
      </w:r>
    </w:p>
    <w:p w14:paraId="504C5E4F">
      <w:pPr>
        <w:adjustRightInd w:val="0"/>
        <w:snapToGrid w:val="0"/>
        <w:spacing w:line="520" w:lineRule="atLeast"/>
        <w:ind w:firstLine="560"/>
        <w:rPr>
          <w:rFonts w:ascii="宋体" w:hAnsi="宋体" w:cs="宋体"/>
          <w:szCs w:val="28"/>
          <w:highlight w:val="black"/>
        </w:rPr>
      </w:pPr>
      <w:r>
        <w:rPr>
          <w:rFonts w:hint="eastAsia" w:ascii="宋体" w:hAnsi="宋体" w:cs="宋体"/>
          <w:szCs w:val="28"/>
          <w:highlight w:val="black"/>
        </w:rPr>
        <w:t>全员劳动生产率：9876.5t原矿/人a。</w:t>
      </w:r>
    </w:p>
    <w:p w14:paraId="1CCAEC7F">
      <w:pPr>
        <w:ind w:firstLine="0" w:firstLineChars="0"/>
        <w:rPr>
          <w:rFonts w:ascii="宋体" w:hAnsi="宋体" w:cs="宋体"/>
          <w:b/>
          <w:bCs/>
        </w:rPr>
      </w:pPr>
      <w:r>
        <w:rPr>
          <w:rFonts w:hint="eastAsia" w:ascii="宋体" w:hAnsi="宋体" w:cs="宋体"/>
          <w:b/>
          <w:bCs/>
        </w:rPr>
        <w:t>2.4.13.13 矿山救护</w:t>
      </w:r>
    </w:p>
    <w:p w14:paraId="2FDF77EA">
      <w:pPr>
        <w:ind w:firstLine="560"/>
        <w:rPr>
          <w:highlight w:val="black"/>
        </w:rPr>
      </w:pPr>
      <w:bookmarkStart w:id="232" w:name="_Hlk169555881"/>
      <w:r>
        <w:rPr>
          <w:highlight w:val="black"/>
        </w:rPr>
        <w:t>根据</w:t>
      </w:r>
      <w:bookmarkStart w:id="233" w:name="_Hlk169203759"/>
      <w:r>
        <w:rPr>
          <w:highlight w:val="black"/>
        </w:rPr>
        <w:t>《矿山</w:t>
      </w:r>
      <w:r>
        <w:rPr>
          <w:rFonts w:hint="eastAsia"/>
          <w:highlight w:val="black"/>
        </w:rPr>
        <w:t>救援</w:t>
      </w:r>
      <w:r>
        <w:rPr>
          <w:highlight w:val="black"/>
        </w:rPr>
        <w:t>规程》</w:t>
      </w:r>
      <w:r>
        <w:rPr>
          <w:rFonts w:hint="eastAsia"/>
          <w:highlight w:val="black"/>
        </w:rPr>
        <w:t>（中华人民共和国应急管理部令第16号）</w:t>
      </w:r>
      <w:bookmarkEnd w:id="233"/>
      <w:r>
        <w:rPr>
          <w:highlight w:val="black"/>
        </w:rPr>
        <w:t>，要求如下：</w:t>
      </w:r>
    </w:p>
    <w:p w14:paraId="2B081331">
      <w:pPr>
        <w:ind w:firstLine="560"/>
        <w:rPr>
          <w:highlight w:val="black"/>
        </w:rPr>
      </w:pPr>
      <w:r>
        <w:rPr>
          <w:rFonts w:hint="eastAsia"/>
          <w:highlight w:val="black"/>
        </w:rPr>
        <w:t>（1）本矿山不具备建立专职矿山救援队的条件，故应当建立兼职矿山救援队，</w:t>
      </w:r>
      <w:r>
        <w:rPr>
          <w:highlight w:val="black"/>
        </w:rPr>
        <w:t>并与</w:t>
      </w:r>
      <w:r>
        <w:rPr>
          <w:rFonts w:hint="eastAsia"/>
          <w:highlight w:val="black"/>
        </w:rPr>
        <w:t>临近的专职矿山救援队签订应急救援协议。专职矿山救援队至服务矿山的行车时间一般不超过30min</w:t>
      </w:r>
      <w:r>
        <w:rPr>
          <w:highlight w:val="black"/>
        </w:rPr>
        <w:t>。</w:t>
      </w:r>
    </w:p>
    <w:p w14:paraId="6FD507B4">
      <w:pPr>
        <w:ind w:firstLine="560"/>
        <w:rPr>
          <w:highlight w:val="black"/>
        </w:rPr>
      </w:pPr>
      <w:r>
        <w:rPr>
          <w:rFonts w:hint="eastAsia"/>
          <w:highlight w:val="black"/>
        </w:rPr>
        <w:t>（2）</w:t>
      </w:r>
      <w:r>
        <w:rPr>
          <w:highlight w:val="black"/>
        </w:rPr>
        <w:t>兼职矿山救护队的人员组成：</w:t>
      </w:r>
    </w:p>
    <w:p w14:paraId="5A957A7A">
      <w:pPr>
        <w:ind w:firstLine="560"/>
        <w:rPr>
          <w:highlight w:val="black"/>
        </w:rPr>
      </w:pPr>
      <w:r>
        <w:rPr>
          <w:rFonts w:hint="eastAsia"/>
          <w:highlight w:val="black"/>
        </w:rPr>
        <w:t>1) 根据矿山生产规模、自然条件和灾害情况确定队伍规模，一般不少于2个小队，每个小队不少于9人；</w:t>
      </w:r>
    </w:p>
    <w:p w14:paraId="33887E5A">
      <w:pPr>
        <w:ind w:firstLine="560"/>
        <w:rPr>
          <w:highlight w:val="black"/>
        </w:rPr>
      </w:pPr>
      <w:r>
        <w:rPr>
          <w:rFonts w:hint="eastAsia"/>
          <w:highlight w:val="black"/>
        </w:rPr>
        <w:t>2) 应急救援人员主要由矿山生产一线班组长、业务骨干、工程技术人员和管理人员等兼职担任；</w:t>
      </w:r>
    </w:p>
    <w:p w14:paraId="166408FB">
      <w:pPr>
        <w:ind w:firstLine="560"/>
        <w:rPr>
          <w:highlight w:val="black"/>
        </w:rPr>
      </w:pPr>
      <w:r>
        <w:rPr>
          <w:rFonts w:hint="eastAsia"/>
          <w:highlight w:val="black"/>
        </w:rPr>
        <w:t>3) 设正、副队长和装备仪器管理人员，确保救援装备处于完好和备用状态；</w:t>
      </w:r>
    </w:p>
    <w:p w14:paraId="16B94733">
      <w:pPr>
        <w:ind w:firstLine="560"/>
        <w:rPr>
          <w:highlight w:val="black"/>
        </w:rPr>
      </w:pPr>
      <w:r>
        <w:rPr>
          <w:rFonts w:hint="eastAsia"/>
          <w:highlight w:val="black"/>
        </w:rPr>
        <w:t>4) 队伍直属矿长领导，业务上接受矿总工程师（技术负责人）和专职矿山救援队的指导。</w:t>
      </w:r>
    </w:p>
    <w:p w14:paraId="5CED23FA">
      <w:pPr>
        <w:ind w:firstLine="560"/>
        <w:rPr>
          <w:highlight w:val="black"/>
        </w:rPr>
      </w:pPr>
      <w:r>
        <w:rPr>
          <w:rFonts w:hint="eastAsia"/>
          <w:highlight w:val="black"/>
        </w:rPr>
        <w:t>（3）兼职矿山救援队的主要任务是：</w:t>
      </w:r>
    </w:p>
    <w:p w14:paraId="108A0D5B">
      <w:pPr>
        <w:ind w:firstLine="560"/>
        <w:rPr>
          <w:highlight w:val="black"/>
        </w:rPr>
      </w:pPr>
      <w:r>
        <w:rPr>
          <w:rFonts w:hint="eastAsia"/>
          <w:highlight w:val="black"/>
        </w:rPr>
        <w:t>1) 参与矿山生产安全事故初期控制和处置，救助遇险人员；</w:t>
      </w:r>
    </w:p>
    <w:p w14:paraId="1B2F263D">
      <w:pPr>
        <w:ind w:firstLine="560"/>
        <w:rPr>
          <w:highlight w:val="black"/>
        </w:rPr>
      </w:pPr>
      <w:r>
        <w:rPr>
          <w:rFonts w:hint="eastAsia"/>
          <w:highlight w:val="black"/>
        </w:rPr>
        <w:t>2) 协助专职矿山救援队参与矿山救援工作；</w:t>
      </w:r>
    </w:p>
    <w:p w14:paraId="7ADAC541">
      <w:pPr>
        <w:ind w:firstLine="560"/>
        <w:rPr>
          <w:highlight w:val="black"/>
        </w:rPr>
      </w:pPr>
      <w:r>
        <w:rPr>
          <w:rFonts w:hint="eastAsia"/>
          <w:highlight w:val="black"/>
        </w:rPr>
        <w:t>3) 协助专职矿山救援队参与矿山预防性安全检查和安全技术工作；</w:t>
      </w:r>
    </w:p>
    <w:p w14:paraId="35CE3950">
      <w:pPr>
        <w:ind w:firstLine="560"/>
        <w:rPr>
          <w:highlight w:val="black"/>
        </w:rPr>
      </w:pPr>
      <w:r>
        <w:rPr>
          <w:rFonts w:hint="eastAsia"/>
          <w:highlight w:val="black"/>
        </w:rPr>
        <w:t>4) 参与矿山从业人员自救互救和应急知识宣传教育，参加矿山应急救援演练。</w:t>
      </w:r>
    </w:p>
    <w:p w14:paraId="43797EB7">
      <w:pPr>
        <w:ind w:firstLine="560"/>
        <w:rPr>
          <w:highlight w:val="black"/>
        </w:rPr>
      </w:pPr>
      <w:r>
        <w:rPr>
          <w:highlight w:val="black"/>
        </w:rPr>
        <w:t xml:space="preserve"> </w:t>
      </w:r>
      <w:r>
        <w:rPr>
          <w:rFonts w:hint="eastAsia"/>
          <w:highlight w:val="black"/>
        </w:rPr>
        <w:t>（4）</w:t>
      </w:r>
      <w:r>
        <w:rPr>
          <w:highlight w:val="black"/>
        </w:rPr>
        <w:t>兼职矿山救护队的技术装备：</w:t>
      </w:r>
    </w:p>
    <w:p w14:paraId="26FF055A">
      <w:pPr>
        <w:spacing w:line="240" w:lineRule="auto"/>
        <w:ind w:firstLine="0" w:firstLineChars="0"/>
        <w:jc w:val="center"/>
        <w:rPr>
          <w:b/>
          <w:sz w:val="21"/>
          <w:szCs w:val="21"/>
        </w:rPr>
      </w:pPr>
      <w:r>
        <w:rPr>
          <w:b/>
          <w:sz w:val="21"/>
          <w:szCs w:val="21"/>
        </w:rPr>
        <w:t>表</w:t>
      </w:r>
      <w:r>
        <w:rPr>
          <w:rFonts w:hint="eastAsia"/>
          <w:b/>
          <w:sz w:val="21"/>
          <w:szCs w:val="21"/>
        </w:rPr>
        <w:t>2-27</w:t>
      </w:r>
      <w:r>
        <w:rPr>
          <w:b/>
          <w:sz w:val="21"/>
          <w:szCs w:val="21"/>
        </w:rPr>
        <w:t xml:space="preserve"> 兼职矿山救护队技术装备</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160"/>
        <w:gridCol w:w="3379"/>
        <w:gridCol w:w="815"/>
        <w:gridCol w:w="815"/>
      </w:tblGrid>
      <w:tr w14:paraId="2B147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tcBorders>
              <w:tl2br w:val="nil"/>
              <w:tr2bl w:val="nil"/>
            </w:tcBorders>
            <w:vAlign w:val="center"/>
          </w:tcPr>
          <w:p w14:paraId="207D237E">
            <w:pPr>
              <w:spacing w:line="240" w:lineRule="auto"/>
              <w:ind w:firstLine="0" w:firstLineChars="0"/>
              <w:jc w:val="center"/>
              <w:rPr>
                <w:sz w:val="21"/>
                <w:szCs w:val="21"/>
                <w:highlight w:val="black"/>
              </w:rPr>
            </w:pPr>
            <w:r>
              <w:rPr>
                <w:sz w:val="21"/>
                <w:szCs w:val="21"/>
                <w:highlight w:val="black"/>
              </w:rPr>
              <w:t>类别</w:t>
            </w:r>
          </w:p>
        </w:tc>
        <w:tc>
          <w:tcPr>
            <w:tcW w:w="1267" w:type="pct"/>
            <w:tcBorders>
              <w:tl2br w:val="nil"/>
              <w:tr2bl w:val="nil"/>
            </w:tcBorders>
            <w:vAlign w:val="center"/>
          </w:tcPr>
          <w:p w14:paraId="7BC74B6C">
            <w:pPr>
              <w:spacing w:line="240" w:lineRule="auto"/>
              <w:ind w:firstLine="0" w:firstLineChars="0"/>
              <w:jc w:val="center"/>
              <w:rPr>
                <w:sz w:val="21"/>
                <w:szCs w:val="21"/>
                <w:highlight w:val="black"/>
              </w:rPr>
            </w:pPr>
            <w:r>
              <w:rPr>
                <w:sz w:val="21"/>
                <w:szCs w:val="21"/>
                <w:highlight w:val="black"/>
              </w:rPr>
              <w:t>装备名称</w:t>
            </w:r>
          </w:p>
        </w:tc>
        <w:tc>
          <w:tcPr>
            <w:tcW w:w="1982" w:type="pct"/>
            <w:tcBorders>
              <w:tl2br w:val="nil"/>
              <w:tr2bl w:val="nil"/>
            </w:tcBorders>
            <w:vAlign w:val="center"/>
          </w:tcPr>
          <w:p w14:paraId="27A56659">
            <w:pPr>
              <w:spacing w:line="240" w:lineRule="auto"/>
              <w:ind w:firstLine="0" w:firstLineChars="0"/>
              <w:jc w:val="center"/>
              <w:rPr>
                <w:sz w:val="21"/>
                <w:szCs w:val="21"/>
                <w:highlight w:val="black"/>
              </w:rPr>
            </w:pPr>
            <w:r>
              <w:rPr>
                <w:sz w:val="21"/>
                <w:szCs w:val="21"/>
                <w:highlight w:val="black"/>
              </w:rPr>
              <w:t>要求及说明</w:t>
            </w:r>
          </w:p>
        </w:tc>
        <w:tc>
          <w:tcPr>
            <w:tcW w:w="478" w:type="pct"/>
            <w:tcBorders>
              <w:tl2br w:val="nil"/>
              <w:tr2bl w:val="nil"/>
            </w:tcBorders>
            <w:vAlign w:val="center"/>
          </w:tcPr>
          <w:p w14:paraId="0F541E68">
            <w:pPr>
              <w:spacing w:line="240" w:lineRule="auto"/>
              <w:ind w:firstLine="0" w:firstLineChars="0"/>
              <w:jc w:val="center"/>
              <w:rPr>
                <w:sz w:val="21"/>
                <w:szCs w:val="21"/>
                <w:highlight w:val="black"/>
              </w:rPr>
            </w:pPr>
            <w:r>
              <w:rPr>
                <w:sz w:val="21"/>
                <w:szCs w:val="21"/>
                <w:highlight w:val="black"/>
              </w:rPr>
              <w:t>单位</w:t>
            </w:r>
          </w:p>
        </w:tc>
        <w:tc>
          <w:tcPr>
            <w:tcW w:w="478" w:type="pct"/>
            <w:tcBorders>
              <w:tl2br w:val="nil"/>
              <w:tr2bl w:val="nil"/>
            </w:tcBorders>
            <w:vAlign w:val="center"/>
          </w:tcPr>
          <w:p w14:paraId="291F267E">
            <w:pPr>
              <w:spacing w:line="240" w:lineRule="auto"/>
              <w:ind w:firstLine="0" w:firstLineChars="0"/>
              <w:jc w:val="center"/>
              <w:rPr>
                <w:sz w:val="21"/>
                <w:szCs w:val="21"/>
                <w:highlight w:val="black"/>
              </w:rPr>
            </w:pPr>
            <w:r>
              <w:rPr>
                <w:sz w:val="21"/>
                <w:szCs w:val="21"/>
                <w:highlight w:val="black"/>
              </w:rPr>
              <w:t>数量</w:t>
            </w:r>
          </w:p>
        </w:tc>
      </w:tr>
      <w:tr w14:paraId="3DED4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tcBorders>
              <w:tl2br w:val="nil"/>
              <w:tr2bl w:val="nil"/>
            </w:tcBorders>
            <w:vAlign w:val="center"/>
          </w:tcPr>
          <w:p w14:paraId="4B43FC7C">
            <w:pPr>
              <w:spacing w:line="240" w:lineRule="auto"/>
              <w:ind w:firstLine="0" w:firstLineChars="0"/>
              <w:jc w:val="center"/>
              <w:rPr>
                <w:sz w:val="21"/>
                <w:szCs w:val="21"/>
                <w:highlight w:val="black"/>
              </w:rPr>
            </w:pPr>
            <w:r>
              <w:rPr>
                <w:sz w:val="21"/>
                <w:szCs w:val="21"/>
                <w:highlight w:val="black"/>
              </w:rPr>
              <w:t>通信器材</w:t>
            </w:r>
          </w:p>
        </w:tc>
        <w:tc>
          <w:tcPr>
            <w:tcW w:w="1267" w:type="pct"/>
            <w:tcBorders>
              <w:tl2br w:val="nil"/>
              <w:tr2bl w:val="nil"/>
            </w:tcBorders>
            <w:vAlign w:val="center"/>
          </w:tcPr>
          <w:p w14:paraId="0A3A102B">
            <w:pPr>
              <w:spacing w:line="240" w:lineRule="auto"/>
              <w:ind w:firstLine="0" w:firstLineChars="0"/>
              <w:jc w:val="center"/>
              <w:rPr>
                <w:sz w:val="21"/>
                <w:szCs w:val="21"/>
                <w:highlight w:val="black"/>
              </w:rPr>
            </w:pPr>
            <w:r>
              <w:rPr>
                <w:sz w:val="21"/>
                <w:szCs w:val="21"/>
                <w:highlight w:val="black"/>
              </w:rPr>
              <w:t>灾区电话</w:t>
            </w:r>
          </w:p>
        </w:tc>
        <w:tc>
          <w:tcPr>
            <w:tcW w:w="1982" w:type="pct"/>
            <w:tcBorders>
              <w:tl2br w:val="nil"/>
              <w:tr2bl w:val="nil"/>
            </w:tcBorders>
            <w:vAlign w:val="center"/>
          </w:tcPr>
          <w:p w14:paraId="708B0368">
            <w:pPr>
              <w:spacing w:line="240" w:lineRule="auto"/>
              <w:ind w:firstLine="0" w:firstLineChars="0"/>
              <w:jc w:val="center"/>
              <w:rPr>
                <w:sz w:val="21"/>
                <w:szCs w:val="21"/>
                <w:highlight w:val="black"/>
              </w:rPr>
            </w:pPr>
            <w:r>
              <w:rPr>
                <w:rFonts w:hint="eastAsia"/>
                <w:sz w:val="21"/>
                <w:szCs w:val="21"/>
                <w:highlight w:val="black"/>
              </w:rPr>
              <w:t>防爆，双向音频实施通信</w:t>
            </w:r>
          </w:p>
        </w:tc>
        <w:tc>
          <w:tcPr>
            <w:tcW w:w="478" w:type="pct"/>
            <w:tcBorders>
              <w:tl2br w:val="nil"/>
              <w:tr2bl w:val="nil"/>
            </w:tcBorders>
            <w:vAlign w:val="center"/>
          </w:tcPr>
          <w:p w14:paraId="200E990E">
            <w:pPr>
              <w:spacing w:line="240" w:lineRule="auto"/>
              <w:ind w:firstLine="0" w:firstLineChars="0"/>
              <w:jc w:val="center"/>
              <w:rPr>
                <w:sz w:val="21"/>
                <w:szCs w:val="21"/>
                <w:highlight w:val="black"/>
              </w:rPr>
            </w:pPr>
            <w:r>
              <w:rPr>
                <w:sz w:val="21"/>
                <w:szCs w:val="21"/>
                <w:highlight w:val="black"/>
              </w:rPr>
              <w:t>套</w:t>
            </w:r>
          </w:p>
        </w:tc>
        <w:tc>
          <w:tcPr>
            <w:tcW w:w="478" w:type="pct"/>
            <w:tcBorders>
              <w:tl2br w:val="nil"/>
              <w:tr2bl w:val="nil"/>
            </w:tcBorders>
            <w:vAlign w:val="center"/>
          </w:tcPr>
          <w:p w14:paraId="6B1273B1">
            <w:pPr>
              <w:spacing w:line="240" w:lineRule="auto"/>
              <w:ind w:firstLine="0" w:firstLineChars="0"/>
              <w:jc w:val="center"/>
              <w:rPr>
                <w:sz w:val="21"/>
                <w:szCs w:val="21"/>
                <w:highlight w:val="black"/>
              </w:rPr>
            </w:pPr>
            <w:r>
              <w:rPr>
                <w:sz w:val="21"/>
                <w:szCs w:val="21"/>
                <w:highlight w:val="black"/>
              </w:rPr>
              <w:t>1</w:t>
            </w:r>
          </w:p>
        </w:tc>
      </w:tr>
      <w:tr w14:paraId="29CCD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94" w:type="pct"/>
            <w:vMerge w:val="restart"/>
            <w:tcBorders>
              <w:tl2br w:val="nil"/>
              <w:tr2bl w:val="nil"/>
            </w:tcBorders>
            <w:vAlign w:val="center"/>
          </w:tcPr>
          <w:p w14:paraId="524A907A">
            <w:pPr>
              <w:spacing w:line="240" w:lineRule="auto"/>
              <w:ind w:firstLine="0" w:firstLineChars="0"/>
              <w:jc w:val="center"/>
              <w:rPr>
                <w:sz w:val="21"/>
                <w:szCs w:val="21"/>
                <w:highlight w:val="black"/>
              </w:rPr>
            </w:pPr>
            <w:r>
              <w:rPr>
                <w:sz w:val="21"/>
                <w:szCs w:val="21"/>
                <w:highlight w:val="black"/>
              </w:rPr>
              <w:t>个</w:t>
            </w:r>
            <w:r>
              <w:rPr>
                <w:rFonts w:hint="eastAsia"/>
                <w:sz w:val="21"/>
                <w:szCs w:val="21"/>
                <w:highlight w:val="black"/>
              </w:rPr>
              <w:t>体</w:t>
            </w:r>
          </w:p>
          <w:p w14:paraId="1195747C">
            <w:pPr>
              <w:spacing w:line="240" w:lineRule="auto"/>
              <w:ind w:firstLine="0" w:firstLineChars="0"/>
              <w:jc w:val="center"/>
              <w:rPr>
                <w:sz w:val="21"/>
                <w:szCs w:val="21"/>
                <w:highlight w:val="black"/>
              </w:rPr>
            </w:pPr>
            <w:r>
              <w:rPr>
                <w:sz w:val="21"/>
                <w:szCs w:val="21"/>
                <w:highlight w:val="black"/>
              </w:rPr>
              <w:t>防护</w:t>
            </w:r>
          </w:p>
        </w:tc>
        <w:tc>
          <w:tcPr>
            <w:tcW w:w="1267" w:type="pct"/>
            <w:tcBorders>
              <w:tl2br w:val="nil"/>
              <w:tr2bl w:val="nil"/>
            </w:tcBorders>
            <w:vAlign w:val="center"/>
          </w:tcPr>
          <w:p w14:paraId="2DA27C8F">
            <w:pPr>
              <w:spacing w:line="240" w:lineRule="auto"/>
              <w:ind w:firstLine="0" w:firstLineChars="0"/>
              <w:jc w:val="center"/>
              <w:rPr>
                <w:sz w:val="21"/>
                <w:szCs w:val="21"/>
                <w:highlight w:val="black"/>
              </w:rPr>
            </w:pPr>
            <w:r>
              <w:rPr>
                <w:sz w:val="21"/>
                <w:szCs w:val="21"/>
                <w:highlight w:val="black"/>
              </w:rPr>
              <w:t>4h氧气呼吸器</w:t>
            </w:r>
          </w:p>
        </w:tc>
        <w:tc>
          <w:tcPr>
            <w:tcW w:w="1982" w:type="pct"/>
            <w:tcBorders>
              <w:tl2br w:val="nil"/>
              <w:tr2bl w:val="nil"/>
            </w:tcBorders>
            <w:vAlign w:val="center"/>
          </w:tcPr>
          <w:p w14:paraId="4D9146AD">
            <w:pPr>
              <w:spacing w:line="240" w:lineRule="auto"/>
              <w:ind w:firstLine="0" w:firstLineChars="0"/>
              <w:jc w:val="center"/>
              <w:rPr>
                <w:sz w:val="21"/>
                <w:szCs w:val="21"/>
                <w:highlight w:val="black"/>
              </w:rPr>
            </w:pPr>
            <w:r>
              <w:rPr>
                <w:rFonts w:hint="eastAsia"/>
                <w:sz w:val="21"/>
                <w:szCs w:val="21"/>
                <w:highlight w:val="black"/>
              </w:rPr>
              <w:t>正压</w:t>
            </w:r>
          </w:p>
        </w:tc>
        <w:tc>
          <w:tcPr>
            <w:tcW w:w="478" w:type="pct"/>
            <w:tcBorders>
              <w:tl2br w:val="nil"/>
              <w:tr2bl w:val="nil"/>
            </w:tcBorders>
            <w:vAlign w:val="center"/>
          </w:tcPr>
          <w:p w14:paraId="595134AF">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1B5F159D">
            <w:pPr>
              <w:spacing w:line="240" w:lineRule="auto"/>
              <w:ind w:firstLine="0" w:firstLineChars="0"/>
              <w:jc w:val="center"/>
              <w:rPr>
                <w:sz w:val="21"/>
                <w:szCs w:val="21"/>
                <w:highlight w:val="black"/>
              </w:rPr>
            </w:pPr>
            <w:r>
              <w:rPr>
                <w:rFonts w:hint="eastAsia"/>
                <w:sz w:val="21"/>
                <w:szCs w:val="21"/>
                <w:highlight w:val="black"/>
              </w:rPr>
              <w:t>1</w:t>
            </w:r>
          </w:p>
        </w:tc>
      </w:tr>
      <w:tr w14:paraId="3FC16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32FCC30A">
            <w:pPr>
              <w:spacing w:line="240" w:lineRule="auto"/>
              <w:ind w:firstLine="0" w:firstLineChars="0"/>
              <w:jc w:val="center"/>
              <w:rPr>
                <w:sz w:val="21"/>
                <w:szCs w:val="21"/>
                <w:highlight w:val="black"/>
              </w:rPr>
            </w:pPr>
          </w:p>
        </w:tc>
        <w:tc>
          <w:tcPr>
            <w:tcW w:w="1267" w:type="pct"/>
            <w:tcBorders>
              <w:tl2br w:val="nil"/>
              <w:tr2bl w:val="nil"/>
            </w:tcBorders>
            <w:vAlign w:val="center"/>
          </w:tcPr>
          <w:p w14:paraId="25D32263">
            <w:pPr>
              <w:spacing w:line="240" w:lineRule="auto"/>
              <w:ind w:firstLine="0" w:firstLineChars="0"/>
              <w:jc w:val="center"/>
              <w:rPr>
                <w:sz w:val="21"/>
                <w:szCs w:val="21"/>
                <w:highlight w:val="black"/>
              </w:rPr>
            </w:pPr>
            <w:r>
              <w:rPr>
                <w:rFonts w:hint="eastAsia"/>
                <w:sz w:val="21"/>
                <w:szCs w:val="21"/>
                <w:highlight w:val="black"/>
              </w:rPr>
              <w:t>2</w:t>
            </w:r>
            <w:r>
              <w:rPr>
                <w:sz w:val="21"/>
                <w:szCs w:val="21"/>
                <w:highlight w:val="black"/>
              </w:rPr>
              <w:t>h氧气呼吸器</w:t>
            </w:r>
          </w:p>
        </w:tc>
        <w:tc>
          <w:tcPr>
            <w:tcW w:w="1982" w:type="pct"/>
            <w:tcBorders>
              <w:tl2br w:val="nil"/>
              <w:tr2bl w:val="nil"/>
            </w:tcBorders>
            <w:vAlign w:val="center"/>
          </w:tcPr>
          <w:p w14:paraId="2FDAFBF2">
            <w:pPr>
              <w:spacing w:line="240" w:lineRule="auto"/>
              <w:ind w:firstLine="0" w:firstLineChars="0"/>
              <w:jc w:val="center"/>
              <w:rPr>
                <w:sz w:val="21"/>
                <w:szCs w:val="21"/>
                <w:highlight w:val="black"/>
              </w:rPr>
            </w:pPr>
            <w:r>
              <w:rPr>
                <w:sz w:val="21"/>
                <w:szCs w:val="21"/>
                <w:highlight w:val="black"/>
              </w:rPr>
              <w:t>或者4h氧气呼吸器，正压</w:t>
            </w:r>
          </w:p>
        </w:tc>
        <w:tc>
          <w:tcPr>
            <w:tcW w:w="478" w:type="pct"/>
            <w:tcBorders>
              <w:tl2br w:val="nil"/>
              <w:tr2bl w:val="nil"/>
            </w:tcBorders>
            <w:vAlign w:val="center"/>
          </w:tcPr>
          <w:p w14:paraId="7F002D6E">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44DBCFD8">
            <w:pPr>
              <w:spacing w:line="240" w:lineRule="auto"/>
              <w:ind w:firstLine="0" w:firstLineChars="0"/>
              <w:jc w:val="center"/>
              <w:rPr>
                <w:sz w:val="21"/>
                <w:szCs w:val="21"/>
                <w:highlight w:val="black"/>
              </w:rPr>
            </w:pPr>
            <w:r>
              <w:rPr>
                <w:rFonts w:hint="eastAsia"/>
                <w:sz w:val="21"/>
                <w:szCs w:val="21"/>
                <w:highlight w:val="black"/>
              </w:rPr>
              <w:t>1</w:t>
            </w:r>
          </w:p>
        </w:tc>
      </w:tr>
      <w:tr w14:paraId="57B3F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799D8E9C">
            <w:pPr>
              <w:spacing w:line="240" w:lineRule="auto"/>
              <w:ind w:firstLine="0" w:firstLineChars="0"/>
              <w:jc w:val="center"/>
              <w:rPr>
                <w:sz w:val="21"/>
                <w:szCs w:val="21"/>
                <w:highlight w:val="black"/>
              </w:rPr>
            </w:pPr>
          </w:p>
        </w:tc>
        <w:tc>
          <w:tcPr>
            <w:tcW w:w="1267" w:type="pct"/>
            <w:tcBorders>
              <w:tl2br w:val="nil"/>
              <w:tr2bl w:val="nil"/>
            </w:tcBorders>
            <w:vAlign w:val="center"/>
          </w:tcPr>
          <w:p w14:paraId="2C74F707">
            <w:pPr>
              <w:spacing w:line="240" w:lineRule="auto"/>
              <w:ind w:firstLine="0" w:firstLineChars="0"/>
              <w:jc w:val="center"/>
              <w:rPr>
                <w:sz w:val="21"/>
                <w:szCs w:val="21"/>
                <w:highlight w:val="black"/>
              </w:rPr>
            </w:pPr>
            <w:r>
              <w:rPr>
                <w:sz w:val="21"/>
                <w:szCs w:val="21"/>
                <w:highlight w:val="black"/>
              </w:rPr>
              <w:t>自救器</w:t>
            </w:r>
          </w:p>
        </w:tc>
        <w:tc>
          <w:tcPr>
            <w:tcW w:w="1982" w:type="pct"/>
            <w:tcBorders>
              <w:tl2br w:val="nil"/>
              <w:tr2bl w:val="nil"/>
            </w:tcBorders>
            <w:vAlign w:val="center"/>
          </w:tcPr>
          <w:p w14:paraId="1E3580DE">
            <w:pPr>
              <w:spacing w:line="240" w:lineRule="auto"/>
              <w:ind w:firstLine="0" w:firstLineChars="0"/>
              <w:jc w:val="center"/>
              <w:rPr>
                <w:sz w:val="21"/>
                <w:szCs w:val="21"/>
                <w:highlight w:val="black"/>
              </w:rPr>
            </w:pPr>
            <w:r>
              <w:rPr>
                <w:rFonts w:hint="eastAsia"/>
                <w:sz w:val="21"/>
                <w:szCs w:val="21"/>
                <w:highlight w:val="black"/>
              </w:rPr>
              <w:t>隔绝式，额定防护时间≥30min</w:t>
            </w:r>
          </w:p>
        </w:tc>
        <w:tc>
          <w:tcPr>
            <w:tcW w:w="478" w:type="pct"/>
            <w:tcBorders>
              <w:tl2br w:val="nil"/>
              <w:tr2bl w:val="nil"/>
            </w:tcBorders>
            <w:vAlign w:val="center"/>
          </w:tcPr>
          <w:p w14:paraId="059D7668">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04D41846">
            <w:pPr>
              <w:spacing w:line="240" w:lineRule="auto"/>
              <w:ind w:firstLine="0" w:firstLineChars="0"/>
              <w:jc w:val="center"/>
              <w:rPr>
                <w:sz w:val="21"/>
                <w:szCs w:val="21"/>
                <w:highlight w:val="black"/>
              </w:rPr>
            </w:pPr>
            <w:r>
              <w:rPr>
                <w:sz w:val="21"/>
                <w:szCs w:val="21"/>
                <w:highlight w:val="black"/>
              </w:rPr>
              <w:t>20</w:t>
            </w:r>
          </w:p>
        </w:tc>
      </w:tr>
      <w:tr w14:paraId="463B6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E9E5F90">
            <w:pPr>
              <w:spacing w:line="240" w:lineRule="auto"/>
              <w:ind w:firstLine="0" w:firstLineChars="0"/>
              <w:jc w:val="center"/>
              <w:rPr>
                <w:sz w:val="21"/>
                <w:szCs w:val="21"/>
                <w:highlight w:val="black"/>
              </w:rPr>
            </w:pPr>
          </w:p>
        </w:tc>
        <w:tc>
          <w:tcPr>
            <w:tcW w:w="1267" w:type="pct"/>
            <w:tcBorders>
              <w:tl2br w:val="nil"/>
              <w:tr2bl w:val="nil"/>
            </w:tcBorders>
            <w:vAlign w:val="center"/>
          </w:tcPr>
          <w:p w14:paraId="0CC4E757">
            <w:pPr>
              <w:spacing w:line="240" w:lineRule="auto"/>
              <w:ind w:firstLine="0" w:firstLineChars="0"/>
              <w:jc w:val="center"/>
              <w:rPr>
                <w:sz w:val="21"/>
                <w:szCs w:val="21"/>
                <w:highlight w:val="black"/>
              </w:rPr>
            </w:pPr>
            <w:r>
              <w:rPr>
                <w:sz w:val="21"/>
                <w:szCs w:val="21"/>
                <w:highlight w:val="black"/>
              </w:rPr>
              <w:t>自动苏生器</w:t>
            </w:r>
          </w:p>
        </w:tc>
        <w:tc>
          <w:tcPr>
            <w:tcW w:w="1982" w:type="pct"/>
            <w:tcBorders>
              <w:tl2br w:val="nil"/>
              <w:tr2bl w:val="nil"/>
            </w:tcBorders>
            <w:vAlign w:val="center"/>
          </w:tcPr>
          <w:p w14:paraId="78EBA7C7">
            <w:pPr>
              <w:spacing w:line="240" w:lineRule="auto"/>
              <w:ind w:firstLine="0" w:firstLineChars="0"/>
              <w:jc w:val="center"/>
              <w:rPr>
                <w:sz w:val="21"/>
                <w:szCs w:val="21"/>
                <w:highlight w:val="black"/>
              </w:rPr>
            </w:pPr>
            <w:r>
              <w:rPr>
                <w:sz w:val="21"/>
                <w:szCs w:val="21"/>
                <w:highlight w:val="black"/>
              </w:rPr>
              <w:t>便携式</w:t>
            </w:r>
          </w:p>
        </w:tc>
        <w:tc>
          <w:tcPr>
            <w:tcW w:w="478" w:type="pct"/>
            <w:tcBorders>
              <w:tl2br w:val="nil"/>
              <w:tr2bl w:val="nil"/>
            </w:tcBorders>
            <w:vAlign w:val="center"/>
          </w:tcPr>
          <w:p w14:paraId="03907FD2">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59845EF3">
            <w:pPr>
              <w:spacing w:line="240" w:lineRule="auto"/>
              <w:ind w:firstLine="0" w:firstLineChars="0"/>
              <w:jc w:val="center"/>
              <w:rPr>
                <w:sz w:val="21"/>
                <w:szCs w:val="21"/>
                <w:highlight w:val="black"/>
              </w:rPr>
            </w:pPr>
            <w:r>
              <w:rPr>
                <w:sz w:val="21"/>
                <w:szCs w:val="21"/>
                <w:highlight w:val="black"/>
              </w:rPr>
              <w:t>2</w:t>
            </w:r>
          </w:p>
        </w:tc>
      </w:tr>
      <w:tr w14:paraId="093B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restart"/>
            <w:tcBorders>
              <w:tl2br w:val="nil"/>
              <w:tr2bl w:val="nil"/>
            </w:tcBorders>
            <w:vAlign w:val="center"/>
          </w:tcPr>
          <w:p w14:paraId="70827125">
            <w:pPr>
              <w:spacing w:line="240" w:lineRule="auto"/>
              <w:ind w:firstLine="0" w:firstLineChars="0"/>
              <w:jc w:val="center"/>
              <w:rPr>
                <w:sz w:val="21"/>
                <w:szCs w:val="21"/>
                <w:highlight w:val="black"/>
              </w:rPr>
            </w:pPr>
            <w:r>
              <w:rPr>
                <w:sz w:val="21"/>
                <w:szCs w:val="21"/>
                <w:highlight w:val="black"/>
              </w:rPr>
              <w:t>灭火</w:t>
            </w:r>
          </w:p>
          <w:p w14:paraId="573B913A">
            <w:pPr>
              <w:spacing w:line="240" w:lineRule="auto"/>
              <w:ind w:firstLine="0" w:firstLineChars="0"/>
              <w:jc w:val="center"/>
              <w:rPr>
                <w:sz w:val="21"/>
                <w:szCs w:val="21"/>
                <w:highlight w:val="black"/>
              </w:rPr>
            </w:pPr>
            <w:r>
              <w:rPr>
                <w:sz w:val="21"/>
                <w:szCs w:val="21"/>
                <w:highlight w:val="black"/>
              </w:rPr>
              <w:t>装备</w:t>
            </w:r>
          </w:p>
        </w:tc>
        <w:tc>
          <w:tcPr>
            <w:tcW w:w="1267" w:type="pct"/>
            <w:tcBorders>
              <w:tl2br w:val="nil"/>
              <w:tr2bl w:val="nil"/>
            </w:tcBorders>
            <w:vAlign w:val="center"/>
          </w:tcPr>
          <w:p w14:paraId="233F306B">
            <w:pPr>
              <w:spacing w:line="240" w:lineRule="auto"/>
              <w:ind w:firstLine="0" w:firstLineChars="0"/>
              <w:jc w:val="center"/>
              <w:rPr>
                <w:sz w:val="21"/>
                <w:szCs w:val="21"/>
                <w:highlight w:val="black"/>
              </w:rPr>
            </w:pPr>
            <w:r>
              <w:rPr>
                <w:sz w:val="21"/>
                <w:szCs w:val="21"/>
                <w:highlight w:val="black"/>
              </w:rPr>
              <w:t>干粉灭火器</w:t>
            </w:r>
          </w:p>
        </w:tc>
        <w:tc>
          <w:tcPr>
            <w:tcW w:w="1982" w:type="pct"/>
            <w:tcBorders>
              <w:tl2br w:val="nil"/>
              <w:tr2bl w:val="nil"/>
            </w:tcBorders>
            <w:vAlign w:val="center"/>
          </w:tcPr>
          <w:p w14:paraId="4A314440">
            <w:pPr>
              <w:spacing w:line="240" w:lineRule="auto"/>
              <w:ind w:firstLine="0" w:firstLineChars="0"/>
              <w:jc w:val="center"/>
              <w:rPr>
                <w:sz w:val="21"/>
                <w:szCs w:val="21"/>
                <w:highlight w:val="black"/>
              </w:rPr>
            </w:pPr>
            <w:r>
              <w:rPr>
                <w:rFonts w:hint="eastAsia"/>
                <w:sz w:val="21"/>
                <w:szCs w:val="21"/>
                <w:highlight w:val="black"/>
              </w:rPr>
              <w:t>8kg</w:t>
            </w:r>
          </w:p>
        </w:tc>
        <w:tc>
          <w:tcPr>
            <w:tcW w:w="478" w:type="pct"/>
            <w:tcBorders>
              <w:tl2br w:val="nil"/>
              <w:tr2bl w:val="nil"/>
            </w:tcBorders>
            <w:vAlign w:val="center"/>
          </w:tcPr>
          <w:p w14:paraId="5F141ABF">
            <w:pPr>
              <w:spacing w:line="240" w:lineRule="auto"/>
              <w:ind w:firstLine="0" w:firstLineChars="0"/>
              <w:jc w:val="center"/>
              <w:rPr>
                <w:sz w:val="21"/>
                <w:szCs w:val="21"/>
                <w:highlight w:val="black"/>
              </w:rPr>
            </w:pPr>
            <w:r>
              <w:rPr>
                <w:sz w:val="21"/>
                <w:szCs w:val="21"/>
                <w:highlight w:val="black"/>
              </w:rPr>
              <w:t>只</w:t>
            </w:r>
          </w:p>
        </w:tc>
        <w:tc>
          <w:tcPr>
            <w:tcW w:w="478" w:type="pct"/>
            <w:tcBorders>
              <w:tl2br w:val="nil"/>
              <w:tr2bl w:val="nil"/>
            </w:tcBorders>
            <w:vAlign w:val="center"/>
          </w:tcPr>
          <w:p w14:paraId="215306E0">
            <w:pPr>
              <w:spacing w:line="240" w:lineRule="auto"/>
              <w:ind w:firstLine="0" w:firstLineChars="0"/>
              <w:jc w:val="center"/>
              <w:rPr>
                <w:sz w:val="21"/>
                <w:szCs w:val="21"/>
                <w:highlight w:val="black"/>
              </w:rPr>
            </w:pPr>
            <w:r>
              <w:rPr>
                <w:rFonts w:hint="eastAsia"/>
                <w:sz w:val="21"/>
                <w:szCs w:val="21"/>
                <w:highlight w:val="black"/>
              </w:rPr>
              <w:t>1</w:t>
            </w:r>
            <w:r>
              <w:rPr>
                <w:sz w:val="21"/>
                <w:szCs w:val="21"/>
                <w:highlight w:val="black"/>
              </w:rPr>
              <w:t>0</w:t>
            </w:r>
          </w:p>
        </w:tc>
      </w:tr>
      <w:tr w14:paraId="44EC9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4D5DB111">
            <w:pPr>
              <w:spacing w:line="240" w:lineRule="auto"/>
              <w:ind w:firstLine="0" w:firstLineChars="0"/>
              <w:jc w:val="center"/>
              <w:rPr>
                <w:sz w:val="21"/>
                <w:szCs w:val="21"/>
                <w:highlight w:val="black"/>
              </w:rPr>
            </w:pPr>
          </w:p>
        </w:tc>
        <w:tc>
          <w:tcPr>
            <w:tcW w:w="1267" w:type="pct"/>
            <w:tcBorders>
              <w:tl2br w:val="nil"/>
              <w:tr2bl w:val="nil"/>
            </w:tcBorders>
            <w:vAlign w:val="center"/>
          </w:tcPr>
          <w:p w14:paraId="1E5EBE8E">
            <w:pPr>
              <w:spacing w:line="240" w:lineRule="auto"/>
              <w:ind w:firstLine="0" w:firstLineChars="0"/>
              <w:jc w:val="center"/>
              <w:rPr>
                <w:sz w:val="21"/>
                <w:szCs w:val="21"/>
                <w:highlight w:val="black"/>
              </w:rPr>
            </w:pPr>
            <w:r>
              <w:rPr>
                <w:sz w:val="21"/>
                <w:szCs w:val="21"/>
                <w:highlight w:val="black"/>
              </w:rPr>
              <w:t>风障</w:t>
            </w:r>
          </w:p>
        </w:tc>
        <w:tc>
          <w:tcPr>
            <w:tcW w:w="1982" w:type="pct"/>
            <w:tcBorders>
              <w:tl2br w:val="nil"/>
              <w:tr2bl w:val="nil"/>
            </w:tcBorders>
            <w:vAlign w:val="center"/>
          </w:tcPr>
          <w:p w14:paraId="33C11E36">
            <w:pPr>
              <w:spacing w:line="240" w:lineRule="auto"/>
              <w:ind w:firstLine="0" w:firstLineChars="0"/>
              <w:jc w:val="center"/>
              <w:rPr>
                <w:sz w:val="21"/>
                <w:szCs w:val="21"/>
                <w:highlight w:val="black"/>
              </w:rPr>
            </w:pPr>
            <w:r>
              <w:rPr>
                <w:rFonts w:hint="eastAsia"/>
                <w:sz w:val="21"/>
                <w:szCs w:val="21"/>
                <w:highlight w:val="black"/>
              </w:rPr>
              <w:t>面积≥4m×4m，棉质</w:t>
            </w:r>
          </w:p>
        </w:tc>
        <w:tc>
          <w:tcPr>
            <w:tcW w:w="478" w:type="pct"/>
            <w:tcBorders>
              <w:tl2br w:val="nil"/>
              <w:tr2bl w:val="nil"/>
            </w:tcBorders>
            <w:vAlign w:val="center"/>
          </w:tcPr>
          <w:p w14:paraId="12B0C22E">
            <w:pPr>
              <w:spacing w:line="240" w:lineRule="auto"/>
              <w:ind w:firstLine="0" w:firstLineChars="0"/>
              <w:jc w:val="center"/>
              <w:rPr>
                <w:sz w:val="21"/>
                <w:szCs w:val="21"/>
                <w:highlight w:val="black"/>
              </w:rPr>
            </w:pPr>
            <w:r>
              <w:rPr>
                <w:sz w:val="21"/>
                <w:szCs w:val="21"/>
                <w:highlight w:val="black"/>
              </w:rPr>
              <w:t>块</w:t>
            </w:r>
          </w:p>
        </w:tc>
        <w:tc>
          <w:tcPr>
            <w:tcW w:w="478" w:type="pct"/>
            <w:tcBorders>
              <w:tl2br w:val="nil"/>
              <w:tr2bl w:val="nil"/>
            </w:tcBorders>
            <w:vAlign w:val="center"/>
          </w:tcPr>
          <w:p w14:paraId="221619E8">
            <w:pPr>
              <w:spacing w:line="240" w:lineRule="auto"/>
              <w:ind w:firstLine="0" w:firstLineChars="0"/>
              <w:jc w:val="center"/>
              <w:rPr>
                <w:sz w:val="21"/>
                <w:szCs w:val="21"/>
                <w:highlight w:val="black"/>
              </w:rPr>
            </w:pPr>
            <w:r>
              <w:rPr>
                <w:sz w:val="21"/>
                <w:szCs w:val="21"/>
                <w:highlight w:val="black"/>
              </w:rPr>
              <w:t>2</w:t>
            </w:r>
          </w:p>
        </w:tc>
      </w:tr>
      <w:tr w14:paraId="6D552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restart"/>
            <w:tcBorders>
              <w:tl2br w:val="nil"/>
              <w:tr2bl w:val="nil"/>
            </w:tcBorders>
            <w:vAlign w:val="center"/>
          </w:tcPr>
          <w:p w14:paraId="44BADF4D">
            <w:pPr>
              <w:spacing w:line="240" w:lineRule="auto"/>
              <w:ind w:firstLine="0" w:firstLineChars="0"/>
              <w:jc w:val="center"/>
              <w:rPr>
                <w:sz w:val="21"/>
                <w:szCs w:val="21"/>
                <w:highlight w:val="black"/>
              </w:rPr>
            </w:pPr>
            <w:r>
              <w:rPr>
                <w:sz w:val="21"/>
                <w:szCs w:val="21"/>
                <w:highlight w:val="black"/>
              </w:rPr>
              <w:t>检测</w:t>
            </w:r>
          </w:p>
          <w:p w14:paraId="50155B6C">
            <w:pPr>
              <w:spacing w:line="240" w:lineRule="auto"/>
              <w:ind w:firstLine="0" w:firstLineChars="0"/>
              <w:jc w:val="center"/>
              <w:rPr>
                <w:sz w:val="21"/>
                <w:szCs w:val="21"/>
                <w:highlight w:val="black"/>
              </w:rPr>
            </w:pPr>
            <w:r>
              <w:rPr>
                <w:sz w:val="21"/>
                <w:szCs w:val="21"/>
                <w:highlight w:val="black"/>
              </w:rPr>
              <w:t>仪器</w:t>
            </w:r>
          </w:p>
        </w:tc>
        <w:tc>
          <w:tcPr>
            <w:tcW w:w="1267" w:type="pct"/>
            <w:tcBorders>
              <w:tl2br w:val="nil"/>
              <w:tr2bl w:val="nil"/>
            </w:tcBorders>
            <w:vAlign w:val="center"/>
          </w:tcPr>
          <w:p w14:paraId="5E611EE4">
            <w:pPr>
              <w:spacing w:line="240" w:lineRule="auto"/>
              <w:ind w:firstLine="0" w:firstLineChars="0"/>
              <w:jc w:val="center"/>
              <w:rPr>
                <w:sz w:val="21"/>
                <w:szCs w:val="21"/>
                <w:highlight w:val="black"/>
              </w:rPr>
            </w:pPr>
            <w:r>
              <w:rPr>
                <w:rFonts w:hint="eastAsia"/>
                <w:sz w:val="21"/>
                <w:szCs w:val="21"/>
                <w:highlight w:val="black"/>
              </w:rPr>
              <w:t>氧气</w:t>
            </w:r>
            <w:r>
              <w:rPr>
                <w:sz w:val="21"/>
                <w:szCs w:val="21"/>
                <w:highlight w:val="black"/>
              </w:rPr>
              <w:t>呼吸器校验仪</w:t>
            </w:r>
          </w:p>
        </w:tc>
        <w:tc>
          <w:tcPr>
            <w:tcW w:w="1982" w:type="pct"/>
            <w:tcBorders>
              <w:tl2br w:val="nil"/>
              <w:tr2bl w:val="nil"/>
            </w:tcBorders>
            <w:vAlign w:val="center"/>
          </w:tcPr>
          <w:p w14:paraId="4EEAF6CE">
            <w:pPr>
              <w:spacing w:line="240" w:lineRule="auto"/>
              <w:ind w:firstLine="0" w:firstLineChars="0"/>
              <w:jc w:val="center"/>
              <w:rPr>
                <w:sz w:val="21"/>
                <w:szCs w:val="21"/>
                <w:highlight w:val="black"/>
              </w:rPr>
            </w:pPr>
            <w:r>
              <w:rPr>
                <w:sz w:val="21"/>
                <w:szCs w:val="21"/>
                <w:highlight w:val="black"/>
              </w:rPr>
              <w:t>检测校验氧气呼吸器性能和技术参数</w:t>
            </w:r>
          </w:p>
        </w:tc>
        <w:tc>
          <w:tcPr>
            <w:tcW w:w="478" w:type="pct"/>
            <w:tcBorders>
              <w:tl2br w:val="nil"/>
              <w:tr2bl w:val="nil"/>
            </w:tcBorders>
            <w:vAlign w:val="center"/>
          </w:tcPr>
          <w:p w14:paraId="270B1ED8">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70AB0E6C">
            <w:pPr>
              <w:spacing w:line="240" w:lineRule="auto"/>
              <w:ind w:firstLine="0" w:firstLineChars="0"/>
              <w:jc w:val="center"/>
              <w:rPr>
                <w:sz w:val="21"/>
                <w:szCs w:val="21"/>
                <w:highlight w:val="black"/>
              </w:rPr>
            </w:pPr>
            <w:r>
              <w:rPr>
                <w:sz w:val="21"/>
                <w:szCs w:val="21"/>
                <w:highlight w:val="black"/>
              </w:rPr>
              <w:t>2</w:t>
            </w:r>
          </w:p>
        </w:tc>
      </w:tr>
      <w:tr w14:paraId="26928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7730FB3A">
            <w:pPr>
              <w:spacing w:line="240" w:lineRule="auto"/>
              <w:ind w:firstLine="0" w:firstLineChars="0"/>
              <w:jc w:val="center"/>
              <w:rPr>
                <w:sz w:val="21"/>
                <w:szCs w:val="21"/>
                <w:highlight w:val="black"/>
              </w:rPr>
            </w:pPr>
          </w:p>
        </w:tc>
        <w:tc>
          <w:tcPr>
            <w:tcW w:w="1267" w:type="pct"/>
            <w:tcBorders>
              <w:tl2br w:val="nil"/>
              <w:tr2bl w:val="nil"/>
            </w:tcBorders>
            <w:vAlign w:val="center"/>
          </w:tcPr>
          <w:p w14:paraId="2D22DFF9">
            <w:pPr>
              <w:spacing w:line="240" w:lineRule="auto"/>
              <w:ind w:firstLine="0" w:firstLineChars="0"/>
              <w:jc w:val="center"/>
              <w:rPr>
                <w:sz w:val="21"/>
                <w:szCs w:val="21"/>
                <w:highlight w:val="black"/>
              </w:rPr>
            </w:pPr>
            <w:r>
              <w:rPr>
                <w:rFonts w:hint="eastAsia"/>
                <w:sz w:val="21"/>
                <w:szCs w:val="21"/>
                <w:highlight w:val="black"/>
              </w:rPr>
              <w:t>多种气体</w:t>
            </w:r>
            <w:r>
              <w:rPr>
                <w:sz w:val="21"/>
                <w:szCs w:val="21"/>
                <w:highlight w:val="black"/>
              </w:rPr>
              <w:t>检定器</w:t>
            </w:r>
          </w:p>
        </w:tc>
        <w:tc>
          <w:tcPr>
            <w:tcW w:w="1982" w:type="pct"/>
            <w:tcBorders>
              <w:tl2br w:val="nil"/>
              <w:tr2bl w:val="nil"/>
            </w:tcBorders>
            <w:vAlign w:val="center"/>
          </w:tcPr>
          <w:p w14:paraId="2DF72FB2">
            <w:pPr>
              <w:spacing w:line="240" w:lineRule="auto"/>
              <w:ind w:firstLine="0" w:firstLineChars="0"/>
              <w:jc w:val="center"/>
              <w:rPr>
                <w:sz w:val="21"/>
                <w:szCs w:val="21"/>
                <w:highlight w:val="black"/>
              </w:rPr>
            </w:pPr>
            <w:r>
              <w:rPr>
                <w:sz w:val="21"/>
                <w:szCs w:val="21"/>
                <w:highlight w:val="black"/>
              </w:rPr>
              <w:t>配备CO、O2、H2S、H2检定管各30支</w:t>
            </w:r>
          </w:p>
        </w:tc>
        <w:tc>
          <w:tcPr>
            <w:tcW w:w="478" w:type="pct"/>
            <w:tcBorders>
              <w:tl2br w:val="nil"/>
              <w:tr2bl w:val="nil"/>
            </w:tcBorders>
            <w:vAlign w:val="center"/>
          </w:tcPr>
          <w:p w14:paraId="7EED8A24">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79D9760B">
            <w:pPr>
              <w:spacing w:line="240" w:lineRule="auto"/>
              <w:ind w:firstLine="0" w:firstLineChars="0"/>
              <w:jc w:val="center"/>
              <w:rPr>
                <w:sz w:val="21"/>
                <w:szCs w:val="21"/>
                <w:highlight w:val="black"/>
              </w:rPr>
            </w:pPr>
            <w:r>
              <w:rPr>
                <w:sz w:val="21"/>
                <w:szCs w:val="21"/>
                <w:highlight w:val="black"/>
              </w:rPr>
              <w:t>2</w:t>
            </w:r>
          </w:p>
        </w:tc>
      </w:tr>
      <w:tr w14:paraId="7AA4F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5DF7A97F">
            <w:pPr>
              <w:spacing w:line="240" w:lineRule="auto"/>
              <w:ind w:firstLine="0" w:firstLineChars="0"/>
              <w:jc w:val="center"/>
              <w:rPr>
                <w:sz w:val="21"/>
                <w:szCs w:val="21"/>
                <w:highlight w:val="black"/>
              </w:rPr>
            </w:pPr>
          </w:p>
        </w:tc>
        <w:tc>
          <w:tcPr>
            <w:tcW w:w="1267" w:type="pct"/>
            <w:tcBorders>
              <w:tl2br w:val="nil"/>
              <w:tr2bl w:val="nil"/>
            </w:tcBorders>
            <w:vAlign w:val="center"/>
          </w:tcPr>
          <w:p w14:paraId="012E5B23">
            <w:pPr>
              <w:spacing w:line="240" w:lineRule="auto"/>
              <w:ind w:firstLine="0" w:firstLineChars="0"/>
              <w:jc w:val="center"/>
              <w:rPr>
                <w:sz w:val="21"/>
                <w:szCs w:val="21"/>
                <w:highlight w:val="black"/>
              </w:rPr>
            </w:pPr>
            <w:r>
              <w:rPr>
                <w:rFonts w:hint="eastAsia"/>
                <w:sz w:val="21"/>
                <w:szCs w:val="21"/>
                <w:highlight w:val="black"/>
              </w:rPr>
              <w:t>便携式</w:t>
            </w:r>
            <w:r>
              <w:rPr>
                <w:sz w:val="21"/>
                <w:szCs w:val="21"/>
                <w:highlight w:val="black"/>
              </w:rPr>
              <w:t>氧气检定器</w:t>
            </w:r>
          </w:p>
        </w:tc>
        <w:tc>
          <w:tcPr>
            <w:tcW w:w="1982" w:type="pct"/>
            <w:tcBorders>
              <w:tl2br w:val="nil"/>
              <w:tr2bl w:val="nil"/>
            </w:tcBorders>
            <w:vAlign w:val="center"/>
          </w:tcPr>
          <w:p w14:paraId="6A6AF3B4">
            <w:pPr>
              <w:spacing w:line="240" w:lineRule="auto"/>
              <w:ind w:firstLine="0" w:firstLineChars="0"/>
              <w:jc w:val="center"/>
              <w:rPr>
                <w:sz w:val="21"/>
                <w:szCs w:val="21"/>
                <w:highlight w:val="black"/>
              </w:rPr>
            </w:pPr>
            <w:r>
              <w:rPr>
                <w:sz w:val="21"/>
                <w:szCs w:val="21"/>
                <w:highlight w:val="black"/>
              </w:rPr>
              <w:t>数字显示，带报警功能</w:t>
            </w:r>
          </w:p>
        </w:tc>
        <w:tc>
          <w:tcPr>
            <w:tcW w:w="478" w:type="pct"/>
            <w:tcBorders>
              <w:tl2br w:val="nil"/>
              <w:tr2bl w:val="nil"/>
            </w:tcBorders>
            <w:vAlign w:val="center"/>
          </w:tcPr>
          <w:p w14:paraId="24141DC1">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32C6407E">
            <w:pPr>
              <w:spacing w:line="240" w:lineRule="auto"/>
              <w:ind w:firstLine="0" w:firstLineChars="0"/>
              <w:jc w:val="center"/>
              <w:rPr>
                <w:sz w:val="21"/>
                <w:szCs w:val="21"/>
                <w:highlight w:val="black"/>
              </w:rPr>
            </w:pPr>
            <w:r>
              <w:rPr>
                <w:sz w:val="21"/>
                <w:szCs w:val="21"/>
                <w:highlight w:val="black"/>
              </w:rPr>
              <w:t>1</w:t>
            </w:r>
          </w:p>
        </w:tc>
      </w:tr>
      <w:tr w14:paraId="2DC09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4C8D98E">
            <w:pPr>
              <w:spacing w:line="240" w:lineRule="auto"/>
              <w:ind w:firstLine="0" w:firstLineChars="0"/>
              <w:jc w:val="center"/>
              <w:rPr>
                <w:sz w:val="21"/>
                <w:szCs w:val="21"/>
                <w:highlight w:val="black"/>
              </w:rPr>
            </w:pPr>
          </w:p>
        </w:tc>
        <w:tc>
          <w:tcPr>
            <w:tcW w:w="1267" w:type="pct"/>
            <w:tcBorders>
              <w:tl2br w:val="nil"/>
              <w:tr2bl w:val="nil"/>
            </w:tcBorders>
            <w:vAlign w:val="center"/>
          </w:tcPr>
          <w:p w14:paraId="484EEF3B">
            <w:pPr>
              <w:spacing w:line="240" w:lineRule="auto"/>
              <w:ind w:firstLine="0" w:firstLineChars="0"/>
              <w:jc w:val="center"/>
              <w:rPr>
                <w:sz w:val="21"/>
                <w:szCs w:val="21"/>
                <w:highlight w:val="black"/>
              </w:rPr>
            </w:pPr>
            <w:r>
              <w:rPr>
                <w:sz w:val="21"/>
                <w:szCs w:val="21"/>
                <w:highlight w:val="black"/>
              </w:rPr>
              <w:t>温度计</w:t>
            </w:r>
          </w:p>
        </w:tc>
        <w:tc>
          <w:tcPr>
            <w:tcW w:w="1982" w:type="pct"/>
            <w:tcBorders>
              <w:tl2br w:val="nil"/>
              <w:tr2bl w:val="nil"/>
            </w:tcBorders>
            <w:vAlign w:val="center"/>
          </w:tcPr>
          <w:p w14:paraId="173C91B0">
            <w:pPr>
              <w:spacing w:line="240" w:lineRule="auto"/>
              <w:ind w:firstLine="0" w:firstLineChars="0"/>
              <w:jc w:val="center"/>
              <w:rPr>
                <w:sz w:val="21"/>
                <w:szCs w:val="21"/>
                <w:highlight w:val="black"/>
              </w:rPr>
            </w:pPr>
            <w:r>
              <w:rPr>
                <w:sz w:val="21"/>
                <w:szCs w:val="21"/>
                <w:highlight w:val="black"/>
              </w:rPr>
              <w:t>0℃</w:t>
            </w:r>
            <w:r>
              <w:rPr>
                <w:rFonts w:hint="eastAsia"/>
                <w:sz w:val="21"/>
                <w:szCs w:val="21"/>
                <w:highlight w:val="black"/>
              </w:rPr>
              <w:t>~</w:t>
            </w:r>
            <w:r>
              <w:rPr>
                <w:sz w:val="21"/>
                <w:szCs w:val="21"/>
                <w:highlight w:val="black"/>
              </w:rPr>
              <w:t>100℃</w:t>
            </w:r>
          </w:p>
        </w:tc>
        <w:tc>
          <w:tcPr>
            <w:tcW w:w="478" w:type="pct"/>
            <w:tcBorders>
              <w:tl2br w:val="nil"/>
              <w:tr2bl w:val="nil"/>
            </w:tcBorders>
            <w:vAlign w:val="center"/>
          </w:tcPr>
          <w:p w14:paraId="09ADCBF5">
            <w:pPr>
              <w:spacing w:line="240" w:lineRule="auto"/>
              <w:ind w:firstLine="0" w:firstLineChars="0"/>
              <w:jc w:val="center"/>
              <w:rPr>
                <w:sz w:val="21"/>
                <w:szCs w:val="21"/>
                <w:highlight w:val="black"/>
              </w:rPr>
            </w:pPr>
            <w:r>
              <w:rPr>
                <w:sz w:val="21"/>
                <w:szCs w:val="21"/>
                <w:highlight w:val="black"/>
              </w:rPr>
              <w:t>支</w:t>
            </w:r>
          </w:p>
        </w:tc>
        <w:tc>
          <w:tcPr>
            <w:tcW w:w="478" w:type="pct"/>
            <w:tcBorders>
              <w:tl2br w:val="nil"/>
              <w:tr2bl w:val="nil"/>
            </w:tcBorders>
            <w:vAlign w:val="center"/>
          </w:tcPr>
          <w:p w14:paraId="6B762043">
            <w:pPr>
              <w:spacing w:line="240" w:lineRule="auto"/>
              <w:ind w:firstLine="0" w:firstLineChars="0"/>
              <w:jc w:val="center"/>
              <w:rPr>
                <w:sz w:val="21"/>
                <w:szCs w:val="21"/>
                <w:highlight w:val="black"/>
              </w:rPr>
            </w:pPr>
            <w:r>
              <w:rPr>
                <w:sz w:val="21"/>
                <w:szCs w:val="21"/>
                <w:highlight w:val="black"/>
              </w:rPr>
              <w:t>2</w:t>
            </w:r>
          </w:p>
        </w:tc>
      </w:tr>
      <w:tr w14:paraId="4D8FF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restart"/>
            <w:tcBorders>
              <w:tl2br w:val="nil"/>
              <w:tr2bl w:val="nil"/>
            </w:tcBorders>
            <w:vAlign w:val="center"/>
          </w:tcPr>
          <w:p w14:paraId="502B0CF9">
            <w:pPr>
              <w:spacing w:line="240" w:lineRule="auto"/>
              <w:ind w:firstLine="0" w:firstLineChars="0"/>
              <w:jc w:val="center"/>
              <w:rPr>
                <w:sz w:val="21"/>
                <w:szCs w:val="21"/>
                <w:highlight w:val="black"/>
              </w:rPr>
            </w:pPr>
            <w:r>
              <w:rPr>
                <w:sz w:val="21"/>
                <w:szCs w:val="21"/>
                <w:highlight w:val="black"/>
              </w:rPr>
              <w:t>工具</w:t>
            </w:r>
          </w:p>
          <w:p w14:paraId="1E9D79EF">
            <w:pPr>
              <w:spacing w:line="240" w:lineRule="auto"/>
              <w:ind w:firstLine="0" w:firstLineChars="0"/>
              <w:jc w:val="center"/>
              <w:rPr>
                <w:sz w:val="21"/>
                <w:szCs w:val="21"/>
                <w:highlight w:val="black"/>
              </w:rPr>
            </w:pPr>
            <w:r>
              <w:rPr>
                <w:rFonts w:hint="eastAsia"/>
                <w:sz w:val="21"/>
                <w:szCs w:val="21"/>
                <w:highlight w:val="black"/>
              </w:rPr>
              <w:t>备品</w:t>
            </w:r>
          </w:p>
        </w:tc>
        <w:tc>
          <w:tcPr>
            <w:tcW w:w="1267" w:type="pct"/>
            <w:tcBorders>
              <w:tl2br w:val="nil"/>
              <w:tr2bl w:val="nil"/>
            </w:tcBorders>
            <w:vAlign w:val="center"/>
          </w:tcPr>
          <w:p w14:paraId="1A5B989F">
            <w:pPr>
              <w:spacing w:line="240" w:lineRule="auto"/>
              <w:ind w:firstLine="0" w:firstLineChars="0"/>
              <w:jc w:val="center"/>
              <w:rPr>
                <w:sz w:val="21"/>
                <w:szCs w:val="21"/>
                <w:highlight w:val="black"/>
              </w:rPr>
            </w:pPr>
            <w:r>
              <w:rPr>
                <w:rFonts w:hint="eastAsia"/>
                <w:sz w:val="21"/>
                <w:szCs w:val="21"/>
                <w:highlight w:val="black"/>
              </w:rPr>
              <w:t>引路线</w:t>
            </w:r>
          </w:p>
        </w:tc>
        <w:tc>
          <w:tcPr>
            <w:tcW w:w="1982" w:type="pct"/>
            <w:tcBorders>
              <w:tl2br w:val="nil"/>
              <w:tr2bl w:val="nil"/>
            </w:tcBorders>
            <w:vAlign w:val="center"/>
          </w:tcPr>
          <w:p w14:paraId="46FADA96">
            <w:pPr>
              <w:spacing w:line="240" w:lineRule="auto"/>
              <w:ind w:firstLine="0" w:firstLineChars="0"/>
              <w:jc w:val="center"/>
              <w:rPr>
                <w:sz w:val="21"/>
                <w:szCs w:val="21"/>
                <w:highlight w:val="black"/>
              </w:rPr>
            </w:pPr>
            <w:r>
              <w:rPr>
                <w:sz w:val="21"/>
                <w:szCs w:val="21"/>
                <w:highlight w:val="black"/>
              </w:rPr>
              <w:t>阻燃、防静电、抗拉</w:t>
            </w:r>
          </w:p>
        </w:tc>
        <w:tc>
          <w:tcPr>
            <w:tcW w:w="478" w:type="pct"/>
            <w:tcBorders>
              <w:tl2br w:val="nil"/>
              <w:tr2bl w:val="nil"/>
            </w:tcBorders>
            <w:vAlign w:val="center"/>
          </w:tcPr>
          <w:p w14:paraId="20A089A1">
            <w:pPr>
              <w:spacing w:line="240" w:lineRule="auto"/>
              <w:ind w:firstLine="0" w:firstLineChars="0"/>
              <w:jc w:val="center"/>
              <w:rPr>
                <w:sz w:val="21"/>
                <w:szCs w:val="21"/>
                <w:highlight w:val="black"/>
              </w:rPr>
            </w:pPr>
            <w:r>
              <w:rPr>
                <w:rFonts w:hint="eastAsia"/>
                <w:sz w:val="21"/>
                <w:szCs w:val="21"/>
                <w:highlight w:val="black"/>
              </w:rPr>
              <w:t>m</w:t>
            </w:r>
          </w:p>
        </w:tc>
        <w:tc>
          <w:tcPr>
            <w:tcW w:w="478" w:type="pct"/>
            <w:tcBorders>
              <w:tl2br w:val="nil"/>
              <w:tr2bl w:val="nil"/>
            </w:tcBorders>
            <w:vAlign w:val="center"/>
          </w:tcPr>
          <w:p w14:paraId="49CCB6DC">
            <w:pPr>
              <w:spacing w:line="240" w:lineRule="auto"/>
              <w:ind w:firstLine="0" w:firstLineChars="0"/>
              <w:jc w:val="center"/>
              <w:rPr>
                <w:sz w:val="21"/>
                <w:szCs w:val="21"/>
                <w:highlight w:val="black"/>
              </w:rPr>
            </w:pPr>
            <w:r>
              <w:rPr>
                <w:rFonts w:hint="eastAsia"/>
                <w:sz w:val="21"/>
                <w:szCs w:val="21"/>
                <w:highlight w:val="black"/>
              </w:rPr>
              <w:t>1000</w:t>
            </w:r>
          </w:p>
        </w:tc>
      </w:tr>
      <w:tr w14:paraId="12DB7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76F0C2F">
            <w:pPr>
              <w:spacing w:line="240" w:lineRule="auto"/>
              <w:ind w:firstLine="0" w:firstLineChars="0"/>
              <w:jc w:val="center"/>
              <w:rPr>
                <w:sz w:val="21"/>
                <w:szCs w:val="21"/>
                <w:highlight w:val="black"/>
              </w:rPr>
            </w:pPr>
          </w:p>
        </w:tc>
        <w:tc>
          <w:tcPr>
            <w:tcW w:w="1267" w:type="pct"/>
            <w:tcBorders>
              <w:tl2br w:val="nil"/>
              <w:tr2bl w:val="nil"/>
            </w:tcBorders>
            <w:vAlign w:val="center"/>
          </w:tcPr>
          <w:p w14:paraId="6A333153">
            <w:pPr>
              <w:spacing w:line="240" w:lineRule="auto"/>
              <w:ind w:firstLine="0" w:firstLineChars="0"/>
              <w:jc w:val="center"/>
              <w:rPr>
                <w:sz w:val="21"/>
                <w:szCs w:val="21"/>
                <w:highlight w:val="black"/>
              </w:rPr>
            </w:pPr>
            <w:r>
              <w:rPr>
                <w:sz w:val="21"/>
                <w:szCs w:val="21"/>
                <w:highlight w:val="black"/>
              </w:rPr>
              <w:t>采气样工具</w:t>
            </w:r>
          </w:p>
        </w:tc>
        <w:tc>
          <w:tcPr>
            <w:tcW w:w="1982" w:type="pct"/>
            <w:tcBorders>
              <w:tl2br w:val="nil"/>
              <w:tr2bl w:val="nil"/>
            </w:tcBorders>
            <w:vAlign w:val="center"/>
          </w:tcPr>
          <w:p w14:paraId="48F83D94">
            <w:pPr>
              <w:spacing w:line="240" w:lineRule="auto"/>
              <w:ind w:firstLine="0" w:firstLineChars="0"/>
              <w:jc w:val="center"/>
              <w:rPr>
                <w:sz w:val="21"/>
                <w:szCs w:val="21"/>
                <w:highlight w:val="black"/>
              </w:rPr>
            </w:pPr>
            <w:r>
              <w:rPr>
                <w:sz w:val="21"/>
                <w:szCs w:val="21"/>
                <w:highlight w:val="black"/>
              </w:rPr>
              <w:t>包括球胆4个</w:t>
            </w:r>
          </w:p>
        </w:tc>
        <w:tc>
          <w:tcPr>
            <w:tcW w:w="478" w:type="pct"/>
            <w:tcBorders>
              <w:tl2br w:val="nil"/>
              <w:tr2bl w:val="nil"/>
            </w:tcBorders>
            <w:vAlign w:val="center"/>
          </w:tcPr>
          <w:p w14:paraId="765F3D57">
            <w:pPr>
              <w:spacing w:line="240" w:lineRule="auto"/>
              <w:ind w:firstLine="0" w:firstLineChars="0"/>
              <w:jc w:val="center"/>
              <w:rPr>
                <w:sz w:val="21"/>
                <w:szCs w:val="21"/>
                <w:highlight w:val="black"/>
              </w:rPr>
            </w:pPr>
            <w:r>
              <w:rPr>
                <w:sz w:val="21"/>
                <w:szCs w:val="21"/>
                <w:highlight w:val="black"/>
              </w:rPr>
              <w:t>套</w:t>
            </w:r>
          </w:p>
        </w:tc>
        <w:tc>
          <w:tcPr>
            <w:tcW w:w="478" w:type="pct"/>
            <w:tcBorders>
              <w:tl2br w:val="nil"/>
              <w:tr2bl w:val="nil"/>
            </w:tcBorders>
            <w:vAlign w:val="center"/>
          </w:tcPr>
          <w:p w14:paraId="3EC125FF">
            <w:pPr>
              <w:spacing w:line="240" w:lineRule="auto"/>
              <w:ind w:firstLine="0" w:firstLineChars="0"/>
              <w:jc w:val="center"/>
              <w:rPr>
                <w:sz w:val="21"/>
                <w:szCs w:val="21"/>
                <w:highlight w:val="black"/>
              </w:rPr>
            </w:pPr>
            <w:r>
              <w:rPr>
                <w:sz w:val="21"/>
                <w:szCs w:val="21"/>
                <w:highlight w:val="black"/>
              </w:rPr>
              <w:t>1</w:t>
            </w:r>
          </w:p>
        </w:tc>
      </w:tr>
      <w:tr w14:paraId="097EB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0870891A">
            <w:pPr>
              <w:spacing w:line="240" w:lineRule="auto"/>
              <w:ind w:firstLine="0" w:firstLineChars="0"/>
              <w:jc w:val="center"/>
              <w:rPr>
                <w:sz w:val="21"/>
                <w:szCs w:val="21"/>
                <w:highlight w:val="black"/>
              </w:rPr>
            </w:pPr>
          </w:p>
        </w:tc>
        <w:tc>
          <w:tcPr>
            <w:tcW w:w="1267" w:type="pct"/>
            <w:tcBorders>
              <w:tl2br w:val="nil"/>
              <w:tr2bl w:val="nil"/>
            </w:tcBorders>
            <w:vAlign w:val="center"/>
          </w:tcPr>
          <w:p w14:paraId="60485EF8">
            <w:pPr>
              <w:spacing w:line="240" w:lineRule="auto"/>
              <w:ind w:firstLine="0" w:firstLineChars="0"/>
              <w:jc w:val="center"/>
              <w:rPr>
                <w:sz w:val="21"/>
                <w:szCs w:val="21"/>
                <w:highlight w:val="black"/>
              </w:rPr>
            </w:pPr>
            <w:r>
              <w:rPr>
                <w:sz w:val="21"/>
                <w:szCs w:val="21"/>
                <w:highlight w:val="black"/>
              </w:rPr>
              <w:t>氧气充填泵</w:t>
            </w:r>
          </w:p>
        </w:tc>
        <w:tc>
          <w:tcPr>
            <w:tcW w:w="1982" w:type="pct"/>
            <w:tcBorders>
              <w:tl2br w:val="nil"/>
              <w:tr2bl w:val="nil"/>
            </w:tcBorders>
            <w:vAlign w:val="center"/>
          </w:tcPr>
          <w:p w14:paraId="53703698">
            <w:pPr>
              <w:spacing w:line="240" w:lineRule="auto"/>
              <w:ind w:firstLine="0" w:firstLineChars="0"/>
              <w:jc w:val="center"/>
              <w:rPr>
                <w:sz w:val="21"/>
                <w:szCs w:val="21"/>
                <w:highlight w:val="black"/>
              </w:rPr>
            </w:pPr>
            <w:r>
              <w:rPr>
                <w:sz w:val="21"/>
                <w:szCs w:val="21"/>
                <w:highlight w:val="black"/>
              </w:rPr>
              <w:t>氧气充填室配备</w:t>
            </w:r>
          </w:p>
        </w:tc>
        <w:tc>
          <w:tcPr>
            <w:tcW w:w="478" w:type="pct"/>
            <w:tcBorders>
              <w:tl2br w:val="nil"/>
              <w:tr2bl w:val="nil"/>
            </w:tcBorders>
            <w:vAlign w:val="center"/>
          </w:tcPr>
          <w:p w14:paraId="12EB51A5">
            <w:pPr>
              <w:spacing w:line="240" w:lineRule="auto"/>
              <w:ind w:firstLine="0" w:firstLineChars="0"/>
              <w:jc w:val="center"/>
              <w:rPr>
                <w:sz w:val="21"/>
                <w:szCs w:val="21"/>
                <w:highlight w:val="black"/>
              </w:rPr>
            </w:pPr>
            <w:r>
              <w:rPr>
                <w:sz w:val="21"/>
                <w:szCs w:val="21"/>
                <w:highlight w:val="black"/>
              </w:rPr>
              <w:t>台</w:t>
            </w:r>
          </w:p>
        </w:tc>
        <w:tc>
          <w:tcPr>
            <w:tcW w:w="478" w:type="pct"/>
            <w:tcBorders>
              <w:tl2br w:val="nil"/>
              <w:tr2bl w:val="nil"/>
            </w:tcBorders>
            <w:vAlign w:val="center"/>
          </w:tcPr>
          <w:p w14:paraId="68A7D40C">
            <w:pPr>
              <w:spacing w:line="240" w:lineRule="auto"/>
              <w:ind w:firstLine="0" w:firstLineChars="0"/>
              <w:jc w:val="center"/>
              <w:rPr>
                <w:sz w:val="21"/>
                <w:szCs w:val="21"/>
                <w:highlight w:val="black"/>
              </w:rPr>
            </w:pPr>
            <w:r>
              <w:rPr>
                <w:sz w:val="21"/>
                <w:szCs w:val="21"/>
                <w:highlight w:val="black"/>
              </w:rPr>
              <w:t>1</w:t>
            </w:r>
          </w:p>
        </w:tc>
      </w:tr>
      <w:tr w14:paraId="04F76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5D53E12D">
            <w:pPr>
              <w:spacing w:line="240" w:lineRule="auto"/>
              <w:ind w:firstLine="0" w:firstLineChars="0"/>
              <w:jc w:val="center"/>
              <w:rPr>
                <w:sz w:val="21"/>
                <w:szCs w:val="21"/>
                <w:highlight w:val="black"/>
              </w:rPr>
            </w:pPr>
          </w:p>
        </w:tc>
        <w:tc>
          <w:tcPr>
            <w:tcW w:w="1267" w:type="pct"/>
            <w:vMerge w:val="restart"/>
            <w:tcBorders>
              <w:tl2br w:val="nil"/>
              <w:tr2bl w:val="nil"/>
            </w:tcBorders>
            <w:vAlign w:val="center"/>
          </w:tcPr>
          <w:p w14:paraId="75F27674">
            <w:pPr>
              <w:spacing w:line="240" w:lineRule="auto"/>
              <w:ind w:firstLine="0" w:firstLineChars="0"/>
              <w:jc w:val="center"/>
              <w:rPr>
                <w:sz w:val="21"/>
                <w:szCs w:val="21"/>
                <w:highlight w:val="black"/>
              </w:rPr>
            </w:pPr>
            <w:r>
              <w:rPr>
                <w:sz w:val="21"/>
                <w:szCs w:val="21"/>
                <w:highlight w:val="black"/>
              </w:rPr>
              <w:t>氧气瓶</w:t>
            </w:r>
          </w:p>
        </w:tc>
        <w:tc>
          <w:tcPr>
            <w:tcW w:w="1982" w:type="pct"/>
            <w:tcBorders>
              <w:tl2br w:val="nil"/>
              <w:tr2bl w:val="nil"/>
            </w:tcBorders>
            <w:vAlign w:val="center"/>
          </w:tcPr>
          <w:p w14:paraId="71B72AB0">
            <w:pPr>
              <w:spacing w:line="240" w:lineRule="auto"/>
              <w:ind w:firstLine="0" w:firstLineChars="0"/>
              <w:jc w:val="center"/>
              <w:rPr>
                <w:sz w:val="21"/>
                <w:szCs w:val="21"/>
                <w:highlight w:val="black"/>
              </w:rPr>
            </w:pPr>
            <w:r>
              <w:rPr>
                <w:sz w:val="21"/>
                <w:szCs w:val="21"/>
                <w:highlight w:val="black"/>
              </w:rPr>
              <w:t>容积40L，压力≥10MPa</w:t>
            </w:r>
          </w:p>
        </w:tc>
        <w:tc>
          <w:tcPr>
            <w:tcW w:w="478" w:type="pct"/>
            <w:tcBorders>
              <w:tl2br w:val="nil"/>
              <w:tr2bl w:val="nil"/>
            </w:tcBorders>
            <w:vAlign w:val="center"/>
          </w:tcPr>
          <w:p w14:paraId="1AED872B">
            <w:pPr>
              <w:spacing w:line="240" w:lineRule="auto"/>
              <w:ind w:firstLine="0" w:firstLineChars="0"/>
              <w:jc w:val="center"/>
              <w:rPr>
                <w:sz w:val="21"/>
                <w:szCs w:val="21"/>
                <w:highlight w:val="black"/>
              </w:rPr>
            </w:pPr>
            <w:r>
              <w:rPr>
                <w:sz w:val="21"/>
                <w:szCs w:val="21"/>
                <w:highlight w:val="black"/>
              </w:rPr>
              <w:t>个</w:t>
            </w:r>
          </w:p>
        </w:tc>
        <w:tc>
          <w:tcPr>
            <w:tcW w:w="478" w:type="pct"/>
            <w:tcBorders>
              <w:tl2br w:val="nil"/>
              <w:tr2bl w:val="nil"/>
            </w:tcBorders>
            <w:vAlign w:val="center"/>
          </w:tcPr>
          <w:p w14:paraId="25673F62">
            <w:pPr>
              <w:spacing w:line="240" w:lineRule="auto"/>
              <w:ind w:firstLine="0" w:firstLineChars="0"/>
              <w:jc w:val="center"/>
              <w:rPr>
                <w:sz w:val="21"/>
                <w:szCs w:val="21"/>
                <w:highlight w:val="black"/>
              </w:rPr>
            </w:pPr>
            <w:r>
              <w:rPr>
                <w:sz w:val="21"/>
                <w:szCs w:val="21"/>
                <w:highlight w:val="black"/>
              </w:rPr>
              <w:t>5</w:t>
            </w:r>
          </w:p>
        </w:tc>
      </w:tr>
      <w:tr w14:paraId="213CA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21F2733">
            <w:pPr>
              <w:spacing w:line="240" w:lineRule="auto"/>
              <w:ind w:firstLine="0" w:firstLineChars="0"/>
              <w:jc w:val="center"/>
              <w:rPr>
                <w:sz w:val="21"/>
                <w:szCs w:val="21"/>
                <w:highlight w:val="black"/>
              </w:rPr>
            </w:pPr>
          </w:p>
        </w:tc>
        <w:tc>
          <w:tcPr>
            <w:tcW w:w="1267" w:type="pct"/>
            <w:vMerge w:val="continue"/>
            <w:tcBorders>
              <w:tl2br w:val="nil"/>
              <w:tr2bl w:val="nil"/>
            </w:tcBorders>
            <w:vAlign w:val="center"/>
          </w:tcPr>
          <w:p w14:paraId="202F9D74">
            <w:pPr>
              <w:spacing w:line="240" w:lineRule="auto"/>
              <w:ind w:firstLine="0" w:firstLineChars="0"/>
              <w:jc w:val="center"/>
              <w:rPr>
                <w:sz w:val="21"/>
                <w:szCs w:val="21"/>
                <w:highlight w:val="black"/>
              </w:rPr>
            </w:pPr>
          </w:p>
        </w:tc>
        <w:tc>
          <w:tcPr>
            <w:tcW w:w="1982" w:type="pct"/>
            <w:tcBorders>
              <w:tl2br w:val="nil"/>
              <w:tr2bl w:val="nil"/>
            </w:tcBorders>
            <w:vAlign w:val="center"/>
          </w:tcPr>
          <w:p w14:paraId="5DB84162">
            <w:pPr>
              <w:spacing w:line="240" w:lineRule="auto"/>
              <w:ind w:firstLine="0" w:firstLineChars="0"/>
              <w:jc w:val="center"/>
              <w:rPr>
                <w:sz w:val="21"/>
                <w:szCs w:val="21"/>
                <w:highlight w:val="black"/>
              </w:rPr>
            </w:pPr>
            <w:r>
              <w:rPr>
                <w:sz w:val="21"/>
                <w:szCs w:val="21"/>
                <w:highlight w:val="black"/>
              </w:rPr>
              <w:t>氧气呼吸器配套气瓶</w:t>
            </w:r>
          </w:p>
        </w:tc>
        <w:tc>
          <w:tcPr>
            <w:tcW w:w="478" w:type="pct"/>
            <w:tcBorders>
              <w:tl2br w:val="nil"/>
              <w:tr2bl w:val="nil"/>
            </w:tcBorders>
            <w:vAlign w:val="center"/>
          </w:tcPr>
          <w:p w14:paraId="00B12911">
            <w:pPr>
              <w:spacing w:line="240" w:lineRule="auto"/>
              <w:ind w:firstLine="0" w:firstLineChars="0"/>
              <w:jc w:val="center"/>
              <w:rPr>
                <w:sz w:val="21"/>
                <w:szCs w:val="21"/>
                <w:highlight w:val="black"/>
              </w:rPr>
            </w:pPr>
            <w:r>
              <w:rPr>
                <w:sz w:val="21"/>
                <w:szCs w:val="21"/>
                <w:highlight w:val="black"/>
              </w:rPr>
              <w:t>个</w:t>
            </w:r>
          </w:p>
        </w:tc>
        <w:tc>
          <w:tcPr>
            <w:tcW w:w="478" w:type="pct"/>
            <w:tcBorders>
              <w:tl2br w:val="nil"/>
              <w:tr2bl w:val="nil"/>
            </w:tcBorders>
            <w:vAlign w:val="center"/>
          </w:tcPr>
          <w:p w14:paraId="27812A33">
            <w:pPr>
              <w:spacing w:line="240" w:lineRule="auto"/>
              <w:ind w:firstLine="0" w:firstLineChars="0"/>
              <w:jc w:val="center"/>
              <w:rPr>
                <w:sz w:val="21"/>
                <w:szCs w:val="21"/>
                <w:highlight w:val="black"/>
              </w:rPr>
            </w:pPr>
            <w:r>
              <w:rPr>
                <w:sz w:val="21"/>
                <w:szCs w:val="21"/>
                <w:highlight w:val="black"/>
              </w:rPr>
              <w:t>20</w:t>
            </w:r>
          </w:p>
        </w:tc>
      </w:tr>
      <w:tr w14:paraId="459D5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E3D4668">
            <w:pPr>
              <w:spacing w:line="240" w:lineRule="auto"/>
              <w:ind w:firstLine="0" w:firstLineChars="0"/>
              <w:jc w:val="center"/>
              <w:rPr>
                <w:sz w:val="21"/>
                <w:szCs w:val="21"/>
                <w:highlight w:val="black"/>
              </w:rPr>
            </w:pPr>
          </w:p>
        </w:tc>
        <w:tc>
          <w:tcPr>
            <w:tcW w:w="1267" w:type="pct"/>
            <w:vMerge w:val="continue"/>
            <w:tcBorders>
              <w:tl2br w:val="nil"/>
              <w:tr2bl w:val="nil"/>
            </w:tcBorders>
            <w:vAlign w:val="center"/>
          </w:tcPr>
          <w:p w14:paraId="7FC2D603">
            <w:pPr>
              <w:spacing w:line="240" w:lineRule="auto"/>
              <w:ind w:firstLine="0" w:firstLineChars="0"/>
              <w:jc w:val="center"/>
              <w:rPr>
                <w:sz w:val="21"/>
                <w:szCs w:val="21"/>
                <w:highlight w:val="black"/>
              </w:rPr>
            </w:pPr>
          </w:p>
        </w:tc>
        <w:tc>
          <w:tcPr>
            <w:tcW w:w="1982" w:type="pct"/>
            <w:tcBorders>
              <w:tl2br w:val="nil"/>
              <w:tr2bl w:val="nil"/>
            </w:tcBorders>
            <w:vAlign w:val="center"/>
          </w:tcPr>
          <w:p w14:paraId="70992B8F">
            <w:pPr>
              <w:spacing w:line="240" w:lineRule="auto"/>
              <w:ind w:firstLine="0" w:firstLineChars="0"/>
              <w:jc w:val="center"/>
              <w:rPr>
                <w:sz w:val="21"/>
                <w:szCs w:val="21"/>
                <w:highlight w:val="black"/>
              </w:rPr>
            </w:pPr>
            <w:r>
              <w:rPr>
                <w:sz w:val="21"/>
                <w:szCs w:val="21"/>
                <w:highlight w:val="black"/>
              </w:rPr>
              <w:t>自动苏生器配套气瓶</w:t>
            </w:r>
          </w:p>
        </w:tc>
        <w:tc>
          <w:tcPr>
            <w:tcW w:w="478" w:type="pct"/>
            <w:tcBorders>
              <w:tl2br w:val="nil"/>
              <w:tr2bl w:val="nil"/>
            </w:tcBorders>
            <w:vAlign w:val="center"/>
          </w:tcPr>
          <w:p w14:paraId="3F28F5ED">
            <w:pPr>
              <w:spacing w:line="240" w:lineRule="auto"/>
              <w:ind w:firstLine="0" w:firstLineChars="0"/>
              <w:jc w:val="center"/>
              <w:rPr>
                <w:sz w:val="21"/>
                <w:szCs w:val="21"/>
                <w:highlight w:val="black"/>
              </w:rPr>
            </w:pPr>
            <w:r>
              <w:rPr>
                <w:sz w:val="21"/>
                <w:szCs w:val="21"/>
                <w:highlight w:val="black"/>
              </w:rPr>
              <w:t>个</w:t>
            </w:r>
          </w:p>
        </w:tc>
        <w:tc>
          <w:tcPr>
            <w:tcW w:w="478" w:type="pct"/>
            <w:tcBorders>
              <w:tl2br w:val="nil"/>
              <w:tr2bl w:val="nil"/>
            </w:tcBorders>
            <w:vAlign w:val="center"/>
          </w:tcPr>
          <w:p w14:paraId="216F4B02">
            <w:pPr>
              <w:spacing w:line="240" w:lineRule="auto"/>
              <w:ind w:firstLine="0" w:firstLineChars="0"/>
              <w:jc w:val="center"/>
              <w:rPr>
                <w:sz w:val="21"/>
                <w:szCs w:val="21"/>
                <w:highlight w:val="black"/>
              </w:rPr>
            </w:pPr>
            <w:r>
              <w:rPr>
                <w:rFonts w:hint="eastAsia"/>
                <w:sz w:val="21"/>
                <w:szCs w:val="21"/>
                <w:highlight w:val="black"/>
              </w:rPr>
              <w:t>2</w:t>
            </w:r>
          </w:p>
        </w:tc>
      </w:tr>
      <w:tr w14:paraId="60155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3F434065">
            <w:pPr>
              <w:spacing w:line="240" w:lineRule="auto"/>
              <w:ind w:firstLine="0" w:firstLineChars="0"/>
              <w:jc w:val="center"/>
              <w:rPr>
                <w:sz w:val="21"/>
                <w:szCs w:val="21"/>
                <w:highlight w:val="black"/>
              </w:rPr>
            </w:pPr>
          </w:p>
        </w:tc>
        <w:tc>
          <w:tcPr>
            <w:tcW w:w="1267" w:type="pct"/>
            <w:tcBorders>
              <w:tl2br w:val="nil"/>
              <w:tr2bl w:val="nil"/>
            </w:tcBorders>
            <w:vAlign w:val="center"/>
          </w:tcPr>
          <w:p w14:paraId="120A405B">
            <w:pPr>
              <w:spacing w:line="240" w:lineRule="auto"/>
              <w:ind w:firstLine="0" w:firstLineChars="0"/>
              <w:jc w:val="center"/>
              <w:rPr>
                <w:sz w:val="21"/>
                <w:szCs w:val="21"/>
                <w:highlight w:val="black"/>
              </w:rPr>
            </w:pPr>
            <w:r>
              <w:rPr>
                <w:sz w:val="21"/>
                <w:szCs w:val="21"/>
                <w:highlight w:val="black"/>
              </w:rPr>
              <w:t>救生索</w:t>
            </w:r>
          </w:p>
        </w:tc>
        <w:tc>
          <w:tcPr>
            <w:tcW w:w="1982" w:type="pct"/>
            <w:tcBorders>
              <w:tl2br w:val="nil"/>
              <w:tr2bl w:val="nil"/>
            </w:tcBorders>
            <w:vAlign w:val="center"/>
          </w:tcPr>
          <w:p w14:paraId="2E53987C">
            <w:pPr>
              <w:spacing w:line="240" w:lineRule="auto"/>
              <w:ind w:firstLine="0" w:firstLineChars="0"/>
              <w:jc w:val="center"/>
              <w:rPr>
                <w:sz w:val="21"/>
                <w:szCs w:val="21"/>
                <w:highlight w:val="black"/>
              </w:rPr>
            </w:pPr>
            <w:r>
              <w:rPr>
                <w:sz w:val="21"/>
                <w:szCs w:val="21"/>
                <w:highlight w:val="black"/>
              </w:rPr>
              <w:t>长30m</w:t>
            </w:r>
            <w:r>
              <w:rPr>
                <w:rFonts w:hint="eastAsia"/>
                <w:sz w:val="21"/>
                <w:szCs w:val="21"/>
                <w:highlight w:val="black"/>
              </w:rPr>
              <w:t>，</w:t>
            </w:r>
            <w:r>
              <w:rPr>
                <w:sz w:val="21"/>
                <w:szCs w:val="21"/>
                <w:highlight w:val="black"/>
              </w:rPr>
              <w:t>抗拉强度3000kg</w:t>
            </w:r>
          </w:p>
        </w:tc>
        <w:tc>
          <w:tcPr>
            <w:tcW w:w="478" w:type="pct"/>
            <w:tcBorders>
              <w:tl2br w:val="nil"/>
              <w:tr2bl w:val="nil"/>
            </w:tcBorders>
            <w:vAlign w:val="center"/>
          </w:tcPr>
          <w:p w14:paraId="580D9414">
            <w:pPr>
              <w:spacing w:line="240" w:lineRule="auto"/>
              <w:ind w:firstLine="0" w:firstLineChars="0"/>
              <w:jc w:val="center"/>
              <w:rPr>
                <w:sz w:val="21"/>
                <w:szCs w:val="21"/>
                <w:highlight w:val="black"/>
              </w:rPr>
            </w:pPr>
            <w:r>
              <w:rPr>
                <w:sz w:val="21"/>
                <w:szCs w:val="21"/>
                <w:highlight w:val="black"/>
              </w:rPr>
              <w:t>条</w:t>
            </w:r>
          </w:p>
        </w:tc>
        <w:tc>
          <w:tcPr>
            <w:tcW w:w="478" w:type="pct"/>
            <w:tcBorders>
              <w:tl2br w:val="nil"/>
              <w:tr2bl w:val="nil"/>
            </w:tcBorders>
            <w:vAlign w:val="center"/>
          </w:tcPr>
          <w:p w14:paraId="1BF6A49A">
            <w:pPr>
              <w:spacing w:line="240" w:lineRule="auto"/>
              <w:ind w:firstLine="0" w:firstLineChars="0"/>
              <w:jc w:val="center"/>
              <w:rPr>
                <w:sz w:val="21"/>
                <w:szCs w:val="21"/>
                <w:highlight w:val="black"/>
              </w:rPr>
            </w:pPr>
            <w:r>
              <w:rPr>
                <w:sz w:val="21"/>
                <w:szCs w:val="21"/>
                <w:highlight w:val="black"/>
              </w:rPr>
              <w:t>1</w:t>
            </w:r>
          </w:p>
        </w:tc>
      </w:tr>
      <w:tr w14:paraId="724B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E193324">
            <w:pPr>
              <w:spacing w:line="240" w:lineRule="auto"/>
              <w:ind w:firstLine="0" w:firstLineChars="0"/>
              <w:jc w:val="center"/>
              <w:rPr>
                <w:sz w:val="21"/>
                <w:szCs w:val="21"/>
                <w:highlight w:val="black"/>
              </w:rPr>
            </w:pPr>
          </w:p>
        </w:tc>
        <w:tc>
          <w:tcPr>
            <w:tcW w:w="1267" w:type="pct"/>
            <w:tcBorders>
              <w:tl2br w:val="nil"/>
              <w:tr2bl w:val="nil"/>
            </w:tcBorders>
            <w:vAlign w:val="center"/>
          </w:tcPr>
          <w:p w14:paraId="17CBB968">
            <w:pPr>
              <w:spacing w:line="240" w:lineRule="auto"/>
              <w:ind w:firstLine="0" w:firstLineChars="0"/>
              <w:jc w:val="center"/>
              <w:rPr>
                <w:sz w:val="21"/>
                <w:szCs w:val="21"/>
                <w:highlight w:val="black"/>
              </w:rPr>
            </w:pPr>
            <w:r>
              <w:rPr>
                <w:sz w:val="21"/>
                <w:szCs w:val="21"/>
                <w:highlight w:val="black"/>
              </w:rPr>
              <w:t>担架</w:t>
            </w:r>
          </w:p>
        </w:tc>
        <w:tc>
          <w:tcPr>
            <w:tcW w:w="1982" w:type="pct"/>
            <w:tcBorders>
              <w:tl2br w:val="nil"/>
              <w:tr2bl w:val="nil"/>
            </w:tcBorders>
            <w:vAlign w:val="center"/>
          </w:tcPr>
          <w:p w14:paraId="7D948FA3">
            <w:pPr>
              <w:spacing w:line="240" w:lineRule="auto"/>
              <w:ind w:firstLine="0" w:firstLineChars="0"/>
              <w:jc w:val="center"/>
              <w:rPr>
                <w:sz w:val="21"/>
                <w:szCs w:val="21"/>
                <w:highlight w:val="black"/>
              </w:rPr>
            </w:pPr>
            <w:r>
              <w:rPr>
                <w:sz w:val="21"/>
                <w:szCs w:val="21"/>
                <w:highlight w:val="black"/>
              </w:rPr>
              <w:t>含1副负压担架，铝合金管、棉质</w:t>
            </w:r>
          </w:p>
        </w:tc>
        <w:tc>
          <w:tcPr>
            <w:tcW w:w="478" w:type="pct"/>
            <w:tcBorders>
              <w:tl2br w:val="nil"/>
              <w:tr2bl w:val="nil"/>
            </w:tcBorders>
            <w:vAlign w:val="center"/>
          </w:tcPr>
          <w:p w14:paraId="47575DA5">
            <w:pPr>
              <w:spacing w:line="240" w:lineRule="auto"/>
              <w:ind w:firstLine="0" w:firstLineChars="0"/>
              <w:jc w:val="center"/>
              <w:rPr>
                <w:sz w:val="21"/>
                <w:szCs w:val="21"/>
                <w:highlight w:val="black"/>
              </w:rPr>
            </w:pPr>
            <w:r>
              <w:rPr>
                <w:sz w:val="21"/>
                <w:szCs w:val="21"/>
                <w:highlight w:val="black"/>
              </w:rPr>
              <w:t>副</w:t>
            </w:r>
          </w:p>
        </w:tc>
        <w:tc>
          <w:tcPr>
            <w:tcW w:w="478" w:type="pct"/>
            <w:tcBorders>
              <w:tl2br w:val="nil"/>
              <w:tr2bl w:val="nil"/>
            </w:tcBorders>
            <w:vAlign w:val="center"/>
          </w:tcPr>
          <w:p w14:paraId="7DB05F79">
            <w:pPr>
              <w:spacing w:line="240" w:lineRule="auto"/>
              <w:ind w:firstLine="0" w:firstLineChars="0"/>
              <w:jc w:val="center"/>
              <w:rPr>
                <w:sz w:val="21"/>
                <w:szCs w:val="21"/>
                <w:highlight w:val="black"/>
              </w:rPr>
            </w:pPr>
            <w:r>
              <w:rPr>
                <w:sz w:val="21"/>
                <w:szCs w:val="21"/>
                <w:highlight w:val="black"/>
              </w:rPr>
              <w:t>2</w:t>
            </w:r>
          </w:p>
        </w:tc>
      </w:tr>
      <w:tr w14:paraId="27AB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5CEBF21E">
            <w:pPr>
              <w:spacing w:line="240" w:lineRule="auto"/>
              <w:ind w:firstLine="0" w:firstLineChars="0"/>
              <w:jc w:val="center"/>
              <w:rPr>
                <w:sz w:val="21"/>
                <w:szCs w:val="21"/>
                <w:highlight w:val="black"/>
              </w:rPr>
            </w:pPr>
          </w:p>
        </w:tc>
        <w:tc>
          <w:tcPr>
            <w:tcW w:w="1267" w:type="pct"/>
            <w:tcBorders>
              <w:tl2br w:val="nil"/>
              <w:tr2bl w:val="nil"/>
            </w:tcBorders>
            <w:vAlign w:val="center"/>
          </w:tcPr>
          <w:p w14:paraId="62B4529F">
            <w:pPr>
              <w:spacing w:line="240" w:lineRule="auto"/>
              <w:ind w:firstLine="0" w:firstLineChars="0"/>
              <w:jc w:val="center"/>
              <w:rPr>
                <w:sz w:val="21"/>
                <w:szCs w:val="21"/>
                <w:highlight w:val="black"/>
              </w:rPr>
            </w:pPr>
            <w:r>
              <w:rPr>
                <w:sz w:val="21"/>
                <w:szCs w:val="21"/>
                <w:highlight w:val="black"/>
              </w:rPr>
              <w:t>保温毯</w:t>
            </w:r>
          </w:p>
        </w:tc>
        <w:tc>
          <w:tcPr>
            <w:tcW w:w="1982" w:type="pct"/>
            <w:tcBorders>
              <w:tl2br w:val="nil"/>
              <w:tr2bl w:val="nil"/>
            </w:tcBorders>
            <w:vAlign w:val="center"/>
          </w:tcPr>
          <w:p w14:paraId="3AD282EA">
            <w:pPr>
              <w:spacing w:line="240" w:lineRule="auto"/>
              <w:ind w:firstLine="0" w:firstLineChars="0"/>
              <w:jc w:val="center"/>
              <w:rPr>
                <w:sz w:val="21"/>
                <w:szCs w:val="21"/>
                <w:highlight w:val="black"/>
              </w:rPr>
            </w:pPr>
            <w:r>
              <w:rPr>
                <w:sz w:val="21"/>
                <w:szCs w:val="21"/>
                <w:highlight w:val="black"/>
              </w:rPr>
              <w:t>棉织</w:t>
            </w:r>
          </w:p>
        </w:tc>
        <w:tc>
          <w:tcPr>
            <w:tcW w:w="478" w:type="pct"/>
            <w:tcBorders>
              <w:tl2br w:val="nil"/>
              <w:tr2bl w:val="nil"/>
            </w:tcBorders>
            <w:vAlign w:val="center"/>
          </w:tcPr>
          <w:p w14:paraId="38F52D17">
            <w:pPr>
              <w:spacing w:line="240" w:lineRule="auto"/>
              <w:ind w:firstLine="0" w:firstLineChars="0"/>
              <w:jc w:val="center"/>
              <w:rPr>
                <w:sz w:val="21"/>
                <w:szCs w:val="21"/>
                <w:highlight w:val="black"/>
              </w:rPr>
            </w:pPr>
            <w:r>
              <w:rPr>
                <w:sz w:val="21"/>
                <w:szCs w:val="21"/>
                <w:highlight w:val="black"/>
              </w:rPr>
              <w:t>条</w:t>
            </w:r>
          </w:p>
        </w:tc>
        <w:tc>
          <w:tcPr>
            <w:tcW w:w="478" w:type="pct"/>
            <w:tcBorders>
              <w:tl2br w:val="nil"/>
              <w:tr2bl w:val="nil"/>
            </w:tcBorders>
            <w:vAlign w:val="center"/>
          </w:tcPr>
          <w:p w14:paraId="30CF9C47">
            <w:pPr>
              <w:spacing w:line="240" w:lineRule="auto"/>
              <w:ind w:firstLine="0" w:firstLineChars="0"/>
              <w:jc w:val="center"/>
              <w:rPr>
                <w:sz w:val="21"/>
                <w:szCs w:val="21"/>
                <w:highlight w:val="black"/>
              </w:rPr>
            </w:pPr>
            <w:r>
              <w:rPr>
                <w:sz w:val="21"/>
                <w:szCs w:val="21"/>
                <w:highlight w:val="black"/>
              </w:rPr>
              <w:t>2</w:t>
            </w:r>
          </w:p>
        </w:tc>
      </w:tr>
      <w:tr w14:paraId="173C8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6D65F224">
            <w:pPr>
              <w:spacing w:line="240" w:lineRule="auto"/>
              <w:ind w:firstLine="0" w:firstLineChars="0"/>
              <w:jc w:val="center"/>
              <w:rPr>
                <w:sz w:val="21"/>
                <w:szCs w:val="21"/>
                <w:highlight w:val="black"/>
              </w:rPr>
            </w:pPr>
          </w:p>
        </w:tc>
        <w:tc>
          <w:tcPr>
            <w:tcW w:w="1267" w:type="pct"/>
            <w:tcBorders>
              <w:tl2br w:val="nil"/>
              <w:tr2bl w:val="nil"/>
            </w:tcBorders>
            <w:vAlign w:val="center"/>
          </w:tcPr>
          <w:p w14:paraId="7B073D72">
            <w:pPr>
              <w:spacing w:line="240" w:lineRule="auto"/>
              <w:ind w:firstLine="0" w:firstLineChars="0"/>
              <w:jc w:val="center"/>
              <w:rPr>
                <w:sz w:val="21"/>
                <w:szCs w:val="21"/>
                <w:highlight w:val="black"/>
              </w:rPr>
            </w:pPr>
            <w:r>
              <w:rPr>
                <w:sz w:val="21"/>
                <w:szCs w:val="21"/>
                <w:highlight w:val="black"/>
              </w:rPr>
              <w:t>绝缘手套</w:t>
            </w:r>
          </w:p>
        </w:tc>
        <w:tc>
          <w:tcPr>
            <w:tcW w:w="1982" w:type="pct"/>
            <w:tcBorders>
              <w:tl2br w:val="nil"/>
              <w:tr2bl w:val="nil"/>
            </w:tcBorders>
            <w:vAlign w:val="center"/>
          </w:tcPr>
          <w:p w14:paraId="5FCD2DAE">
            <w:pPr>
              <w:spacing w:line="240" w:lineRule="auto"/>
              <w:ind w:firstLine="0" w:firstLineChars="0"/>
              <w:jc w:val="center"/>
              <w:rPr>
                <w:sz w:val="21"/>
                <w:szCs w:val="21"/>
                <w:highlight w:val="black"/>
              </w:rPr>
            </w:pPr>
          </w:p>
        </w:tc>
        <w:tc>
          <w:tcPr>
            <w:tcW w:w="478" w:type="pct"/>
            <w:tcBorders>
              <w:tl2br w:val="nil"/>
              <w:tr2bl w:val="nil"/>
            </w:tcBorders>
            <w:vAlign w:val="center"/>
          </w:tcPr>
          <w:p w14:paraId="5D5E625F">
            <w:pPr>
              <w:spacing w:line="240" w:lineRule="auto"/>
              <w:ind w:firstLine="0" w:firstLineChars="0"/>
              <w:jc w:val="center"/>
              <w:rPr>
                <w:sz w:val="21"/>
                <w:szCs w:val="21"/>
                <w:highlight w:val="black"/>
              </w:rPr>
            </w:pPr>
            <w:r>
              <w:rPr>
                <w:sz w:val="21"/>
                <w:szCs w:val="21"/>
                <w:highlight w:val="black"/>
              </w:rPr>
              <w:t>双</w:t>
            </w:r>
          </w:p>
        </w:tc>
        <w:tc>
          <w:tcPr>
            <w:tcW w:w="478" w:type="pct"/>
            <w:tcBorders>
              <w:tl2br w:val="nil"/>
              <w:tr2bl w:val="nil"/>
            </w:tcBorders>
            <w:vAlign w:val="center"/>
          </w:tcPr>
          <w:p w14:paraId="08F0C183">
            <w:pPr>
              <w:spacing w:line="240" w:lineRule="auto"/>
              <w:ind w:firstLine="0" w:firstLineChars="0"/>
              <w:jc w:val="center"/>
              <w:rPr>
                <w:sz w:val="21"/>
                <w:szCs w:val="21"/>
                <w:highlight w:val="black"/>
              </w:rPr>
            </w:pPr>
            <w:r>
              <w:rPr>
                <w:sz w:val="21"/>
                <w:szCs w:val="21"/>
                <w:highlight w:val="black"/>
              </w:rPr>
              <w:t>1</w:t>
            </w:r>
          </w:p>
        </w:tc>
      </w:tr>
      <w:tr w14:paraId="18201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07242E81">
            <w:pPr>
              <w:spacing w:line="240" w:lineRule="auto"/>
              <w:ind w:firstLine="0" w:firstLineChars="0"/>
              <w:jc w:val="center"/>
              <w:rPr>
                <w:sz w:val="21"/>
                <w:szCs w:val="21"/>
                <w:highlight w:val="black"/>
              </w:rPr>
            </w:pPr>
          </w:p>
        </w:tc>
        <w:tc>
          <w:tcPr>
            <w:tcW w:w="1267" w:type="pct"/>
            <w:tcBorders>
              <w:tl2br w:val="nil"/>
              <w:tr2bl w:val="nil"/>
            </w:tcBorders>
            <w:vAlign w:val="center"/>
          </w:tcPr>
          <w:p w14:paraId="1218BBCB">
            <w:pPr>
              <w:spacing w:line="240" w:lineRule="auto"/>
              <w:ind w:firstLine="0" w:firstLineChars="0"/>
              <w:jc w:val="center"/>
              <w:rPr>
                <w:sz w:val="21"/>
                <w:szCs w:val="21"/>
                <w:highlight w:val="black"/>
              </w:rPr>
            </w:pPr>
            <w:r>
              <w:rPr>
                <w:sz w:val="21"/>
                <w:szCs w:val="21"/>
                <w:highlight w:val="black"/>
              </w:rPr>
              <w:t>刀锯</w:t>
            </w:r>
          </w:p>
        </w:tc>
        <w:tc>
          <w:tcPr>
            <w:tcW w:w="1982" w:type="pct"/>
            <w:tcBorders>
              <w:tl2br w:val="nil"/>
              <w:tr2bl w:val="nil"/>
            </w:tcBorders>
            <w:vAlign w:val="center"/>
          </w:tcPr>
          <w:p w14:paraId="59E925AC">
            <w:pPr>
              <w:spacing w:line="240" w:lineRule="auto"/>
              <w:ind w:firstLine="0" w:firstLineChars="0"/>
              <w:jc w:val="center"/>
              <w:rPr>
                <w:sz w:val="21"/>
                <w:szCs w:val="21"/>
                <w:highlight w:val="black"/>
              </w:rPr>
            </w:pPr>
            <w:r>
              <w:rPr>
                <w:sz w:val="21"/>
                <w:szCs w:val="21"/>
                <w:highlight w:val="black"/>
              </w:rPr>
              <w:t>锯头≥400mm</w:t>
            </w:r>
          </w:p>
        </w:tc>
        <w:tc>
          <w:tcPr>
            <w:tcW w:w="478" w:type="pct"/>
            <w:tcBorders>
              <w:tl2br w:val="nil"/>
              <w:tr2bl w:val="nil"/>
            </w:tcBorders>
            <w:vAlign w:val="center"/>
          </w:tcPr>
          <w:p w14:paraId="605729E6">
            <w:pPr>
              <w:spacing w:line="240" w:lineRule="auto"/>
              <w:ind w:firstLine="0" w:firstLineChars="0"/>
              <w:jc w:val="center"/>
              <w:rPr>
                <w:sz w:val="21"/>
                <w:szCs w:val="21"/>
                <w:highlight w:val="black"/>
              </w:rPr>
            </w:pPr>
            <w:r>
              <w:rPr>
                <w:sz w:val="21"/>
                <w:szCs w:val="21"/>
                <w:highlight w:val="black"/>
              </w:rPr>
              <w:t>把</w:t>
            </w:r>
          </w:p>
        </w:tc>
        <w:tc>
          <w:tcPr>
            <w:tcW w:w="478" w:type="pct"/>
            <w:tcBorders>
              <w:tl2br w:val="nil"/>
              <w:tr2bl w:val="nil"/>
            </w:tcBorders>
            <w:vAlign w:val="center"/>
          </w:tcPr>
          <w:p w14:paraId="0AEF4469">
            <w:pPr>
              <w:spacing w:line="240" w:lineRule="auto"/>
              <w:ind w:firstLine="0" w:firstLineChars="0"/>
              <w:jc w:val="center"/>
              <w:rPr>
                <w:sz w:val="21"/>
                <w:szCs w:val="21"/>
                <w:highlight w:val="black"/>
              </w:rPr>
            </w:pPr>
            <w:r>
              <w:rPr>
                <w:rFonts w:hint="eastAsia"/>
                <w:sz w:val="21"/>
                <w:szCs w:val="21"/>
                <w:highlight w:val="black"/>
              </w:rPr>
              <w:t>1</w:t>
            </w:r>
          </w:p>
        </w:tc>
      </w:tr>
      <w:tr w14:paraId="454C1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22992CBB">
            <w:pPr>
              <w:spacing w:line="240" w:lineRule="auto"/>
              <w:ind w:firstLine="0" w:firstLineChars="0"/>
              <w:jc w:val="center"/>
              <w:rPr>
                <w:sz w:val="21"/>
                <w:szCs w:val="21"/>
                <w:highlight w:val="black"/>
              </w:rPr>
            </w:pPr>
          </w:p>
        </w:tc>
        <w:tc>
          <w:tcPr>
            <w:tcW w:w="1267" w:type="pct"/>
            <w:tcBorders>
              <w:tl2br w:val="nil"/>
              <w:tr2bl w:val="nil"/>
            </w:tcBorders>
            <w:vAlign w:val="center"/>
          </w:tcPr>
          <w:p w14:paraId="6955C97D">
            <w:pPr>
              <w:spacing w:line="240" w:lineRule="auto"/>
              <w:ind w:firstLine="0" w:firstLineChars="0"/>
              <w:jc w:val="center"/>
              <w:rPr>
                <w:sz w:val="21"/>
                <w:szCs w:val="21"/>
                <w:highlight w:val="black"/>
              </w:rPr>
            </w:pPr>
            <w:r>
              <w:rPr>
                <w:sz w:val="21"/>
                <w:szCs w:val="21"/>
                <w:highlight w:val="black"/>
              </w:rPr>
              <w:t>防爆工具</w:t>
            </w:r>
          </w:p>
        </w:tc>
        <w:tc>
          <w:tcPr>
            <w:tcW w:w="1982" w:type="pct"/>
            <w:tcBorders>
              <w:tl2br w:val="nil"/>
              <w:tr2bl w:val="nil"/>
            </w:tcBorders>
            <w:vAlign w:val="center"/>
          </w:tcPr>
          <w:p w14:paraId="1B1FAC29">
            <w:pPr>
              <w:spacing w:line="240" w:lineRule="auto"/>
              <w:ind w:firstLine="0" w:firstLineChars="0"/>
              <w:jc w:val="center"/>
              <w:rPr>
                <w:sz w:val="21"/>
                <w:szCs w:val="21"/>
                <w:highlight w:val="black"/>
              </w:rPr>
            </w:pPr>
            <w:r>
              <w:rPr>
                <w:sz w:val="21"/>
                <w:szCs w:val="21"/>
                <w:highlight w:val="black"/>
              </w:rPr>
              <w:t>锤、斧、镐、锹、钎、起钉器等</w:t>
            </w:r>
          </w:p>
        </w:tc>
        <w:tc>
          <w:tcPr>
            <w:tcW w:w="478" w:type="pct"/>
            <w:tcBorders>
              <w:tl2br w:val="nil"/>
              <w:tr2bl w:val="nil"/>
            </w:tcBorders>
            <w:vAlign w:val="center"/>
          </w:tcPr>
          <w:p w14:paraId="291C5C04">
            <w:pPr>
              <w:spacing w:line="240" w:lineRule="auto"/>
              <w:ind w:firstLine="0" w:firstLineChars="0"/>
              <w:jc w:val="center"/>
              <w:rPr>
                <w:sz w:val="21"/>
                <w:szCs w:val="21"/>
                <w:highlight w:val="black"/>
              </w:rPr>
            </w:pPr>
            <w:r>
              <w:rPr>
                <w:sz w:val="21"/>
                <w:szCs w:val="21"/>
                <w:highlight w:val="black"/>
              </w:rPr>
              <w:t>套</w:t>
            </w:r>
          </w:p>
        </w:tc>
        <w:tc>
          <w:tcPr>
            <w:tcW w:w="478" w:type="pct"/>
            <w:tcBorders>
              <w:tl2br w:val="nil"/>
              <w:tr2bl w:val="nil"/>
            </w:tcBorders>
            <w:vAlign w:val="center"/>
          </w:tcPr>
          <w:p w14:paraId="4002C4FE">
            <w:pPr>
              <w:spacing w:line="240" w:lineRule="auto"/>
              <w:ind w:firstLine="0" w:firstLineChars="0"/>
              <w:jc w:val="center"/>
              <w:rPr>
                <w:sz w:val="21"/>
                <w:szCs w:val="21"/>
                <w:highlight w:val="black"/>
              </w:rPr>
            </w:pPr>
            <w:r>
              <w:rPr>
                <w:sz w:val="21"/>
                <w:szCs w:val="21"/>
                <w:highlight w:val="black"/>
              </w:rPr>
              <w:t>1</w:t>
            </w:r>
          </w:p>
        </w:tc>
      </w:tr>
      <w:tr w14:paraId="3B168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vMerge w:val="continue"/>
            <w:tcBorders>
              <w:tl2br w:val="nil"/>
              <w:tr2bl w:val="nil"/>
            </w:tcBorders>
            <w:vAlign w:val="center"/>
          </w:tcPr>
          <w:p w14:paraId="145A0E24">
            <w:pPr>
              <w:spacing w:line="240" w:lineRule="auto"/>
              <w:ind w:firstLine="0" w:firstLineChars="0"/>
              <w:jc w:val="center"/>
              <w:rPr>
                <w:sz w:val="21"/>
                <w:szCs w:val="21"/>
                <w:highlight w:val="black"/>
              </w:rPr>
            </w:pPr>
          </w:p>
        </w:tc>
        <w:tc>
          <w:tcPr>
            <w:tcW w:w="1267" w:type="pct"/>
            <w:tcBorders>
              <w:tl2br w:val="nil"/>
              <w:tr2bl w:val="nil"/>
            </w:tcBorders>
            <w:vAlign w:val="center"/>
          </w:tcPr>
          <w:p w14:paraId="5DDD38E4">
            <w:pPr>
              <w:spacing w:line="240" w:lineRule="auto"/>
              <w:ind w:firstLine="0" w:firstLineChars="0"/>
              <w:jc w:val="center"/>
              <w:rPr>
                <w:sz w:val="21"/>
                <w:szCs w:val="21"/>
                <w:highlight w:val="black"/>
              </w:rPr>
            </w:pPr>
            <w:r>
              <w:rPr>
                <w:sz w:val="21"/>
                <w:szCs w:val="21"/>
                <w:highlight w:val="black"/>
              </w:rPr>
              <w:t>电工工具</w:t>
            </w:r>
          </w:p>
        </w:tc>
        <w:tc>
          <w:tcPr>
            <w:tcW w:w="1982" w:type="pct"/>
            <w:tcBorders>
              <w:tl2br w:val="nil"/>
              <w:tr2bl w:val="nil"/>
            </w:tcBorders>
            <w:vAlign w:val="center"/>
          </w:tcPr>
          <w:p w14:paraId="0ADC7D6A">
            <w:pPr>
              <w:spacing w:line="240" w:lineRule="auto"/>
              <w:ind w:firstLine="0" w:firstLineChars="0"/>
              <w:jc w:val="center"/>
              <w:rPr>
                <w:sz w:val="21"/>
                <w:szCs w:val="21"/>
                <w:highlight w:val="black"/>
              </w:rPr>
            </w:pPr>
            <w:r>
              <w:rPr>
                <w:sz w:val="21"/>
                <w:szCs w:val="21"/>
                <w:highlight w:val="black"/>
              </w:rPr>
              <w:t>钳子、电工刀、活扳手、螺丝刀、测电笔等</w:t>
            </w:r>
          </w:p>
        </w:tc>
        <w:tc>
          <w:tcPr>
            <w:tcW w:w="478" w:type="pct"/>
            <w:tcBorders>
              <w:tl2br w:val="nil"/>
              <w:tr2bl w:val="nil"/>
            </w:tcBorders>
            <w:vAlign w:val="center"/>
          </w:tcPr>
          <w:p w14:paraId="47C40547">
            <w:pPr>
              <w:spacing w:line="240" w:lineRule="auto"/>
              <w:ind w:firstLine="0" w:firstLineChars="0"/>
              <w:jc w:val="center"/>
              <w:rPr>
                <w:sz w:val="21"/>
                <w:szCs w:val="21"/>
                <w:highlight w:val="black"/>
              </w:rPr>
            </w:pPr>
            <w:r>
              <w:rPr>
                <w:sz w:val="21"/>
                <w:szCs w:val="21"/>
                <w:highlight w:val="black"/>
              </w:rPr>
              <w:t>套</w:t>
            </w:r>
          </w:p>
        </w:tc>
        <w:tc>
          <w:tcPr>
            <w:tcW w:w="478" w:type="pct"/>
            <w:tcBorders>
              <w:tl2br w:val="nil"/>
              <w:tr2bl w:val="nil"/>
            </w:tcBorders>
            <w:vAlign w:val="center"/>
          </w:tcPr>
          <w:p w14:paraId="460B505B">
            <w:pPr>
              <w:spacing w:line="240" w:lineRule="auto"/>
              <w:ind w:firstLine="0" w:firstLineChars="0"/>
              <w:jc w:val="center"/>
              <w:rPr>
                <w:sz w:val="21"/>
                <w:szCs w:val="21"/>
                <w:highlight w:val="black"/>
              </w:rPr>
            </w:pPr>
            <w:r>
              <w:rPr>
                <w:sz w:val="21"/>
                <w:szCs w:val="21"/>
                <w:highlight w:val="black"/>
              </w:rPr>
              <w:t>1</w:t>
            </w:r>
          </w:p>
        </w:tc>
      </w:tr>
      <w:tr w14:paraId="1AD67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tcBorders>
              <w:tl2br w:val="nil"/>
              <w:tr2bl w:val="nil"/>
            </w:tcBorders>
            <w:vAlign w:val="center"/>
          </w:tcPr>
          <w:p w14:paraId="6AF4678D">
            <w:pPr>
              <w:spacing w:line="240" w:lineRule="auto"/>
              <w:ind w:firstLine="0" w:firstLineChars="0"/>
              <w:jc w:val="center"/>
              <w:rPr>
                <w:sz w:val="21"/>
                <w:szCs w:val="21"/>
                <w:highlight w:val="black"/>
              </w:rPr>
            </w:pPr>
            <w:r>
              <w:rPr>
                <w:sz w:val="21"/>
                <w:szCs w:val="21"/>
                <w:highlight w:val="black"/>
              </w:rPr>
              <w:t>药剂</w:t>
            </w:r>
          </w:p>
        </w:tc>
        <w:tc>
          <w:tcPr>
            <w:tcW w:w="1267" w:type="pct"/>
            <w:tcBorders>
              <w:tl2br w:val="nil"/>
              <w:tr2bl w:val="nil"/>
            </w:tcBorders>
            <w:vAlign w:val="center"/>
          </w:tcPr>
          <w:p w14:paraId="3D35896E">
            <w:pPr>
              <w:spacing w:line="240" w:lineRule="auto"/>
              <w:ind w:firstLine="0" w:firstLineChars="0"/>
              <w:jc w:val="center"/>
              <w:rPr>
                <w:sz w:val="21"/>
                <w:szCs w:val="21"/>
                <w:highlight w:val="black"/>
              </w:rPr>
            </w:pPr>
            <w:r>
              <w:rPr>
                <w:sz w:val="21"/>
                <w:szCs w:val="21"/>
                <w:highlight w:val="black"/>
              </w:rPr>
              <w:t>氢氧化钙</w:t>
            </w:r>
          </w:p>
        </w:tc>
        <w:tc>
          <w:tcPr>
            <w:tcW w:w="1982" w:type="pct"/>
            <w:tcBorders>
              <w:tl2br w:val="nil"/>
              <w:tr2bl w:val="nil"/>
            </w:tcBorders>
            <w:vAlign w:val="center"/>
          </w:tcPr>
          <w:p w14:paraId="49E60884">
            <w:pPr>
              <w:spacing w:line="240" w:lineRule="auto"/>
              <w:ind w:firstLine="0" w:firstLineChars="0"/>
              <w:jc w:val="center"/>
              <w:rPr>
                <w:sz w:val="21"/>
                <w:szCs w:val="21"/>
                <w:highlight w:val="black"/>
              </w:rPr>
            </w:pPr>
            <w:r>
              <w:rPr>
                <w:sz w:val="21"/>
                <w:szCs w:val="21"/>
                <w:highlight w:val="black"/>
              </w:rPr>
              <w:t>满足《隔绝式氧气呼吸器和自救器用氢氧 化钙技术条件》要求</w:t>
            </w:r>
          </w:p>
        </w:tc>
        <w:tc>
          <w:tcPr>
            <w:tcW w:w="478" w:type="pct"/>
            <w:tcBorders>
              <w:tl2br w:val="nil"/>
              <w:tr2bl w:val="nil"/>
            </w:tcBorders>
            <w:vAlign w:val="center"/>
          </w:tcPr>
          <w:p w14:paraId="18E19BB4">
            <w:pPr>
              <w:spacing w:line="240" w:lineRule="auto"/>
              <w:ind w:firstLine="0" w:firstLineChars="0"/>
              <w:jc w:val="center"/>
              <w:rPr>
                <w:sz w:val="21"/>
                <w:szCs w:val="21"/>
                <w:highlight w:val="black"/>
              </w:rPr>
            </w:pPr>
            <w:r>
              <w:rPr>
                <w:sz w:val="21"/>
                <w:szCs w:val="21"/>
                <w:highlight w:val="black"/>
              </w:rPr>
              <w:t>t</w:t>
            </w:r>
          </w:p>
        </w:tc>
        <w:tc>
          <w:tcPr>
            <w:tcW w:w="478" w:type="pct"/>
            <w:tcBorders>
              <w:tl2br w:val="nil"/>
              <w:tr2bl w:val="nil"/>
            </w:tcBorders>
            <w:vAlign w:val="center"/>
          </w:tcPr>
          <w:p w14:paraId="221F0383">
            <w:pPr>
              <w:spacing w:line="240" w:lineRule="auto"/>
              <w:ind w:firstLine="0" w:firstLineChars="0"/>
              <w:jc w:val="center"/>
              <w:rPr>
                <w:sz w:val="21"/>
                <w:szCs w:val="21"/>
                <w:highlight w:val="black"/>
              </w:rPr>
            </w:pPr>
            <w:r>
              <w:rPr>
                <w:sz w:val="21"/>
                <w:szCs w:val="21"/>
                <w:highlight w:val="black"/>
              </w:rPr>
              <w:t>0.5</w:t>
            </w:r>
          </w:p>
        </w:tc>
      </w:tr>
      <w:bookmarkEnd w:id="232"/>
    </w:tbl>
    <w:p w14:paraId="30CB6507">
      <w:pPr>
        <w:ind w:firstLine="0" w:firstLineChars="0"/>
        <w:rPr>
          <w:rFonts w:ascii="宋体" w:hAnsi="宋体" w:cs="宋体"/>
          <w:b/>
          <w:bCs/>
        </w:rPr>
      </w:pPr>
      <w:r>
        <w:rPr>
          <w:rFonts w:hint="eastAsia" w:ascii="宋体" w:hAnsi="宋体" w:cs="宋体"/>
          <w:b/>
          <w:bCs/>
        </w:rPr>
        <w:t>2.4.13.14 应急预案</w:t>
      </w:r>
    </w:p>
    <w:p w14:paraId="05EF8B9F">
      <w:pPr>
        <w:ind w:firstLine="560"/>
        <w:rPr>
          <w:highlight w:val="black"/>
        </w:rPr>
      </w:pPr>
      <w:r>
        <w:rPr>
          <w:highlight w:val="black"/>
        </w:rPr>
        <w:t>项目建设单位应按照《生产安全事故应急预案管理办法》</w:t>
      </w:r>
      <w:r>
        <w:rPr>
          <w:rFonts w:hint="eastAsia"/>
          <w:highlight w:val="black"/>
        </w:rPr>
        <w:t>（</w:t>
      </w:r>
      <w:r>
        <w:rPr>
          <w:highlight w:val="black"/>
        </w:rPr>
        <w:t>2016年6月3日国家安全生产监督管理总局令第88号公布，根据2019年7月11日中华人民共和国应急管理部令第2号《应急管理部关于修改</w:t>
      </w:r>
      <w:r>
        <w:rPr>
          <w:rFonts w:hint="eastAsia"/>
          <w:highlight w:val="black"/>
        </w:rPr>
        <w:t>〈</w:t>
      </w:r>
      <w:r>
        <w:rPr>
          <w:highlight w:val="black"/>
        </w:rPr>
        <w:t>生产安全事故应急预案管理办法</w:t>
      </w:r>
      <w:r>
        <w:rPr>
          <w:rFonts w:hint="eastAsia"/>
          <w:highlight w:val="black"/>
        </w:rPr>
        <w:t>〉</w:t>
      </w:r>
      <w:r>
        <w:rPr>
          <w:highlight w:val="black"/>
        </w:rPr>
        <w:t>的决定》修正，自2019年9月1日起施行</w:t>
      </w:r>
      <w:r>
        <w:rPr>
          <w:rFonts w:hint="eastAsia"/>
          <w:highlight w:val="black"/>
        </w:rPr>
        <w:t>）</w:t>
      </w:r>
      <w:r>
        <w:rPr>
          <w:highlight w:val="black"/>
        </w:rPr>
        <w:t>和《生产经营单位生产安全事故应急预案编制导则》</w:t>
      </w:r>
      <w:r>
        <w:rPr>
          <w:rFonts w:hint="eastAsia"/>
          <w:highlight w:val="black"/>
        </w:rPr>
        <w:t>（</w:t>
      </w:r>
      <w:r>
        <w:rPr>
          <w:highlight w:val="black"/>
        </w:rPr>
        <w:t>GB/T 29639-2020</w:t>
      </w:r>
      <w:r>
        <w:rPr>
          <w:rFonts w:hint="eastAsia"/>
          <w:highlight w:val="black"/>
        </w:rPr>
        <w:t>）</w:t>
      </w:r>
      <w:r>
        <w:rPr>
          <w:highlight w:val="black"/>
        </w:rPr>
        <w:t>要求，编制具有可操作性的事故应急救援预案。</w:t>
      </w:r>
    </w:p>
    <w:bookmarkEnd w:id="227"/>
    <w:p w14:paraId="51CC1094">
      <w:pPr>
        <w:ind w:firstLine="0" w:firstLineChars="0"/>
        <w:rPr>
          <w:rFonts w:ascii="宋体" w:hAnsi="宋体" w:cs="宋体"/>
          <w:b/>
          <w:bCs/>
        </w:rPr>
      </w:pPr>
      <w:bookmarkStart w:id="234" w:name="_Toc23048"/>
      <w:r>
        <w:rPr>
          <w:rFonts w:hint="eastAsia" w:ascii="宋体" w:hAnsi="宋体" w:cs="宋体"/>
          <w:b/>
          <w:bCs/>
        </w:rPr>
        <w:t>2.4.13.15安全费用提取及安全设施投资</w:t>
      </w:r>
      <w:bookmarkEnd w:id="234"/>
    </w:p>
    <w:p w14:paraId="1CA4D1FD">
      <w:pPr>
        <w:ind w:firstLine="560"/>
        <w:rPr>
          <w:highlight w:val="black"/>
        </w:rPr>
      </w:pPr>
      <w:r>
        <w:rPr>
          <w:rFonts w:hint="eastAsia"/>
          <w:highlight w:val="black"/>
        </w:rPr>
        <w:t>（1）专用安全设施汇总</w:t>
      </w:r>
    </w:p>
    <w:p w14:paraId="1BB01862">
      <w:pPr>
        <w:ind w:firstLine="0" w:firstLineChars="0"/>
        <w:jc w:val="center"/>
        <w:rPr>
          <w:rFonts w:hint="eastAsia"/>
          <w:b/>
          <w:bCs/>
          <w:sz w:val="21"/>
          <w:szCs w:val="21"/>
          <w:highlight w:val="black"/>
        </w:rPr>
      </w:pPr>
    </w:p>
    <w:p w14:paraId="7A1890AD">
      <w:pPr>
        <w:ind w:firstLine="0" w:firstLineChars="0"/>
        <w:jc w:val="center"/>
        <w:rPr>
          <w:b/>
          <w:bCs/>
          <w:sz w:val="21"/>
          <w:szCs w:val="21"/>
          <w:highlight w:val="black"/>
        </w:rPr>
      </w:pPr>
      <w:r>
        <w:rPr>
          <w:rFonts w:hint="eastAsia"/>
          <w:b/>
          <w:bCs/>
          <w:sz w:val="21"/>
          <w:szCs w:val="21"/>
          <w:highlight w:val="black"/>
        </w:rPr>
        <w:t>表2-28 专用安全设施汇总</w:t>
      </w:r>
    </w:p>
    <w:tbl>
      <w:tblPr>
        <w:tblStyle w:val="25"/>
        <w:tblW w:w="502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340"/>
        <w:gridCol w:w="2923"/>
        <w:gridCol w:w="1299"/>
        <w:gridCol w:w="2113"/>
      </w:tblGrid>
      <w:tr w14:paraId="4228B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14" w:type="pct"/>
            <w:tcBorders>
              <w:tl2br w:val="nil"/>
              <w:tr2bl w:val="nil"/>
            </w:tcBorders>
            <w:shd w:val="clear" w:color="auto" w:fill="auto"/>
            <w:vAlign w:val="center"/>
          </w:tcPr>
          <w:p w14:paraId="1B733EC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名称</w:t>
            </w:r>
          </w:p>
        </w:tc>
        <w:tc>
          <w:tcPr>
            <w:tcW w:w="782" w:type="pct"/>
            <w:tcBorders>
              <w:tl2br w:val="nil"/>
              <w:tr2bl w:val="nil"/>
            </w:tcBorders>
            <w:shd w:val="clear" w:color="auto" w:fill="auto"/>
            <w:vAlign w:val="center"/>
          </w:tcPr>
          <w:p w14:paraId="2F3C0A92">
            <w:pPr>
              <w:widowControl/>
              <w:adjustRightInd w:val="0"/>
              <w:snapToGrid w:val="0"/>
              <w:spacing w:line="240" w:lineRule="atLeast"/>
              <w:ind w:firstLine="0" w:firstLineChars="0"/>
              <w:jc w:val="center"/>
              <w:rPr>
                <w:kern w:val="0"/>
                <w:sz w:val="21"/>
                <w:szCs w:val="21"/>
                <w:highlight w:val="black"/>
              </w:rPr>
            </w:pPr>
          </w:p>
        </w:tc>
        <w:tc>
          <w:tcPr>
            <w:tcW w:w="1707" w:type="pct"/>
            <w:tcBorders>
              <w:tl2br w:val="nil"/>
              <w:tr2bl w:val="nil"/>
            </w:tcBorders>
            <w:shd w:val="clear" w:color="auto" w:fill="auto"/>
            <w:vAlign w:val="center"/>
          </w:tcPr>
          <w:p w14:paraId="2D6E584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描述</w:t>
            </w:r>
          </w:p>
        </w:tc>
        <w:tc>
          <w:tcPr>
            <w:tcW w:w="759" w:type="pct"/>
            <w:tcBorders>
              <w:tl2br w:val="nil"/>
              <w:tr2bl w:val="nil"/>
            </w:tcBorders>
            <w:shd w:val="clear" w:color="auto" w:fill="auto"/>
            <w:vAlign w:val="center"/>
          </w:tcPr>
          <w:p w14:paraId="7D3E9D4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数量</w:t>
            </w:r>
          </w:p>
        </w:tc>
        <w:tc>
          <w:tcPr>
            <w:tcW w:w="1235" w:type="pct"/>
            <w:tcBorders>
              <w:tl2br w:val="nil"/>
              <w:tr2bl w:val="nil"/>
            </w:tcBorders>
            <w:shd w:val="clear" w:color="auto" w:fill="auto"/>
            <w:vAlign w:val="center"/>
          </w:tcPr>
          <w:p w14:paraId="66255B3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位置</w:t>
            </w:r>
          </w:p>
        </w:tc>
      </w:tr>
      <w:tr w14:paraId="18329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2F1957E2">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斜坡道与无轨运输系统安全设施</w:t>
            </w:r>
          </w:p>
        </w:tc>
        <w:tc>
          <w:tcPr>
            <w:tcW w:w="782" w:type="pct"/>
            <w:tcBorders>
              <w:tl2br w:val="nil"/>
              <w:tr2bl w:val="nil"/>
            </w:tcBorders>
            <w:shd w:val="clear" w:color="auto" w:fill="auto"/>
            <w:vAlign w:val="center"/>
          </w:tcPr>
          <w:p w14:paraId="7A4D3C02">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人行道</w:t>
            </w:r>
          </w:p>
        </w:tc>
        <w:tc>
          <w:tcPr>
            <w:tcW w:w="1707" w:type="pct"/>
            <w:tcBorders>
              <w:tl2br w:val="nil"/>
              <w:tr2bl w:val="nil"/>
            </w:tcBorders>
            <w:shd w:val="clear" w:color="auto" w:fill="auto"/>
            <w:vAlign w:val="center"/>
          </w:tcPr>
          <w:p w14:paraId="000420CD">
            <w:pPr>
              <w:widowControl/>
              <w:adjustRightInd w:val="0"/>
              <w:snapToGrid w:val="0"/>
              <w:spacing w:line="240" w:lineRule="atLeast"/>
              <w:ind w:firstLine="0" w:firstLineChars="0"/>
              <w:jc w:val="center"/>
              <w:rPr>
                <w:kern w:val="0"/>
                <w:sz w:val="21"/>
                <w:szCs w:val="21"/>
                <w:highlight w:val="black"/>
              </w:rPr>
            </w:pPr>
            <w:r>
              <w:rPr>
                <w:sz w:val="21"/>
                <w:szCs w:val="21"/>
                <w:highlight w:val="black"/>
              </w:rPr>
              <w:t>宽1.</w:t>
            </w:r>
            <w:r>
              <w:rPr>
                <w:rFonts w:hint="eastAsia"/>
                <w:sz w:val="21"/>
                <w:szCs w:val="21"/>
                <w:highlight w:val="black"/>
              </w:rPr>
              <w:t>4</w:t>
            </w:r>
            <w:r>
              <w:rPr>
                <w:sz w:val="21"/>
                <w:szCs w:val="21"/>
                <w:highlight w:val="black"/>
              </w:rPr>
              <w:t>m，高</w:t>
            </w:r>
            <w:r>
              <w:rPr>
                <w:rFonts w:hint="eastAsia"/>
                <w:sz w:val="21"/>
                <w:szCs w:val="21"/>
                <w:highlight w:val="black"/>
              </w:rPr>
              <w:t>3.78</w:t>
            </w:r>
            <w:r>
              <w:rPr>
                <w:sz w:val="21"/>
                <w:szCs w:val="21"/>
                <w:highlight w:val="black"/>
              </w:rPr>
              <w:t>m</w:t>
            </w:r>
          </w:p>
        </w:tc>
        <w:tc>
          <w:tcPr>
            <w:tcW w:w="759" w:type="pct"/>
            <w:tcBorders>
              <w:tl2br w:val="nil"/>
              <w:tr2bl w:val="nil"/>
            </w:tcBorders>
            <w:shd w:val="clear" w:color="auto" w:fill="auto"/>
            <w:vAlign w:val="center"/>
          </w:tcPr>
          <w:p w14:paraId="396B068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全井筒</w:t>
            </w:r>
          </w:p>
        </w:tc>
        <w:tc>
          <w:tcPr>
            <w:tcW w:w="1235" w:type="pct"/>
            <w:tcBorders>
              <w:tl2br w:val="nil"/>
              <w:tr2bl w:val="nil"/>
            </w:tcBorders>
            <w:shd w:val="clear" w:color="auto" w:fill="auto"/>
            <w:vAlign w:val="center"/>
          </w:tcPr>
          <w:p w14:paraId="59E74443">
            <w:pPr>
              <w:widowControl/>
              <w:adjustRightInd w:val="0"/>
              <w:snapToGrid w:val="0"/>
              <w:spacing w:line="240" w:lineRule="atLeast"/>
              <w:ind w:firstLine="0" w:firstLineChars="0"/>
              <w:jc w:val="center"/>
              <w:rPr>
                <w:kern w:val="0"/>
                <w:sz w:val="21"/>
                <w:szCs w:val="21"/>
                <w:highlight w:val="black"/>
              </w:rPr>
            </w:pPr>
            <w:r>
              <w:rPr>
                <w:sz w:val="21"/>
                <w:szCs w:val="21"/>
                <w:highlight w:val="black"/>
              </w:rPr>
              <w:t>斜坡道及中段巷道</w:t>
            </w:r>
          </w:p>
        </w:tc>
      </w:tr>
      <w:tr w14:paraId="08D14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688088D2">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260DC84B">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缓坡段</w:t>
            </w:r>
          </w:p>
        </w:tc>
        <w:tc>
          <w:tcPr>
            <w:tcW w:w="1707" w:type="pct"/>
            <w:tcBorders>
              <w:tl2br w:val="nil"/>
              <w:tr2bl w:val="nil"/>
            </w:tcBorders>
            <w:shd w:val="clear" w:color="auto" w:fill="auto"/>
            <w:vAlign w:val="center"/>
          </w:tcPr>
          <w:p w14:paraId="79C99D37">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长30m，宽8m的错车道，错车道兼顾缓坡段，坡度不应超过3%</w:t>
            </w:r>
          </w:p>
        </w:tc>
        <w:tc>
          <w:tcPr>
            <w:tcW w:w="759" w:type="pct"/>
            <w:tcBorders>
              <w:tl2br w:val="nil"/>
              <w:tr2bl w:val="nil"/>
            </w:tcBorders>
            <w:shd w:val="clear" w:color="auto" w:fill="auto"/>
            <w:vAlign w:val="center"/>
          </w:tcPr>
          <w:p w14:paraId="46A13B1F">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8</w:t>
            </w:r>
            <w:r>
              <w:rPr>
                <w:kern w:val="0"/>
                <w:sz w:val="21"/>
                <w:szCs w:val="21"/>
                <w:highlight w:val="black"/>
              </w:rPr>
              <w:t>个</w:t>
            </w:r>
          </w:p>
        </w:tc>
        <w:tc>
          <w:tcPr>
            <w:tcW w:w="1235" w:type="pct"/>
            <w:tcBorders>
              <w:tl2br w:val="nil"/>
              <w:tr2bl w:val="nil"/>
            </w:tcBorders>
            <w:shd w:val="clear" w:color="auto" w:fill="auto"/>
            <w:vAlign w:val="center"/>
          </w:tcPr>
          <w:p w14:paraId="3265DCB8">
            <w:pPr>
              <w:widowControl/>
              <w:adjustRightInd w:val="0"/>
              <w:snapToGrid w:val="0"/>
              <w:spacing w:line="240" w:lineRule="atLeast"/>
              <w:ind w:firstLine="0" w:firstLineChars="0"/>
              <w:jc w:val="center"/>
              <w:rPr>
                <w:kern w:val="0"/>
                <w:sz w:val="21"/>
                <w:szCs w:val="21"/>
                <w:highlight w:val="black"/>
              </w:rPr>
            </w:pPr>
          </w:p>
        </w:tc>
      </w:tr>
      <w:tr w14:paraId="0FD86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603BBAA7">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E748310">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声光警示系统</w:t>
            </w:r>
          </w:p>
        </w:tc>
        <w:tc>
          <w:tcPr>
            <w:tcW w:w="1707" w:type="pct"/>
            <w:tcBorders>
              <w:tl2br w:val="nil"/>
              <w:tr2bl w:val="nil"/>
            </w:tcBorders>
            <w:shd w:val="clear" w:color="auto" w:fill="auto"/>
            <w:vAlign w:val="center"/>
          </w:tcPr>
          <w:p w14:paraId="06D4FA52">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4</w:t>
            </w:r>
            <w:r>
              <w:rPr>
                <w:sz w:val="21"/>
                <w:szCs w:val="21"/>
                <w:highlight w:val="black"/>
              </w:rPr>
              <w:t>套</w:t>
            </w:r>
          </w:p>
        </w:tc>
        <w:tc>
          <w:tcPr>
            <w:tcW w:w="759" w:type="pct"/>
            <w:tcBorders>
              <w:tl2br w:val="nil"/>
              <w:tr2bl w:val="nil"/>
            </w:tcBorders>
            <w:shd w:val="clear" w:color="auto" w:fill="auto"/>
            <w:vAlign w:val="center"/>
          </w:tcPr>
          <w:p w14:paraId="3393D8DB">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4</w:t>
            </w:r>
            <w:r>
              <w:rPr>
                <w:kern w:val="0"/>
                <w:sz w:val="21"/>
                <w:szCs w:val="21"/>
                <w:highlight w:val="black"/>
              </w:rPr>
              <w:t>个</w:t>
            </w:r>
          </w:p>
        </w:tc>
        <w:tc>
          <w:tcPr>
            <w:tcW w:w="1235" w:type="pct"/>
            <w:tcBorders>
              <w:tl2br w:val="nil"/>
              <w:tr2bl w:val="nil"/>
            </w:tcBorders>
            <w:shd w:val="clear" w:color="auto" w:fill="auto"/>
            <w:vAlign w:val="center"/>
          </w:tcPr>
          <w:p w14:paraId="49F324D2">
            <w:pPr>
              <w:widowControl/>
              <w:adjustRightInd w:val="0"/>
              <w:snapToGrid w:val="0"/>
              <w:spacing w:line="240" w:lineRule="atLeast"/>
              <w:ind w:firstLine="0" w:firstLineChars="0"/>
              <w:jc w:val="center"/>
              <w:rPr>
                <w:kern w:val="0"/>
                <w:sz w:val="21"/>
                <w:szCs w:val="21"/>
                <w:highlight w:val="black"/>
              </w:rPr>
            </w:pPr>
            <w:r>
              <w:rPr>
                <w:sz w:val="21"/>
                <w:szCs w:val="21"/>
                <w:highlight w:val="black"/>
              </w:rPr>
              <w:t>无轨运输设备配套</w:t>
            </w:r>
          </w:p>
        </w:tc>
      </w:tr>
      <w:tr w14:paraId="7F8B2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D3181E1">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F509071">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井口门禁系统</w:t>
            </w:r>
          </w:p>
        </w:tc>
        <w:tc>
          <w:tcPr>
            <w:tcW w:w="1707" w:type="pct"/>
            <w:tcBorders>
              <w:tl2br w:val="nil"/>
              <w:tr2bl w:val="nil"/>
            </w:tcBorders>
            <w:shd w:val="clear" w:color="auto" w:fill="auto"/>
            <w:vAlign w:val="center"/>
          </w:tcPr>
          <w:p w14:paraId="00C23B10">
            <w:pPr>
              <w:widowControl/>
              <w:adjustRightInd w:val="0"/>
              <w:snapToGrid w:val="0"/>
              <w:spacing w:line="240" w:lineRule="atLeast"/>
              <w:ind w:firstLine="0" w:firstLineChars="0"/>
              <w:jc w:val="center"/>
              <w:rPr>
                <w:kern w:val="0"/>
                <w:sz w:val="21"/>
                <w:szCs w:val="21"/>
                <w:highlight w:val="black"/>
              </w:rPr>
            </w:pPr>
            <w:r>
              <w:rPr>
                <w:sz w:val="21"/>
                <w:szCs w:val="21"/>
                <w:highlight w:val="black"/>
              </w:rPr>
              <w:t>1套</w:t>
            </w:r>
          </w:p>
        </w:tc>
        <w:tc>
          <w:tcPr>
            <w:tcW w:w="759" w:type="pct"/>
            <w:tcBorders>
              <w:tl2br w:val="nil"/>
              <w:tr2bl w:val="nil"/>
            </w:tcBorders>
            <w:shd w:val="clear" w:color="auto" w:fill="auto"/>
            <w:vAlign w:val="center"/>
          </w:tcPr>
          <w:p w14:paraId="3660799A">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1</w:t>
            </w:r>
            <w:r>
              <w:rPr>
                <w:kern w:val="0"/>
                <w:sz w:val="21"/>
                <w:szCs w:val="21"/>
                <w:highlight w:val="black"/>
              </w:rPr>
              <w:t>个</w:t>
            </w:r>
          </w:p>
        </w:tc>
        <w:tc>
          <w:tcPr>
            <w:tcW w:w="1235" w:type="pct"/>
            <w:tcBorders>
              <w:tl2br w:val="nil"/>
              <w:tr2bl w:val="nil"/>
            </w:tcBorders>
            <w:shd w:val="clear" w:color="auto" w:fill="auto"/>
            <w:vAlign w:val="center"/>
          </w:tcPr>
          <w:p w14:paraId="2E25E9E8">
            <w:pPr>
              <w:widowControl/>
              <w:adjustRightInd w:val="0"/>
              <w:snapToGrid w:val="0"/>
              <w:spacing w:line="240" w:lineRule="atLeast"/>
              <w:ind w:firstLine="0" w:firstLineChars="0"/>
              <w:jc w:val="center"/>
              <w:rPr>
                <w:kern w:val="0"/>
                <w:sz w:val="21"/>
                <w:szCs w:val="21"/>
                <w:highlight w:val="black"/>
              </w:rPr>
            </w:pPr>
            <w:r>
              <w:rPr>
                <w:sz w:val="21"/>
                <w:szCs w:val="21"/>
                <w:highlight w:val="black"/>
              </w:rPr>
              <w:t>斜坡道硐口</w:t>
            </w:r>
          </w:p>
        </w:tc>
      </w:tr>
      <w:tr w14:paraId="5A60A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18D21985">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4F29BE22">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安全出口指示牌</w:t>
            </w:r>
          </w:p>
        </w:tc>
        <w:tc>
          <w:tcPr>
            <w:tcW w:w="1707" w:type="pct"/>
            <w:tcBorders>
              <w:tl2br w:val="nil"/>
              <w:tr2bl w:val="nil"/>
            </w:tcBorders>
            <w:shd w:val="clear" w:color="auto" w:fill="auto"/>
            <w:vAlign w:val="center"/>
          </w:tcPr>
          <w:p w14:paraId="0F700EBF">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20cm×10cm</w:t>
            </w:r>
          </w:p>
        </w:tc>
        <w:tc>
          <w:tcPr>
            <w:tcW w:w="759" w:type="pct"/>
            <w:tcBorders>
              <w:tl2br w:val="nil"/>
              <w:tr2bl w:val="nil"/>
            </w:tcBorders>
            <w:shd w:val="clear" w:color="auto" w:fill="auto"/>
            <w:vAlign w:val="center"/>
          </w:tcPr>
          <w:p w14:paraId="58F27A8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w:t>
            </w:r>
            <w:r>
              <w:rPr>
                <w:rFonts w:hint="eastAsia"/>
                <w:kern w:val="0"/>
                <w:sz w:val="21"/>
                <w:szCs w:val="21"/>
                <w:highlight w:val="black"/>
              </w:rPr>
              <w:t>2</w:t>
            </w:r>
            <w:r>
              <w:rPr>
                <w:kern w:val="0"/>
                <w:sz w:val="21"/>
                <w:szCs w:val="21"/>
                <w:highlight w:val="black"/>
              </w:rPr>
              <w:t>套</w:t>
            </w:r>
          </w:p>
        </w:tc>
        <w:tc>
          <w:tcPr>
            <w:tcW w:w="1235" w:type="pct"/>
            <w:tcBorders>
              <w:tl2br w:val="nil"/>
              <w:tr2bl w:val="nil"/>
            </w:tcBorders>
            <w:shd w:val="clear" w:color="auto" w:fill="auto"/>
            <w:vAlign w:val="center"/>
          </w:tcPr>
          <w:p w14:paraId="6954196F">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分叉、拐弯处</w:t>
            </w:r>
          </w:p>
        </w:tc>
      </w:tr>
      <w:tr w14:paraId="14720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4956DFC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采场</w:t>
            </w:r>
          </w:p>
        </w:tc>
        <w:tc>
          <w:tcPr>
            <w:tcW w:w="782" w:type="pct"/>
            <w:tcBorders>
              <w:tl2br w:val="nil"/>
              <w:tr2bl w:val="nil"/>
            </w:tcBorders>
            <w:shd w:val="clear" w:color="auto" w:fill="auto"/>
            <w:vAlign w:val="center"/>
          </w:tcPr>
          <w:p w14:paraId="24D3613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采空区及其他危险区域的探测、封闭、隔离</w:t>
            </w:r>
          </w:p>
        </w:tc>
        <w:tc>
          <w:tcPr>
            <w:tcW w:w="1707" w:type="pct"/>
            <w:tcBorders>
              <w:tl2br w:val="nil"/>
              <w:tr2bl w:val="nil"/>
            </w:tcBorders>
            <w:shd w:val="clear" w:color="auto" w:fill="auto"/>
            <w:vAlign w:val="center"/>
          </w:tcPr>
          <w:p w14:paraId="5C450385">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采空区以及其他危险区域探测利用超前探放水进行。采空区采用回填的方式进行处理。</w:t>
            </w:r>
          </w:p>
        </w:tc>
        <w:tc>
          <w:tcPr>
            <w:tcW w:w="759" w:type="pct"/>
            <w:tcBorders>
              <w:tl2br w:val="nil"/>
              <w:tr2bl w:val="nil"/>
            </w:tcBorders>
            <w:shd w:val="clear" w:color="auto" w:fill="auto"/>
            <w:vAlign w:val="center"/>
          </w:tcPr>
          <w:p w14:paraId="5EA4FA47">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按实际</w:t>
            </w:r>
          </w:p>
        </w:tc>
        <w:tc>
          <w:tcPr>
            <w:tcW w:w="1235" w:type="pct"/>
            <w:tcBorders>
              <w:tl2br w:val="nil"/>
              <w:tr2bl w:val="nil"/>
            </w:tcBorders>
            <w:shd w:val="clear" w:color="auto" w:fill="auto"/>
            <w:vAlign w:val="center"/>
          </w:tcPr>
          <w:p w14:paraId="7A226462">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所有回采结束的采场以及其他可疑区域。</w:t>
            </w:r>
          </w:p>
        </w:tc>
      </w:tr>
      <w:tr w14:paraId="3F48B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shd w:val="clear" w:color="auto" w:fill="auto"/>
            <w:vAlign w:val="center"/>
          </w:tcPr>
          <w:p w14:paraId="759E40DB">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532B01C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人行通风天井</w:t>
            </w:r>
            <w:r>
              <w:rPr>
                <w:rFonts w:hint="eastAsia"/>
                <w:kern w:val="0"/>
                <w:sz w:val="21"/>
                <w:szCs w:val="21"/>
                <w:highlight w:val="black"/>
              </w:rPr>
              <w:t>防护</w:t>
            </w:r>
          </w:p>
        </w:tc>
        <w:tc>
          <w:tcPr>
            <w:tcW w:w="1707" w:type="pct"/>
            <w:tcBorders>
              <w:tl2br w:val="nil"/>
              <w:tr2bl w:val="nil"/>
            </w:tcBorders>
            <w:shd w:val="clear" w:color="auto" w:fill="auto"/>
            <w:vAlign w:val="center"/>
          </w:tcPr>
          <w:p w14:paraId="33F0F33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梯子间、井口安全护栏、警示标志</w:t>
            </w:r>
          </w:p>
        </w:tc>
        <w:tc>
          <w:tcPr>
            <w:tcW w:w="759" w:type="pct"/>
            <w:tcBorders>
              <w:tl2br w:val="nil"/>
              <w:tr2bl w:val="nil"/>
            </w:tcBorders>
            <w:shd w:val="clear" w:color="auto" w:fill="auto"/>
            <w:vAlign w:val="center"/>
          </w:tcPr>
          <w:p w14:paraId="3DAF1B0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3</w:t>
            </w:r>
          </w:p>
        </w:tc>
        <w:tc>
          <w:tcPr>
            <w:tcW w:w="1235" w:type="pct"/>
            <w:tcBorders>
              <w:tl2br w:val="nil"/>
              <w:tr2bl w:val="nil"/>
            </w:tcBorders>
            <w:shd w:val="clear" w:color="auto" w:fill="auto"/>
            <w:vAlign w:val="center"/>
          </w:tcPr>
          <w:p w14:paraId="01AC050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人行通风天井井口及井筒</w:t>
            </w:r>
          </w:p>
        </w:tc>
      </w:tr>
      <w:tr w14:paraId="68D27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62FC9E33">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104DF03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采场废弃天井</w:t>
            </w:r>
            <w:r>
              <w:rPr>
                <w:rFonts w:hint="eastAsia"/>
                <w:kern w:val="0"/>
                <w:sz w:val="21"/>
                <w:szCs w:val="21"/>
                <w:highlight w:val="black"/>
              </w:rPr>
              <w:t>处理</w:t>
            </w:r>
          </w:p>
        </w:tc>
        <w:tc>
          <w:tcPr>
            <w:tcW w:w="1707" w:type="pct"/>
            <w:tcBorders>
              <w:tl2br w:val="nil"/>
              <w:tr2bl w:val="nil"/>
            </w:tcBorders>
            <w:shd w:val="clear" w:color="auto" w:fill="auto"/>
            <w:vAlign w:val="center"/>
          </w:tcPr>
          <w:p w14:paraId="1904E76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废弃井口密闭、警示标志，栅栏门。</w:t>
            </w:r>
          </w:p>
        </w:tc>
        <w:tc>
          <w:tcPr>
            <w:tcW w:w="759" w:type="pct"/>
            <w:tcBorders>
              <w:tl2br w:val="nil"/>
              <w:tr2bl w:val="nil"/>
            </w:tcBorders>
            <w:shd w:val="clear" w:color="auto" w:fill="auto"/>
            <w:vAlign w:val="center"/>
          </w:tcPr>
          <w:p w14:paraId="6C2D9B6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按实际</w:t>
            </w:r>
          </w:p>
        </w:tc>
        <w:tc>
          <w:tcPr>
            <w:tcW w:w="1235" w:type="pct"/>
            <w:tcBorders>
              <w:tl2br w:val="nil"/>
              <w:tr2bl w:val="nil"/>
            </w:tcBorders>
            <w:shd w:val="clear" w:color="auto" w:fill="auto"/>
            <w:vAlign w:val="center"/>
          </w:tcPr>
          <w:p w14:paraId="2CAFA17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人行通风天井井口及井筒</w:t>
            </w:r>
          </w:p>
        </w:tc>
      </w:tr>
      <w:tr w14:paraId="5F985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6E3472FC">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D2C219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爆破安全设施</w:t>
            </w:r>
          </w:p>
        </w:tc>
        <w:tc>
          <w:tcPr>
            <w:tcW w:w="1707" w:type="pct"/>
            <w:tcBorders>
              <w:tl2br w:val="nil"/>
              <w:tr2bl w:val="nil"/>
            </w:tcBorders>
            <w:shd w:val="clear" w:color="auto" w:fill="auto"/>
            <w:vAlign w:val="center"/>
          </w:tcPr>
          <w:p w14:paraId="5112457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警示牌、警示旗、报警器、警戒带等</w:t>
            </w:r>
          </w:p>
        </w:tc>
        <w:tc>
          <w:tcPr>
            <w:tcW w:w="759" w:type="pct"/>
            <w:tcBorders>
              <w:tl2br w:val="nil"/>
              <w:tr2bl w:val="nil"/>
            </w:tcBorders>
            <w:shd w:val="clear" w:color="auto" w:fill="auto"/>
            <w:vAlign w:val="center"/>
          </w:tcPr>
          <w:p w14:paraId="44FF164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3套</w:t>
            </w:r>
          </w:p>
        </w:tc>
        <w:tc>
          <w:tcPr>
            <w:tcW w:w="1235" w:type="pct"/>
            <w:tcBorders>
              <w:tl2br w:val="nil"/>
              <w:tr2bl w:val="nil"/>
            </w:tcBorders>
            <w:shd w:val="clear" w:color="auto" w:fill="auto"/>
            <w:vAlign w:val="center"/>
          </w:tcPr>
          <w:p w14:paraId="0906A94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爆破点附近</w:t>
            </w:r>
          </w:p>
        </w:tc>
      </w:tr>
      <w:tr w14:paraId="5C7C6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292207B">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AF5013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采场通风</w:t>
            </w:r>
          </w:p>
        </w:tc>
        <w:tc>
          <w:tcPr>
            <w:tcW w:w="1707" w:type="pct"/>
            <w:tcBorders>
              <w:tl2br w:val="nil"/>
              <w:tr2bl w:val="nil"/>
            </w:tcBorders>
            <w:shd w:val="clear" w:color="auto" w:fill="auto"/>
            <w:vAlign w:val="center"/>
          </w:tcPr>
          <w:p w14:paraId="543DC3B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局扇FK№4.5/11、阻燃风筒、采场调节风门</w:t>
            </w:r>
          </w:p>
        </w:tc>
        <w:tc>
          <w:tcPr>
            <w:tcW w:w="759" w:type="pct"/>
            <w:tcBorders>
              <w:tl2br w:val="nil"/>
              <w:tr2bl w:val="nil"/>
            </w:tcBorders>
            <w:shd w:val="clear" w:color="auto" w:fill="auto"/>
            <w:vAlign w:val="center"/>
          </w:tcPr>
          <w:p w14:paraId="608B6BF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8</w:t>
            </w:r>
          </w:p>
        </w:tc>
        <w:tc>
          <w:tcPr>
            <w:tcW w:w="1235" w:type="pct"/>
            <w:tcBorders>
              <w:tl2br w:val="nil"/>
              <w:tr2bl w:val="nil"/>
            </w:tcBorders>
            <w:shd w:val="clear" w:color="auto" w:fill="auto"/>
            <w:vAlign w:val="center"/>
          </w:tcPr>
          <w:p w14:paraId="5FB922E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需加强通风位置，掘进及采场。</w:t>
            </w:r>
          </w:p>
        </w:tc>
      </w:tr>
      <w:tr w14:paraId="51CA2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2BAD07C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供、配电设施</w:t>
            </w:r>
          </w:p>
        </w:tc>
        <w:tc>
          <w:tcPr>
            <w:tcW w:w="782" w:type="pct"/>
            <w:tcBorders>
              <w:tl2br w:val="nil"/>
              <w:tr2bl w:val="nil"/>
            </w:tcBorders>
            <w:shd w:val="clear" w:color="auto" w:fill="auto"/>
            <w:vAlign w:val="center"/>
          </w:tcPr>
          <w:p w14:paraId="280F6A9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裸带电体基本</w:t>
            </w:r>
            <w:r>
              <w:rPr>
                <w:rFonts w:hint="eastAsia"/>
                <w:kern w:val="0"/>
                <w:sz w:val="21"/>
                <w:szCs w:val="21"/>
                <w:highlight w:val="black"/>
              </w:rPr>
              <w:t>（</w:t>
            </w:r>
            <w:r>
              <w:rPr>
                <w:kern w:val="0"/>
                <w:sz w:val="21"/>
                <w:szCs w:val="21"/>
                <w:highlight w:val="black"/>
              </w:rPr>
              <w:t>直接接触</w:t>
            </w:r>
            <w:r>
              <w:rPr>
                <w:rFonts w:hint="eastAsia"/>
                <w:kern w:val="0"/>
                <w:sz w:val="21"/>
                <w:szCs w:val="21"/>
                <w:highlight w:val="black"/>
              </w:rPr>
              <w:t>）</w:t>
            </w:r>
            <w:r>
              <w:rPr>
                <w:kern w:val="0"/>
                <w:sz w:val="21"/>
                <w:szCs w:val="21"/>
                <w:highlight w:val="black"/>
              </w:rPr>
              <w:t>防护设施</w:t>
            </w:r>
          </w:p>
        </w:tc>
        <w:tc>
          <w:tcPr>
            <w:tcW w:w="1707" w:type="pct"/>
            <w:tcBorders>
              <w:tl2br w:val="nil"/>
              <w:tr2bl w:val="nil"/>
            </w:tcBorders>
            <w:shd w:val="clear" w:color="auto" w:fill="auto"/>
            <w:vAlign w:val="center"/>
          </w:tcPr>
          <w:p w14:paraId="7278861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周围增加防护栅栏，并增设保护罩或遮拦及警示标志</w:t>
            </w:r>
          </w:p>
        </w:tc>
        <w:tc>
          <w:tcPr>
            <w:tcW w:w="759" w:type="pct"/>
            <w:tcBorders>
              <w:tl2br w:val="nil"/>
              <w:tr2bl w:val="nil"/>
            </w:tcBorders>
            <w:shd w:val="clear" w:color="auto" w:fill="auto"/>
            <w:vAlign w:val="center"/>
          </w:tcPr>
          <w:p w14:paraId="14BCB71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2套</w:t>
            </w:r>
          </w:p>
        </w:tc>
        <w:tc>
          <w:tcPr>
            <w:tcW w:w="1235" w:type="pct"/>
            <w:tcBorders>
              <w:tl2br w:val="nil"/>
              <w:tr2bl w:val="nil"/>
            </w:tcBorders>
            <w:shd w:val="clear" w:color="auto" w:fill="auto"/>
            <w:vAlign w:val="center"/>
          </w:tcPr>
          <w:p w14:paraId="26C795C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裸带电体附近</w:t>
            </w:r>
          </w:p>
        </w:tc>
      </w:tr>
      <w:tr w14:paraId="69921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53B8E2CA">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76E1351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变电所及配电硐室设防火门、栅栏门</w:t>
            </w:r>
          </w:p>
        </w:tc>
        <w:tc>
          <w:tcPr>
            <w:tcW w:w="1707" w:type="pct"/>
            <w:tcBorders>
              <w:tl2br w:val="nil"/>
              <w:tr2bl w:val="nil"/>
            </w:tcBorders>
            <w:shd w:val="clear" w:color="auto" w:fill="auto"/>
            <w:vAlign w:val="center"/>
          </w:tcPr>
          <w:p w14:paraId="38BEF87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变电所出口设置阻燃式防火门，以及防止无关人员进入的栅栏门</w:t>
            </w:r>
          </w:p>
        </w:tc>
        <w:tc>
          <w:tcPr>
            <w:tcW w:w="759" w:type="pct"/>
            <w:tcBorders>
              <w:tl2br w:val="nil"/>
              <w:tr2bl w:val="nil"/>
            </w:tcBorders>
            <w:shd w:val="clear" w:color="auto" w:fill="auto"/>
            <w:vAlign w:val="center"/>
          </w:tcPr>
          <w:p w14:paraId="114FCFB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2套</w:t>
            </w:r>
          </w:p>
        </w:tc>
        <w:tc>
          <w:tcPr>
            <w:tcW w:w="1235" w:type="pct"/>
            <w:tcBorders>
              <w:tl2br w:val="nil"/>
              <w:tr2bl w:val="nil"/>
            </w:tcBorders>
            <w:shd w:val="clear" w:color="auto" w:fill="auto"/>
            <w:vAlign w:val="center"/>
          </w:tcPr>
          <w:p w14:paraId="3DE0866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变电所通道</w:t>
            </w:r>
          </w:p>
        </w:tc>
      </w:tr>
      <w:tr w14:paraId="50F3E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24F5BB20">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02187DB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保护接地</w:t>
            </w:r>
          </w:p>
        </w:tc>
        <w:tc>
          <w:tcPr>
            <w:tcW w:w="1707" w:type="pct"/>
            <w:tcBorders>
              <w:tl2br w:val="nil"/>
              <w:tr2bl w:val="nil"/>
            </w:tcBorders>
            <w:shd w:val="clear" w:color="auto" w:fill="auto"/>
            <w:vAlign w:val="center"/>
          </w:tcPr>
          <w:p w14:paraId="009A923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井上及井下电气设备均可靠接地</w:t>
            </w:r>
          </w:p>
        </w:tc>
        <w:tc>
          <w:tcPr>
            <w:tcW w:w="759" w:type="pct"/>
            <w:tcBorders>
              <w:tl2br w:val="nil"/>
              <w:tr2bl w:val="nil"/>
            </w:tcBorders>
            <w:shd w:val="clear" w:color="auto" w:fill="auto"/>
            <w:vAlign w:val="center"/>
          </w:tcPr>
          <w:p w14:paraId="44E83A8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各电气设备</w:t>
            </w:r>
          </w:p>
        </w:tc>
        <w:tc>
          <w:tcPr>
            <w:tcW w:w="1235" w:type="pct"/>
            <w:tcBorders>
              <w:tl2br w:val="nil"/>
              <w:tr2bl w:val="nil"/>
            </w:tcBorders>
            <w:shd w:val="clear" w:color="auto" w:fill="auto"/>
            <w:vAlign w:val="center"/>
          </w:tcPr>
          <w:p w14:paraId="1C1AF34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各电气设备</w:t>
            </w:r>
          </w:p>
        </w:tc>
      </w:tr>
      <w:tr w14:paraId="78F41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376B973E">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3595F50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变电所及配电硐室应急照明设施</w:t>
            </w:r>
          </w:p>
        </w:tc>
        <w:tc>
          <w:tcPr>
            <w:tcW w:w="1707" w:type="pct"/>
            <w:tcBorders>
              <w:tl2br w:val="nil"/>
              <w:tr2bl w:val="nil"/>
            </w:tcBorders>
            <w:shd w:val="clear" w:color="auto" w:fill="auto"/>
            <w:vAlign w:val="center"/>
          </w:tcPr>
          <w:p w14:paraId="54E5B64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采用应急照明装置，在事故或者停电状态下保证正常照明24小时</w:t>
            </w:r>
          </w:p>
        </w:tc>
        <w:tc>
          <w:tcPr>
            <w:tcW w:w="759" w:type="pct"/>
            <w:tcBorders>
              <w:tl2br w:val="nil"/>
              <w:tr2bl w:val="nil"/>
            </w:tcBorders>
            <w:shd w:val="clear" w:color="auto" w:fill="auto"/>
            <w:vAlign w:val="center"/>
          </w:tcPr>
          <w:p w14:paraId="0B8FA0F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201FA47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变电所及配电硐室内</w:t>
            </w:r>
          </w:p>
        </w:tc>
      </w:tr>
      <w:tr w14:paraId="31185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47D79903">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3515F30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地面建筑物防雷</w:t>
            </w:r>
          </w:p>
        </w:tc>
        <w:tc>
          <w:tcPr>
            <w:tcW w:w="1707" w:type="pct"/>
            <w:tcBorders>
              <w:tl2br w:val="nil"/>
              <w:tr2bl w:val="nil"/>
            </w:tcBorders>
            <w:shd w:val="clear" w:color="auto" w:fill="auto"/>
            <w:vAlign w:val="center"/>
          </w:tcPr>
          <w:p w14:paraId="26189BA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工业场地内建筑物及架空线路应设避雷针或避雷带作防雷保护，为防止雷电感应损坏电机应做防雷及接地保护，高压架空输电线路在进户处装设避雷器作防雷保护</w:t>
            </w:r>
          </w:p>
        </w:tc>
        <w:tc>
          <w:tcPr>
            <w:tcW w:w="759" w:type="pct"/>
            <w:tcBorders>
              <w:tl2br w:val="nil"/>
              <w:tr2bl w:val="nil"/>
            </w:tcBorders>
            <w:shd w:val="clear" w:color="auto" w:fill="auto"/>
            <w:noWrap/>
            <w:vAlign w:val="center"/>
          </w:tcPr>
          <w:p w14:paraId="1917F5D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6</w:t>
            </w:r>
          </w:p>
        </w:tc>
        <w:tc>
          <w:tcPr>
            <w:tcW w:w="1235" w:type="pct"/>
            <w:tcBorders>
              <w:tl2br w:val="nil"/>
              <w:tr2bl w:val="nil"/>
            </w:tcBorders>
            <w:shd w:val="clear" w:color="auto" w:fill="auto"/>
            <w:vAlign w:val="center"/>
          </w:tcPr>
          <w:p w14:paraId="473E037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各建构筑物</w:t>
            </w:r>
          </w:p>
        </w:tc>
      </w:tr>
      <w:tr w14:paraId="191D2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0D607D0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通风和空气预热及制冷降温</w:t>
            </w:r>
          </w:p>
        </w:tc>
        <w:tc>
          <w:tcPr>
            <w:tcW w:w="782" w:type="pct"/>
            <w:tcBorders>
              <w:tl2br w:val="nil"/>
              <w:tr2bl w:val="nil"/>
            </w:tcBorders>
            <w:shd w:val="clear" w:color="auto" w:fill="auto"/>
            <w:vAlign w:val="center"/>
          </w:tcPr>
          <w:p w14:paraId="49A89BB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反风设施和备用电机及快速更换装置</w:t>
            </w:r>
          </w:p>
        </w:tc>
        <w:tc>
          <w:tcPr>
            <w:tcW w:w="1707" w:type="pct"/>
            <w:tcBorders>
              <w:tl2br w:val="nil"/>
              <w:tr2bl w:val="nil"/>
            </w:tcBorders>
            <w:shd w:val="clear" w:color="auto" w:fill="auto"/>
            <w:vAlign w:val="center"/>
          </w:tcPr>
          <w:p w14:paraId="646A2A6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控制风机反转实现反风；风机备用一台相同型号规格电动机；在风机房顶板设手拉葫芦，以便迅速调换电动机。</w:t>
            </w:r>
          </w:p>
        </w:tc>
        <w:tc>
          <w:tcPr>
            <w:tcW w:w="759" w:type="pct"/>
            <w:tcBorders>
              <w:tl2br w:val="nil"/>
              <w:tr2bl w:val="nil"/>
            </w:tcBorders>
            <w:shd w:val="clear" w:color="auto" w:fill="auto"/>
            <w:vAlign w:val="center"/>
          </w:tcPr>
          <w:p w14:paraId="57E9550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2套</w:t>
            </w:r>
          </w:p>
        </w:tc>
        <w:tc>
          <w:tcPr>
            <w:tcW w:w="1235" w:type="pct"/>
            <w:tcBorders>
              <w:tl2br w:val="nil"/>
              <w:tr2bl w:val="nil"/>
            </w:tcBorders>
            <w:shd w:val="clear" w:color="auto" w:fill="auto"/>
            <w:vAlign w:val="center"/>
          </w:tcPr>
          <w:p w14:paraId="2D6F124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各风井处</w:t>
            </w:r>
          </w:p>
        </w:tc>
      </w:tr>
      <w:tr w14:paraId="46A32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0E1BB117">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5765766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局部通风机</w:t>
            </w:r>
          </w:p>
        </w:tc>
        <w:tc>
          <w:tcPr>
            <w:tcW w:w="1707" w:type="pct"/>
            <w:tcBorders>
              <w:tl2br w:val="nil"/>
              <w:tr2bl w:val="nil"/>
            </w:tcBorders>
            <w:shd w:val="clear" w:color="auto" w:fill="auto"/>
            <w:vAlign w:val="center"/>
          </w:tcPr>
          <w:p w14:paraId="6A7D20D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井下采用FK№4.5/11型局部通风机加强通风。</w:t>
            </w:r>
          </w:p>
        </w:tc>
        <w:tc>
          <w:tcPr>
            <w:tcW w:w="759" w:type="pct"/>
            <w:tcBorders>
              <w:tl2br w:val="nil"/>
              <w:tr2bl w:val="nil"/>
            </w:tcBorders>
            <w:shd w:val="clear" w:color="auto" w:fill="auto"/>
            <w:vAlign w:val="center"/>
          </w:tcPr>
          <w:p w14:paraId="5D61D1D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8台</w:t>
            </w:r>
          </w:p>
        </w:tc>
        <w:tc>
          <w:tcPr>
            <w:tcW w:w="1235" w:type="pct"/>
            <w:tcBorders>
              <w:tl2br w:val="nil"/>
              <w:tr2bl w:val="nil"/>
            </w:tcBorders>
            <w:shd w:val="clear" w:color="auto" w:fill="auto"/>
            <w:vAlign w:val="center"/>
          </w:tcPr>
          <w:p w14:paraId="0CBCEB7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采场以及通风困难处</w:t>
            </w:r>
          </w:p>
        </w:tc>
      </w:tr>
      <w:tr w14:paraId="4FA49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B8E3BB4">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1A95567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风机进风口的安全护栏和防护网</w:t>
            </w:r>
          </w:p>
        </w:tc>
        <w:tc>
          <w:tcPr>
            <w:tcW w:w="1707" w:type="pct"/>
            <w:tcBorders>
              <w:tl2br w:val="nil"/>
              <w:tr2bl w:val="nil"/>
            </w:tcBorders>
            <w:shd w:val="clear" w:color="auto" w:fill="auto"/>
            <w:vAlign w:val="center"/>
          </w:tcPr>
          <w:p w14:paraId="6E22C04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采用金属网将风机进风口全部封住，并在风机周围设置安全护栏。</w:t>
            </w:r>
          </w:p>
        </w:tc>
        <w:tc>
          <w:tcPr>
            <w:tcW w:w="759" w:type="pct"/>
            <w:tcBorders>
              <w:tl2br w:val="nil"/>
              <w:tr2bl w:val="nil"/>
            </w:tcBorders>
            <w:shd w:val="clear" w:color="auto" w:fill="auto"/>
            <w:vAlign w:val="center"/>
          </w:tcPr>
          <w:p w14:paraId="4636AA8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2套</w:t>
            </w:r>
          </w:p>
        </w:tc>
        <w:tc>
          <w:tcPr>
            <w:tcW w:w="1235" w:type="pct"/>
            <w:tcBorders>
              <w:tl2br w:val="nil"/>
              <w:tr2bl w:val="nil"/>
            </w:tcBorders>
            <w:shd w:val="clear" w:color="auto" w:fill="auto"/>
            <w:vAlign w:val="center"/>
          </w:tcPr>
          <w:p w14:paraId="3A399F6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各风机处</w:t>
            </w:r>
          </w:p>
        </w:tc>
      </w:tr>
      <w:tr w14:paraId="6DC52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14" w:type="pct"/>
            <w:vMerge w:val="continue"/>
            <w:tcBorders>
              <w:tl2br w:val="nil"/>
              <w:tr2bl w:val="nil"/>
            </w:tcBorders>
            <w:vAlign w:val="center"/>
          </w:tcPr>
          <w:p w14:paraId="77C301BB">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0F265C9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阻燃风筒</w:t>
            </w:r>
          </w:p>
        </w:tc>
        <w:tc>
          <w:tcPr>
            <w:tcW w:w="1707" w:type="pct"/>
            <w:tcBorders>
              <w:tl2br w:val="nil"/>
              <w:tr2bl w:val="nil"/>
            </w:tcBorders>
            <w:shd w:val="clear" w:color="auto" w:fill="auto"/>
            <w:vAlign w:val="center"/>
          </w:tcPr>
          <w:p w14:paraId="4DBBF2A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局部通风机风筒均采用阻燃型风筒。</w:t>
            </w:r>
          </w:p>
        </w:tc>
        <w:tc>
          <w:tcPr>
            <w:tcW w:w="759" w:type="pct"/>
            <w:tcBorders>
              <w:tl2br w:val="nil"/>
              <w:tr2bl w:val="nil"/>
            </w:tcBorders>
            <w:shd w:val="clear" w:color="auto" w:fill="auto"/>
            <w:vAlign w:val="center"/>
          </w:tcPr>
          <w:p w14:paraId="3E583DDE">
            <w:pPr>
              <w:widowControl/>
              <w:adjustRightInd w:val="0"/>
              <w:snapToGrid w:val="0"/>
              <w:spacing w:line="240" w:lineRule="atLeast"/>
              <w:ind w:firstLine="0" w:firstLineChars="0"/>
              <w:jc w:val="center"/>
              <w:rPr>
                <w:kern w:val="0"/>
                <w:sz w:val="21"/>
                <w:szCs w:val="21"/>
                <w:highlight w:val="black"/>
              </w:rPr>
            </w:pPr>
            <w:r>
              <w:rPr>
                <w:rFonts w:hint="eastAsia"/>
                <w:kern w:val="0"/>
                <w:sz w:val="21"/>
                <w:szCs w:val="21"/>
                <w:highlight w:val="black"/>
              </w:rPr>
              <w:t>800m</w:t>
            </w:r>
          </w:p>
        </w:tc>
        <w:tc>
          <w:tcPr>
            <w:tcW w:w="1235" w:type="pct"/>
            <w:tcBorders>
              <w:tl2br w:val="nil"/>
              <w:tr2bl w:val="nil"/>
            </w:tcBorders>
            <w:shd w:val="clear" w:color="auto" w:fill="auto"/>
            <w:vAlign w:val="center"/>
          </w:tcPr>
          <w:p w14:paraId="5A4A41A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所有局扇风筒</w:t>
            </w:r>
          </w:p>
        </w:tc>
      </w:tr>
      <w:tr w14:paraId="1971C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3EBCB38C">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840D94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通风构筑物</w:t>
            </w:r>
          </w:p>
        </w:tc>
        <w:tc>
          <w:tcPr>
            <w:tcW w:w="1707" w:type="pct"/>
            <w:tcBorders>
              <w:tl2br w:val="nil"/>
              <w:tr2bl w:val="nil"/>
            </w:tcBorders>
            <w:shd w:val="clear" w:color="auto" w:fill="auto"/>
            <w:vAlign w:val="center"/>
          </w:tcPr>
          <w:p w14:paraId="1ADD37D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通风网路中设置风门，在易混风、漏风直线巷道处，设置手动或自动风门，风门采用金属结构，封严不漏风，逆风开启顺风关闭，并向关门方向倾斜80°～85°，运输车通过时有声光信号。</w:t>
            </w:r>
          </w:p>
        </w:tc>
        <w:tc>
          <w:tcPr>
            <w:tcW w:w="759" w:type="pct"/>
            <w:tcBorders>
              <w:tl2br w:val="nil"/>
              <w:tr2bl w:val="nil"/>
            </w:tcBorders>
            <w:shd w:val="clear" w:color="auto" w:fill="auto"/>
            <w:vAlign w:val="center"/>
          </w:tcPr>
          <w:p w14:paraId="33B3F6E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22套</w:t>
            </w:r>
          </w:p>
        </w:tc>
        <w:tc>
          <w:tcPr>
            <w:tcW w:w="1235" w:type="pct"/>
            <w:tcBorders>
              <w:tl2br w:val="nil"/>
              <w:tr2bl w:val="nil"/>
            </w:tcBorders>
            <w:shd w:val="clear" w:color="auto" w:fill="auto"/>
            <w:vAlign w:val="center"/>
          </w:tcPr>
          <w:p w14:paraId="1A14579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通风困难或者需要改变风量、风向、风俗处</w:t>
            </w:r>
          </w:p>
        </w:tc>
      </w:tr>
      <w:tr w14:paraId="30A53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3CA070B7">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7210E7C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回风天井的安全护栏</w:t>
            </w:r>
          </w:p>
        </w:tc>
        <w:tc>
          <w:tcPr>
            <w:tcW w:w="1707" w:type="pct"/>
            <w:tcBorders>
              <w:tl2br w:val="nil"/>
              <w:tr2bl w:val="nil"/>
            </w:tcBorders>
            <w:shd w:val="clear" w:color="auto" w:fill="auto"/>
            <w:vAlign w:val="center"/>
          </w:tcPr>
          <w:p w14:paraId="0D98D28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回风天井口处设置。钢材焊接而成，坚固可靠，高度不低于1.5m，且挂有警示标志。</w:t>
            </w:r>
          </w:p>
        </w:tc>
        <w:tc>
          <w:tcPr>
            <w:tcW w:w="759" w:type="pct"/>
            <w:tcBorders>
              <w:tl2br w:val="nil"/>
              <w:tr2bl w:val="nil"/>
            </w:tcBorders>
            <w:shd w:val="clear" w:color="auto" w:fill="auto"/>
            <w:vAlign w:val="center"/>
          </w:tcPr>
          <w:p w14:paraId="3AD23E7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因实际</w:t>
            </w:r>
          </w:p>
        </w:tc>
        <w:tc>
          <w:tcPr>
            <w:tcW w:w="1235" w:type="pct"/>
            <w:tcBorders>
              <w:tl2br w:val="nil"/>
              <w:tr2bl w:val="nil"/>
            </w:tcBorders>
            <w:shd w:val="clear" w:color="auto" w:fill="auto"/>
            <w:vAlign w:val="center"/>
          </w:tcPr>
          <w:p w14:paraId="2EB353D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所有天井井口</w:t>
            </w:r>
          </w:p>
        </w:tc>
      </w:tr>
      <w:tr w14:paraId="692EB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4C318312">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227E184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井口预热</w:t>
            </w:r>
          </w:p>
        </w:tc>
        <w:tc>
          <w:tcPr>
            <w:tcW w:w="1707" w:type="pct"/>
            <w:tcBorders>
              <w:tl2br w:val="nil"/>
              <w:tr2bl w:val="nil"/>
            </w:tcBorders>
            <w:shd w:val="clear" w:color="auto" w:fill="auto"/>
            <w:vAlign w:val="center"/>
          </w:tcPr>
          <w:p w14:paraId="5A76A50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在</w:t>
            </w:r>
            <w:r>
              <w:rPr>
                <w:rFonts w:hint="eastAsia"/>
                <w:kern w:val="0"/>
                <w:sz w:val="21"/>
                <w:szCs w:val="21"/>
                <w:highlight w:val="black"/>
              </w:rPr>
              <w:t>斜坡道口</w:t>
            </w:r>
            <w:r>
              <w:rPr>
                <w:kern w:val="0"/>
                <w:sz w:val="21"/>
                <w:szCs w:val="21"/>
                <w:highlight w:val="black"/>
              </w:rPr>
              <w:t>设置空气加热机组。</w:t>
            </w:r>
          </w:p>
        </w:tc>
        <w:tc>
          <w:tcPr>
            <w:tcW w:w="759" w:type="pct"/>
            <w:tcBorders>
              <w:tl2br w:val="nil"/>
              <w:tr2bl w:val="nil"/>
            </w:tcBorders>
            <w:shd w:val="clear" w:color="auto" w:fill="auto"/>
            <w:vAlign w:val="center"/>
          </w:tcPr>
          <w:p w14:paraId="14A6B938">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5</w:t>
            </w:r>
            <w:r>
              <w:rPr>
                <w:sz w:val="21"/>
                <w:szCs w:val="21"/>
                <w:highlight w:val="black"/>
              </w:rPr>
              <w:t>台</w:t>
            </w:r>
          </w:p>
        </w:tc>
        <w:tc>
          <w:tcPr>
            <w:tcW w:w="1235" w:type="pct"/>
            <w:tcBorders>
              <w:tl2br w:val="nil"/>
              <w:tr2bl w:val="nil"/>
            </w:tcBorders>
            <w:shd w:val="clear" w:color="auto" w:fill="auto"/>
            <w:vAlign w:val="center"/>
          </w:tcPr>
          <w:p w14:paraId="5B1C567C">
            <w:pPr>
              <w:widowControl/>
              <w:adjustRightInd w:val="0"/>
              <w:snapToGrid w:val="0"/>
              <w:spacing w:line="240" w:lineRule="atLeast"/>
              <w:ind w:firstLine="0" w:firstLineChars="0"/>
              <w:jc w:val="center"/>
              <w:rPr>
                <w:kern w:val="0"/>
                <w:sz w:val="21"/>
                <w:szCs w:val="21"/>
                <w:highlight w:val="black"/>
              </w:rPr>
            </w:pPr>
            <w:r>
              <w:rPr>
                <w:rFonts w:hint="eastAsia"/>
                <w:sz w:val="21"/>
                <w:szCs w:val="21"/>
                <w:highlight w:val="black"/>
              </w:rPr>
              <w:t>斜坡道硐口处</w:t>
            </w:r>
          </w:p>
        </w:tc>
      </w:tr>
      <w:tr w14:paraId="6CE04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3FED43A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排水系统</w:t>
            </w:r>
          </w:p>
        </w:tc>
        <w:tc>
          <w:tcPr>
            <w:tcW w:w="782" w:type="pct"/>
            <w:tcBorders>
              <w:tl2br w:val="nil"/>
              <w:tr2bl w:val="nil"/>
            </w:tcBorders>
            <w:shd w:val="clear" w:color="auto" w:fill="auto"/>
            <w:vAlign w:val="center"/>
          </w:tcPr>
          <w:p w14:paraId="0C4935D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监测与控制设施</w:t>
            </w:r>
          </w:p>
        </w:tc>
        <w:tc>
          <w:tcPr>
            <w:tcW w:w="1707" w:type="pct"/>
            <w:tcBorders>
              <w:tl2br w:val="nil"/>
              <w:tr2bl w:val="nil"/>
            </w:tcBorders>
            <w:shd w:val="clear" w:color="auto" w:fill="auto"/>
            <w:vAlign w:val="center"/>
          </w:tcPr>
          <w:p w14:paraId="6FA40AB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主要是对水泵流量、扬程以及电机等设备运转情况进行</w:t>
            </w:r>
            <w:r>
              <w:rPr>
                <w:rFonts w:hint="eastAsia"/>
                <w:kern w:val="0"/>
                <w:sz w:val="21"/>
                <w:szCs w:val="21"/>
                <w:highlight w:val="black"/>
              </w:rPr>
              <w:t>实时</w:t>
            </w:r>
            <w:r>
              <w:rPr>
                <w:kern w:val="0"/>
                <w:sz w:val="21"/>
                <w:szCs w:val="21"/>
                <w:highlight w:val="black"/>
              </w:rPr>
              <w:t>监控。</w:t>
            </w:r>
          </w:p>
        </w:tc>
        <w:tc>
          <w:tcPr>
            <w:tcW w:w="759" w:type="pct"/>
            <w:tcBorders>
              <w:tl2br w:val="nil"/>
              <w:tr2bl w:val="nil"/>
            </w:tcBorders>
            <w:shd w:val="clear" w:color="auto" w:fill="auto"/>
            <w:vAlign w:val="center"/>
          </w:tcPr>
          <w:p w14:paraId="033D025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一套</w:t>
            </w:r>
          </w:p>
        </w:tc>
        <w:tc>
          <w:tcPr>
            <w:tcW w:w="1235" w:type="pct"/>
            <w:tcBorders>
              <w:tl2br w:val="nil"/>
              <w:tr2bl w:val="nil"/>
            </w:tcBorders>
            <w:shd w:val="clear" w:color="auto" w:fill="auto"/>
            <w:noWrap/>
            <w:vAlign w:val="center"/>
          </w:tcPr>
          <w:p w14:paraId="568FFCC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吸水井内</w:t>
            </w:r>
          </w:p>
        </w:tc>
      </w:tr>
      <w:tr w14:paraId="0C200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3C0914E">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3D93590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水泵房栅栏门</w:t>
            </w:r>
          </w:p>
        </w:tc>
        <w:tc>
          <w:tcPr>
            <w:tcW w:w="1707" w:type="pct"/>
            <w:tcBorders>
              <w:tl2br w:val="nil"/>
              <w:tr2bl w:val="nil"/>
            </w:tcBorders>
            <w:shd w:val="clear" w:color="auto" w:fill="auto"/>
            <w:noWrap/>
            <w:vAlign w:val="center"/>
          </w:tcPr>
          <w:p w14:paraId="58CBD0A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水泵房出口设置阻燃式防火门，以及防止无关人员进入的栅栏门</w:t>
            </w:r>
          </w:p>
        </w:tc>
        <w:tc>
          <w:tcPr>
            <w:tcW w:w="759" w:type="pct"/>
            <w:tcBorders>
              <w:tl2br w:val="nil"/>
              <w:tr2bl w:val="nil"/>
            </w:tcBorders>
            <w:shd w:val="clear" w:color="auto" w:fill="auto"/>
            <w:vAlign w:val="center"/>
          </w:tcPr>
          <w:p w14:paraId="1E0FEEA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w:t>
            </w:r>
          </w:p>
        </w:tc>
        <w:tc>
          <w:tcPr>
            <w:tcW w:w="1235" w:type="pct"/>
            <w:tcBorders>
              <w:tl2br w:val="nil"/>
              <w:tr2bl w:val="nil"/>
            </w:tcBorders>
            <w:shd w:val="clear" w:color="auto" w:fill="auto"/>
            <w:vAlign w:val="center"/>
          </w:tcPr>
          <w:p w14:paraId="64437D0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中段车场与泵房通道入口处</w:t>
            </w:r>
          </w:p>
        </w:tc>
      </w:tr>
      <w:tr w14:paraId="11E80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43F00EBF">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B72845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防水门</w:t>
            </w:r>
          </w:p>
        </w:tc>
        <w:tc>
          <w:tcPr>
            <w:tcW w:w="1707" w:type="pct"/>
            <w:tcBorders>
              <w:tl2br w:val="nil"/>
              <w:tr2bl w:val="nil"/>
            </w:tcBorders>
            <w:shd w:val="clear" w:color="auto" w:fill="auto"/>
            <w:noWrap/>
            <w:vAlign w:val="center"/>
          </w:tcPr>
          <w:p w14:paraId="234CA87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防水门向泵房外面开，防水门所承受的防水压力不小于0.1MPa</w:t>
            </w:r>
          </w:p>
        </w:tc>
        <w:tc>
          <w:tcPr>
            <w:tcW w:w="759" w:type="pct"/>
            <w:tcBorders>
              <w:tl2br w:val="nil"/>
              <w:tr2bl w:val="nil"/>
            </w:tcBorders>
            <w:shd w:val="clear" w:color="auto" w:fill="auto"/>
            <w:vAlign w:val="center"/>
          </w:tcPr>
          <w:p w14:paraId="4EE8D95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w:t>
            </w:r>
          </w:p>
        </w:tc>
        <w:tc>
          <w:tcPr>
            <w:tcW w:w="1235" w:type="pct"/>
            <w:tcBorders>
              <w:tl2br w:val="nil"/>
              <w:tr2bl w:val="nil"/>
            </w:tcBorders>
            <w:shd w:val="clear" w:color="auto" w:fill="auto"/>
            <w:noWrap/>
            <w:vAlign w:val="center"/>
          </w:tcPr>
          <w:p w14:paraId="55E6CA3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中段车场与最低中段泵房通道入口处</w:t>
            </w:r>
          </w:p>
        </w:tc>
      </w:tr>
      <w:tr w14:paraId="114B9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0C659079">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2F6425E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水泵房及配电所内的盖板、安全护栏</w:t>
            </w:r>
          </w:p>
        </w:tc>
        <w:tc>
          <w:tcPr>
            <w:tcW w:w="1707" w:type="pct"/>
            <w:tcBorders>
              <w:tl2br w:val="nil"/>
              <w:tr2bl w:val="nil"/>
            </w:tcBorders>
            <w:shd w:val="clear" w:color="auto" w:fill="auto"/>
            <w:vAlign w:val="center"/>
          </w:tcPr>
          <w:p w14:paraId="300E243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筋混凝土盖板的重量不超过50kg，钢盖板的重量不超过30kg。安全护栏为铁质，不低于1.5m。</w:t>
            </w:r>
          </w:p>
        </w:tc>
        <w:tc>
          <w:tcPr>
            <w:tcW w:w="759" w:type="pct"/>
            <w:tcBorders>
              <w:tl2br w:val="nil"/>
              <w:tr2bl w:val="nil"/>
            </w:tcBorders>
            <w:shd w:val="clear" w:color="auto" w:fill="auto"/>
            <w:vAlign w:val="center"/>
          </w:tcPr>
          <w:p w14:paraId="29905F5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45个</w:t>
            </w:r>
          </w:p>
        </w:tc>
        <w:tc>
          <w:tcPr>
            <w:tcW w:w="1235" w:type="pct"/>
            <w:tcBorders>
              <w:tl2br w:val="nil"/>
              <w:tr2bl w:val="nil"/>
            </w:tcBorders>
            <w:shd w:val="clear" w:color="auto" w:fill="auto"/>
            <w:noWrap/>
            <w:vAlign w:val="center"/>
          </w:tcPr>
          <w:p w14:paraId="22A78FF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通往配水闸阀处吸水井上部</w:t>
            </w:r>
          </w:p>
        </w:tc>
      </w:tr>
      <w:tr w14:paraId="36E7E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1B67B235">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742C610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降雨量观测站</w:t>
            </w:r>
          </w:p>
        </w:tc>
        <w:tc>
          <w:tcPr>
            <w:tcW w:w="1707" w:type="pct"/>
            <w:tcBorders>
              <w:tl2br w:val="nil"/>
              <w:tr2bl w:val="nil"/>
            </w:tcBorders>
            <w:shd w:val="clear" w:color="auto" w:fill="auto"/>
            <w:noWrap/>
            <w:vAlign w:val="center"/>
          </w:tcPr>
          <w:p w14:paraId="65928E0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观测地表降雨量。</w:t>
            </w:r>
          </w:p>
        </w:tc>
        <w:tc>
          <w:tcPr>
            <w:tcW w:w="759" w:type="pct"/>
            <w:tcBorders>
              <w:tl2br w:val="nil"/>
              <w:tr2bl w:val="nil"/>
            </w:tcBorders>
            <w:shd w:val="clear" w:color="auto" w:fill="auto"/>
            <w:vAlign w:val="center"/>
          </w:tcPr>
          <w:p w14:paraId="42605A2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1个</w:t>
            </w:r>
          </w:p>
        </w:tc>
        <w:tc>
          <w:tcPr>
            <w:tcW w:w="1235" w:type="pct"/>
            <w:tcBorders>
              <w:tl2br w:val="nil"/>
              <w:tr2bl w:val="nil"/>
            </w:tcBorders>
            <w:shd w:val="clear" w:color="auto" w:fill="auto"/>
            <w:noWrap/>
            <w:vAlign w:val="center"/>
          </w:tcPr>
          <w:p w14:paraId="05700E7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地表空旷处</w:t>
            </w:r>
          </w:p>
        </w:tc>
      </w:tr>
      <w:tr w14:paraId="0E8FC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7A5C91B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充填系统</w:t>
            </w:r>
          </w:p>
        </w:tc>
        <w:tc>
          <w:tcPr>
            <w:tcW w:w="782" w:type="pct"/>
            <w:tcBorders>
              <w:tl2br w:val="nil"/>
              <w:tr2bl w:val="nil"/>
            </w:tcBorders>
            <w:shd w:val="clear" w:color="auto" w:fill="auto"/>
            <w:vAlign w:val="center"/>
          </w:tcPr>
          <w:p w14:paraId="4C4E7CE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密闭挡墙</w:t>
            </w:r>
          </w:p>
        </w:tc>
        <w:tc>
          <w:tcPr>
            <w:tcW w:w="1707" w:type="pct"/>
            <w:tcBorders>
              <w:tl2br w:val="nil"/>
              <w:tr2bl w:val="nil"/>
            </w:tcBorders>
            <w:shd w:val="clear" w:color="auto" w:fill="auto"/>
            <w:vAlign w:val="center"/>
          </w:tcPr>
          <w:p w14:paraId="7A1BAEDE">
            <w:pPr>
              <w:widowControl/>
              <w:adjustRightInd w:val="0"/>
              <w:snapToGrid w:val="0"/>
              <w:spacing w:line="240" w:lineRule="atLeast"/>
              <w:ind w:firstLine="0" w:firstLineChars="0"/>
              <w:jc w:val="center"/>
              <w:rPr>
                <w:kern w:val="0"/>
                <w:sz w:val="21"/>
                <w:szCs w:val="21"/>
                <w:highlight w:val="black"/>
              </w:rPr>
            </w:pPr>
            <w:r>
              <w:rPr>
                <w:sz w:val="21"/>
                <w:szCs w:val="21"/>
                <w:highlight w:val="black"/>
              </w:rPr>
              <w:t>采空区入口和通往采空区的联络巷</w:t>
            </w:r>
            <w:r>
              <w:rPr>
                <w:rFonts w:hint="eastAsia"/>
                <w:sz w:val="21"/>
                <w:szCs w:val="21"/>
                <w:highlight w:val="black"/>
              </w:rPr>
              <w:t>，</w:t>
            </w:r>
            <w:r>
              <w:rPr>
                <w:kern w:val="0"/>
                <w:sz w:val="21"/>
                <w:szCs w:val="21"/>
                <w:highlight w:val="black"/>
              </w:rPr>
              <w:t>密闭挡墙采用单墙砖砌结构，底部应留设泄水孔。</w:t>
            </w:r>
          </w:p>
        </w:tc>
        <w:tc>
          <w:tcPr>
            <w:tcW w:w="759" w:type="pct"/>
            <w:tcBorders>
              <w:tl2br w:val="nil"/>
              <w:tr2bl w:val="nil"/>
            </w:tcBorders>
            <w:shd w:val="clear" w:color="auto" w:fill="auto"/>
            <w:vAlign w:val="center"/>
          </w:tcPr>
          <w:p w14:paraId="131076E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0.2</w:t>
            </w:r>
          </w:p>
        </w:tc>
        <w:tc>
          <w:tcPr>
            <w:tcW w:w="1235" w:type="pct"/>
            <w:tcBorders>
              <w:tl2br w:val="nil"/>
              <w:tr2bl w:val="nil"/>
            </w:tcBorders>
            <w:shd w:val="clear" w:color="auto" w:fill="auto"/>
            <w:vAlign w:val="center"/>
          </w:tcPr>
          <w:p w14:paraId="79AD75D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采空区入口和通往采空区的联络巷</w:t>
            </w:r>
          </w:p>
        </w:tc>
      </w:tr>
      <w:tr w14:paraId="0A8A4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3CE82B0B">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31C81A4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车挡设施</w:t>
            </w:r>
          </w:p>
        </w:tc>
        <w:tc>
          <w:tcPr>
            <w:tcW w:w="1707" w:type="pct"/>
            <w:tcBorders>
              <w:tl2br w:val="nil"/>
              <w:tr2bl w:val="nil"/>
            </w:tcBorders>
            <w:shd w:val="clear" w:color="auto" w:fill="auto"/>
            <w:vAlign w:val="center"/>
          </w:tcPr>
          <w:p w14:paraId="64A4714D">
            <w:pPr>
              <w:widowControl/>
              <w:adjustRightInd w:val="0"/>
              <w:snapToGrid w:val="0"/>
              <w:spacing w:line="240" w:lineRule="atLeast"/>
              <w:ind w:firstLine="0" w:firstLineChars="0"/>
              <w:jc w:val="center"/>
              <w:rPr>
                <w:kern w:val="0"/>
                <w:sz w:val="21"/>
                <w:szCs w:val="21"/>
                <w:highlight w:val="black"/>
              </w:rPr>
            </w:pPr>
            <w:r>
              <w:rPr>
                <w:sz w:val="21"/>
                <w:szCs w:val="21"/>
                <w:highlight w:val="black"/>
              </w:rPr>
              <w:t>出矿穿脉与下部空区设置的充填钻孔处设置车</w:t>
            </w:r>
            <w:r>
              <w:rPr>
                <w:rFonts w:hint="eastAsia"/>
                <w:sz w:val="21"/>
                <w:szCs w:val="21"/>
                <w:highlight w:val="black"/>
              </w:rPr>
              <w:t>挡</w:t>
            </w:r>
            <w:r>
              <w:rPr>
                <w:sz w:val="21"/>
                <w:szCs w:val="21"/>
                <w:highlight w:val="black"/>
              </w:rPr>
              <w:t>设施，</w:t>
            </w:r>
            <w:r>
              <w:rPr>
                <w:rFonts w:hint="eastAsia"/>
                <w:sz w:val="21"/>
                <w:szCs w:val="21"/>
                <w:highlight w:val="black"/>
              </w:rPr>
              <w:t>车挡</w:t>
            </w:r>
            <w:r>
              <w:rPr>
                <w:sz w:val="21"/>
                <w:szCs w:val="21"/>
                <w:highlight w:val="black"/>
              </w:rPr>
              <w:t>不小于轮胎直径1/2。</w:t>
            </w:r>
          </w:p>
        </w:tc>
        <w:tc>
          <w:tcPr>
            <w:tcW w:w="759" w:type="pct"/>
            <w:tcBorders>
              <w:tl2br w:val="nil"/>
              <w:tr2bl w:val="nil"/>
            </w:tcBorders>
            <w:shd w:val="clear" w:color="auto" w:fill="auto"/>
            <w:vAlign w:val="center"/>
          </w:tcPr>
          <w:p w14:paraId="139B8592">
            <w:pPr>
              <w:widowControl/>
              <w:adjustRightInd w:val="0"/>
              <w:snapToGrid w:val="0"/>
              <w:spacing w:line="240" w:lineRule="atLeast"/>
              <w:ind w:firstLine="0" w:firstLineChars="0"/>
              <w:jc w:val="center"/>
              <w:rPr>
                <w:kern w:val="0"/>
                <w:sz w:val="21"/>
                <w:szCs w:val="21"/>
                <w:highlight w:val="black"/>
              </w:rPr>
            </w:pPr>
          </w:p>
        </w:tc>
        <w:tc>
          <w:tcPr>
            <w:tcW w:w="1235" w:type="pct"/>
            <w:tcBorders>
              <w:tl2br w:val="nil"/>
              <w:tr2bl w:val="nil"/>
            </w:tcBorders>
            <w:shd w:val="clear" w:color="auto" w:fill="auto"/>
            <w:vAlign w:val="center"/>
          </w:tcPr>
          <w:p w14:paraId="505FE96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出矿穿脉与下部空区设置的充填钻孔处设置车</w:t>
            </w:r>
            <w:r>
              <w:rPr>
                <w:rFonts w:hint="eastAsia"/>
                <w:kern w:val="0"/>
                <w:sz w:val="21"/>
                <w:szCs w:val="21"/>
                <w:highlight w:val="black"/>
              </w:rPr>
              <w:t>挡</w:t>
            </w:r>
            <w:r>
              <w:rPr>
                <w:kern w:val="0"/>
                <w:sz w:val="21"/>
                <w:szCs w:val="21"/>
                <w:highlight w:val="black"/>
              </w:rPr>
              <w:t>设施</w:t>
            </w:r>
          </w:p>
        </w:tc>
      </w:tr>
      <w:tr w14:paraId="2ED69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55BB7D3">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5AA821B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安全护栏</w:t>
            </w:r>
          </w:p>
        </w:tc>
        <w:tc>
          <w:tcPr>
            <w:tcW w:w="1707" w:type="pct"/>
            <w:tcBorders>
              <w:tl2br w:val="nil"/>
              <w:tr2bl w:val="nil"/>
            </w:tcBorders>
            <w:shd w:val="clear" w:color="auto" w:fill="auto"/>
            <w:vAlign w:val="center"/>
          </w:tcPr>
          <w:p w14:paraId="7F228AA6">
            <w:pPr>
              <w:widowControl/>
              <w:adjustRightInd w:val="0"/>
              <w:snapToGrid w:val="0"/>
              <w:spacing w:line="240" w:lineRule="atLeast"/>
              <w:ind w:firstLine="0" w:firstLineChars="0"/>
              <w:jc w:val="center"/>
              <w:rPr>
                <w:kern w:val="0"/>
                <w:sz w:val="21"/>
                <w:szCs w:val="21"/>
                <w:highlight w:val="black"/>
              </w:rPr>
            </w:pPr>
            <w:r>
              <w:rPr>
                <w:sz w:val="21"/>
                <w:szCs w:val="21"/>
                <w:highlight w:val="black"/>
              </w:rPr>
              <w:t>充填</w:t>
            </w:r>
            <w:r>
              <w:rPr>
                <w:rFonts w:hint="eastAsia"/>
                <w:sz w:val="21"/>
                <w:szCs w:val="21"/>
                <w:highlight w:val="black"/>
              </w:rPr>
              <w:t>井</w:t>
            </w:r>
            <w:r>
              <w:rPr>
                <w:sz w:val="21"/>
                <w:szCs w:val="21"/>
                <w:highlight w:val="black"/>
              </w:rPr>
              <w:t>周围设置不小于1.5m安全护栏。</w:t>
            </w:r>
          </w:p>
        </w:tc>
        <w:tc>
          <w:tcPr>
            <w:tcW w:w="759" w:type="pct"/>
            <w:tcBorders>
              <w:tl2br w:val="nil"/>
              <w:tr2bl w:val="nil"/>
            </w:tcBorders>
            <w:shd w:val="clear" w:color="auto" w:fill="auto"/>
            <w:vAlign w:val="center"/>
          </w:tcPr>
          <w:p w14:paraId="6B2DF757">
            <w:pPr>
              <w:widowControl/>
              <w:adjustRightInd w:val="0"/>
              <w:snapToGrid w:val="0"/>
              <w:spacing w:line="240" w:lineRule="atLeast"/>
              <w:ind w:firstLine="0" w:firstLineChars="0"/>
              <w:jc w:val="center"/>
              <w:rPr>
                <w:kern w:val="0"/>
                <w:sz w:val="21"/>
                <w:szCs w:val="21"/>
                <w:highlight w:val="black"/>
              </w:rPr>
            </w:pPr>
          </w:p>
        </w:tc>
        <w:tc>
          <w:tcPr>
            <w:tcW w:w="1235" w:type="pct"/>
            <w:tcBorders>
              <w:tl2br w:val="nil"/>
              <w:tr2bl w:val="nil"/>
            </w:tcBorders>
            <w:shd w:val="clear" w:color="auto" w:fill="auto"/>
            <w:vAlign w:val="center"/>
          </w:tcPr>
          <w:p w14:paraId="5D76BA5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充填钻孔附近</w:t>
            </w:r>
          </w:p>
        </w:tc>
      </w:tr>
      <w:tr w14:paraId="19FF1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A53DD93">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7E68592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照明设施</w:t>
            </w:r>
          </w:p>
        </w:tc>
        <w:tc>
          <w:tcPr>
            <w:tcW w:w="1707" w:type="pct"/>
            <w:tcBorders>
              <w:tl2br w:val="nil"/>
              <w:tr2bl w:val="nil"/>
            </w:tcBorders>
            <w:shd w:val="clear" w:color="auto" w:fill="auto"/>
            <w:vAlign w:val="center"/>
          </w:tcPr>
          <w:p w14:paraId="0430CD51">
            <w:pPr>
              <w:widowControl/>
              <w:adjustRightInd w:val="0"/>
              <w:snapToGrid w:val="0"/>
              <w:spacing w:line="240" w:lineRule="atLeast"/>
              <w:ind w:firstLine="0" w:firstLineChars="0"/>
              <w:jc w:val="center"/>
              <w:rPr>
                <w:kern w:val="0"/>
                <w:sz w:val="21"/>
                <w:szCs w:val="21"/>
                <w:highlight w:val="black"/>
              </w:rPr>
            </w:pPr>
            <w:r>
              <w:rPr>
                <w:sz w:val="21"/>
                <w:szCs w:val="21"/>
                <w:highlight w:val="black"/>
              </w:rPr>
              <w:t>充填</w:t>
            </w:r>
            <w:r>
              <w:rPr>
                <w:rFonts w:hint="eastAsia"/>
                <w:sz w:val="21"/>
                <w:szCs w:val="21"/>
                <w:highlight w:val="black"/>
              </w:rPr>
              <w:t>井</w:t>
            </w:r>
            <w:r>
              <w:rPr>
                <w:sz w:val="21"/>
                <w:szCs w:val="21"/>
                <w:highlight w:val="black"/>
              </w:rPr>
              <w:t>附近</w:t>
            </w:r>
            <w:r>
              <w:rPr>
                <w:rFonts w:hint="eastAsia"/>
                <w:sz w:val="21"/>
                <w:szCs w:val="21"/>
                <w:highlight w:val="black"/>
              </w:rPr>
              <w:t>作业场所</w:t>
            </w:r>
            <w:r>
              <w:rPr>
                <w:kern w:val="0"/>
                <w:sz w:val="21"/>
                <w:szCs w:val="21"/>
                <w:highlight w:val="black"/>
              </w:rPr>
              <w:t>采用移动照明，照明电压等级36V。</w:t>
            </w:r>
          </w:p>
        </w:tc>
        <w:tc>
          <w:tcPr>
            <w:tcW w:w="759" w:type="pct"/>
            <w:tcBorders>
              <w:tl2br w:val="nil"/>
              <w:tr2bl w:val="nil"/>
            </w:tcBorders>
            <w:shd w:val="clear" w:color="auto" w:fill="auto"/>
            <w:vAlign w:val="center"/>
          </w:tcPr>
          <w:p w14:paraId="5F414D0D">
            <w:pPr>
              <w:widowControl/>
              <w:adjustRightInd w:val="0"/>
              <w:snapToGrid w:val="0"/>
              <w:spacing w:line="240" w:lineRule="atLeast"/>
              <w:ind w:firstLine="0" w:firstLineChars="0"/>
              <w:jc w:val="center"/>
              <w:rPr>
                <w:kern w:val="0"/>
                <w:sz w:val="21"/>
                <w:szCs w:val="21"/>
                <w:highlight w:val="black"/>
              </w:rPr>
            </w:pPr>
          </w:p>
        </w:tc>
        <w:tc>
          <w:tcPr>
            <w:tcW w:w="1235" w:type="pct"/>
            <w:tcBorders>
              <w:tl2br w:val="nil"/>
              <w:tr2bl w:val="nil"/>
            </w:tcBorders>
            <w:shd w:val="clear" w:color="auto" w:fill="auto"/>
            <w:vAlign w:val="center"/>
          </w:tcPr>
          <w:p w14:paraId="6735E78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充填钻孔附近设置照明设施。</w:t>
            </w:r>
          </w:p>
        </w:tc>
      </w:tr>
      <w:tr w14:paraId="175A2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6AF15B68">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484C834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安全标志</w:t>
            </w:r>
          </w:p>
        </w:tc>
        <w:tc>
          <w:tcPr>
            <w:tcW w:w="1707" w:type="pct"/>
            <w:tcBorders>
              <w:tl2br w:val="nil"/>
              <w:tr2bl w:val="nil"/>
            </w:tcBorders>
            <w:shd w:val="clear" w:color="auto" w:fill="auto"/>
            <w:vAlign w:val="center"/>
          </w:tcPr>
          <w:p w14:paraId="3A54A37E">
            <w:pPr>
              <w:widowControl/>
              <w:adjustRightInd w:val="0"/>
              <w:snapToGrid w:val="0"/>
              <w:spacing w:line="240" w:lineRule="atLeast"/>
              <w:ind w:firstLine="0" w:firstLineChars="0"/>
              <w:jc w:val="center"/>
              <w:rPr>
                <w:kern w:val="0"/>
                <w:sz w:val="21"/>
                <w:szCs w:val="21"/>
                <w:highlight w:val="black"/>
              </w:rPr>
            </w:pPr>
            <w:r>
              <w:rPr>
                <w:sz w:val="21"/>
                <w:szCs w:val="21"/>
                <w:highlight w:val="black"/>
              </w:rPr>
              <w:t>充填</w:t>
            </w:r>
            <w:r>
              <w:rPr>
                <w:rFonts w:hint="eastAsia"/>
                <w:sz w:val="21"/>
                <w:szCs w:val="21"/>
                <w:highlight w:val="black"/>
              </w:rPr>
              <w:t>井</w:t>
            </w:r>
            <w:r>
              <w:rPr>
                <w:sz w:val="21"/>
                <w:szCs w:val="21"/>
                <w:highlight w:val="black"/>
              </w:rPr>
              <w:t>周围及采空区充填密闭墙设醒目的安全标志牌。</w:t>
            </w:r>
            <w:r>
              <w:rPr>
                <w:kern w:val="0"/>
                <w:sz w:val="21"/>
                <w:szCs w:val="21"/>
                <w:highlight w:val="black"/>
              </w:rPr>
              <w:t>安全标志应被牢固地安装，保证其自身不会产生危险，所有的标志均应具有坚实的结构。</w:t>
            </w:r>
          </w:p>
        </w:tc>
        <w:tc>
          <w:tcPr>
            <w:tcW w:w="759" w:type="pct"/>
            <w:tcBorders>
              <w:tl2br w:val="nil"/>
              <w:tr2bl w:val="nil"/>
            </w:tcBorders>
            <w:shd w:val="clear" w:color="auto" w:fill="auto"/>
            <w:vAlign w:val="center"/>
          </w:tcPr>
          <w:p w14:paraId="5C10DFCE">
            <w:pPr>
              <w:widowControl/>
              <w:adjustRightInd w:val="0"/>
              <w:snapToGrid w:val="0"/>
              <w:spacing w:line="240" w:lineRule="atLeast"/>
              <w:ind w:firstLine="0" w:firstLineChars="0"/>
              <w:jc w:val="center"/>
              <w:rPr>
                <w:kern w:val="0"/>
                <w:sz w:val="21"/>
                <w:szCs w:val="21"/>
                <w:highlight w:val="black"/>
              </w:rPr>
            </w:pPr>
          </w:p>
        </w:tc>
        <w:tc>
          <w:tcPr>
            <w:tcW w:w="1235" w:type="pct"/>
            <w:tcBorders>
              <w:tl2br w:val="nil"/>
              <w:tr2bl w:val="nil"/>
            </w:tcBorders>
            <w:shd w:val="clear" w:color="auto" w:fill="auto"/>
            <w:vAlign w:val="center"/>
          </w:tcPr>
          <w:p w14:paraId="0E66C32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充填钻孔周围及采空区充填密闭墙设醒目的安全标志牌。</w:t>
            </w:r>
          </w:p>
        </w:tc>
      </w:tr>
      <w:tr w14:paraId="082DE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77A0FDC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安全避险“六大系统”</w:t>
            </w:r>
          </w:p>
        </w:tc>
        <w:tc>
          <w:tcPr>
            <w:tcW w:w="782" w:type="pct"/>
            <w:tcBorders>
              <w:tl2br w:val="nil"/>
              <w:tr2bl w:val="nil"/>
            </w:tcBorders>
            <w:shd w:val="clear" w:color="auto" w:fill="auto"/>
            <w:vAlign w:val="center"/>
          </w:tcPr>
          <w:p w14:paraId="7634624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监测监控系统</w:t>
            </w:r>
          </w:p>
        </w:tc>
        <w:tc>
          <w:tcPr>
            <w:tcW w:w="1707" w:type="pct"/>
            <w:tcBorders>
              <w:tl2br w:val="nil"/>
              <w:tr2bl w:val="nil"/>
            </w:tcBorders>
            <w:shd w:val="clear" w:color="auto" w:fill="auto"/>
            <w:vAlign w:val="center"/>
          </w:tcPr>
          <w:p w14:paraId="52AA42D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包括有毒有害气体监测、视频监控、通风系统监测以及地压监测。</w:t>
            </w:r>
          </w:p>
        </w:tc>
        <w:tc>
          <w:tcPr>
            <w:tcW w:w="759" w:type="pct"/>
            <w:tcBorders>
              <w:tl2br w:val="nil"/>
              <w:tr2bl w:val="nil"/>
            </w:tcBorders>
            <w:shd w:val="clear" w:color="auto" w:fill="auto"/>
            <w:vAlign w:val="center"/>
          </w:tcPr>
          <w:p w14:paraId="68D2E2E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7D56DB7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生产时期所有人员进入的区域及无人值守作业区</w:t>
            </w:r>
          </w:p>
        </w:tc>
      </w:tr>
      <w:tr w14:paraId="0385D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64BBD849">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156546E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紧急避险系统</w:t>
            </w:r>
          </w:p>
        </w:tc>
        <w:tc>
          <w:tcPr>
            <w:tcW w:w="1707" w:type="pct"/>
            <w:tcBorders>
              <w:tl2br w:val="nil"/>
              <w:tr2bl w:val="nil"/>
            </w:tcBorders>
            <w:shd w:val="clear" w:color="auto" w:fill="auto"/>
            <w:vAlign w:val="center"/>
          </w:tcPr>
          <w:p w14:paraId="695EED3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包括为入井人员提供自救器、建设井下紧急避险设施、合理设置避灾路线、科学制定应急预案等。</w:t>
            </w:r>
          </w:p>
        </w:tc>
        <w:tc>
          <w:tcPr>
            <w:tcW w:w="759" w:type="pct"/>
            <w:tcBorders>
              <w:tl2br w:val="nil"/>
              <w:tr2bl w:val="nil"/>
            </w:tcBorders>
            <w:shd w:val="clear" w:color="auto" w:fill="auto"/>
            <w:vAlign w:val="center"/>
          </w:tcPr>
          <w:p w14:paraId="79BECE6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280283C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生产时期所有人员进入的区域</w:t>
            </w:r>
          </w:p>
        </w:tc>
      </w:tr>
      <w:tr w14:paraId="3E19C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3FBEC557">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14A5768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人员定位系统</w:t>
            </w:r>
          </w:p>
        </w:tc>
        <w:tc>
          <w:tcPr>
            <w:tcW w:w="1707" w:type="pct"/>
            <w:tcBorders>
              <w:tl2br w:val="nil"/>
              <w:tr2bl w:val="nil"/>
            </w:tcBorders>
            <w:shd w:val="clear" w:color="auto" w:fill="auto"/>
            <w:vAlign w:val="center"/>
          </w:tcPr>
          <w:p w14:paraId="2AC1877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利用基站以及人员定位卡实时显示井下人员所在位置。</w:t>
            </w:r>
          </w:p>
        </w:tc>
        <w:tc>
          <w:tcPr>
            <w:tcW w:w="759" w:type="pct"/>
            <w:tcBorders>
              <w:tl2br w:val="nil"/>
              <w:tr2bl w:val="nil"/>
            </w:tcBorders>
            <w:shd w:val="clear" w:color="auto" w:fill="auto"/>
            <w:vAlign w:val="center"/>
          </w:tcPr>
          <w:p w14:paraId="5D76B95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2EB0578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生产时期所有人员进入的区域</w:t>
            </w:r>
          </w:p>
        </w:tc>
      </w:tr>
      <w:tr w14:paraId="3EE8B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7EB7CBEC">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C170BB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压风自救系统</w:t>
            </w:r>
          </w:p>
        </w:tc>
        <w:tc>
          <w:tcPr>
            <w:tcW w:w="1707" w:type="pct"/>
            <w:tcBorders>
              <w:tl2br w:val="nil"/>
              <w:tr2bl w:val="nil"/>
            </w:tcBorders>
            <w:shd w:val="clear" w:color="auto" w:fill="auto"/>
            <w:vAlign w:val="center"/>
          </w:tcPr>
          <w:p w14:paraId="4B28D2A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事故时为井下被困人员提供新鲜风流。</w:t>
            </w:r>
          </w:p>
        </w:tc>
        <w:tc>
          <w:tcPr>
            <w:tcW w:w="759" w:type="pct"/>
            <w:tcBorders>
              <w:tl2br w:val="nil"/>
              <w:tr2bl w:val="nil"/>
            </w:tcBorders>
            <w:shd w:val="clear" w:color="auto" w:fill="auto"/>
            <w:vAlign w:val="center"/>
          </w:tcPr>
          <w:p w14:paraId="7827326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12C5876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生产中段</w:t>
            </w:r>
          </w:p>
        </w:tc>
      </w:tr>
      <w:tr w14:paraId="7D80F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012F0A49">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04AA527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供水施救系统</w:t>
            </w:r>
          </w:p>
        </w:tc>
        <w:tc>
          <w:tcPr>
            <w:tcW w:w="1707" w:type="pct"/>
            <w:tcBorders>
              <w:tl2br w:val="nil"/>
              <w:tr2bl w:val="nil"/>
            </w:tcBorders>
            <w:shd w:val="clear" w:color="auto" w:fill="auto"/>
            <w:vAlign w:val="center"/>
          </w:tcPr>
          <w:p w14:paraId="152943D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事故时为井下被困人员提供饮水。</w:t>
            </w:r>
          </w:p>
        </w:tc>
        <w:tc>
          <w:tcPr>
            <w:tcW w:w="759" w:type="pct"/>
            <w:tcBorders>
              <w:tl2br w:val="nil"/>
              <w:tr2bl w:val="nil"/>
            </w:tcBorders>
            <w:shd w:val="clear" w:color="auto" w:fill="auto"/>
            <w:vAlign w:val="center"/>
          </w:tcPr>
          <w:p w14:paraId="6B1C7A6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3E91E16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生产中段</w:t>
            </w:r>
          </w:p>
        </w:tc>
      </w:tr>
      <w:tr w14:paraId="4B57A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57FCB91E">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155686D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通信联络系统</w:t>
            </w:r>
          </w:p>
        </w:tc>
        <w:tc>
          <w:tcPr>
            <w:tcW w:w="1707" w:type="pct"/>
            <w:tcBorders>
              <w:tl2br w:val="nil"/>
              <w:tr2bl w:val="nil"/>
            </w:tcBorders>
            <w:shd w:val="clear" w:color="auto" w:fill="auto"/>
            <w:vAlign w:val="center"/>
          </w:tcPr>
          <w:p w14:paraId="337FE93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保证井上下人员之间的联络。</w:t>
            </w:r>
          </w:p>
        </w:tc>
        <w:tc>
          <w:tcPr>
            <w:tcW w:w="759" w:type="pct"/>
            <w:tcBorders>
              <w:tl2br w:val="nil"/>
              <w:tr2bl w:val="nil"/>
            </w:tcBorders>
            <w:shd w:val="clear" w:color="auto" w:fill="auto"/>
            <w:vAlign w:val="center"/>
          </w:tcPr>
          <w:p w14:paraId="4D23515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5EF3D5A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生产中段</w:t>
            </w:r>
          </w:p>
        </w:tc>
      </w:tr>
      <w:tr w14:paraId="75BE2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7D49ED9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消防系统</w:t>
            </w:r>
          </w:p>
        </w:tc>
        <w:tc>
          <w:tcPr>
            <w:tcW w:w="782" w:type="pct"/>
            <w:tcBorders>
              <w:tl2br w:val="nil"/>
              <w:tr2bl w:val="nil"/>
            </w:tcBorders>
            <w:shd w:val="clear" w:color="auto" w:fill="auto"/>
            <w:vAlign w:val="center"/>
          </w:tcPr>
          <w:p w14:paraId="182C617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消防供水系统</w:t>
            </w:r>
          </w:p>
        </w:tc>
        <w:tc>
          <w:tcPr>
            <w:tcW w:w="1707" w:type="pct"/>
            <w:tcBorders>
              <w:tl2br w:val="nil"/>
              <w:tr2bl w:val="nil"/>
            </w:tcBorders>
            <w:shd w:val="clear" w:color="auto" w:fill="auto"/>
            <w:vAlign w:val="center"/>
          </w:tcPr>
          <w:p w14:paraId="79A4FC0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包括消防供水管路、水枪、水带等。</w:t>
            </w:r>
          </w:p>
        </w:tc>
        <w:tc>
          <w:tcPr>
            <w:tcW w:w="759" w:type="pct"/>
            <w:tcBorders>
              <w:tl2br w:val="nil"/>
              <w:tr2bl w:val="nil"/>
            </w:tcBorders>
            <w:shd w:val="clear" w:color="auto" w:fill="auto"/>
            <w:vAlign w:val="center"/>
          </w:tcPr>
          <w:p w14:paraId="4966AAC2">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noWrap/>
            <w:vAlign w:val="center"/>
          </w:tcPr>
          <w:p w14:paraId="02B1B01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主要中段井底车场</w:t>
            </w:r>
          </w:p>
        </w:tc>
      </w:tr>
      <w:tr w14:paraId="61B8A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1B1124DA">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7BBF870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消防水池</w:t>
            </w:r>
          </w:p>
        </w:tc>
        <w:tc>
          <w:tcPr>
            <w:tcW w:w="1707" w:type="pct"/>
            <w:tcBorders>
              <w:tl2br w:val="nil"/>
              <w:tr2bl w:val="nil"/>
            </w:tcBorders>
            <w:shd w:val="clear" w:color="auto" w:fill="auto"/>
            <w:vAlign w:val="center"/>
          </w:tcPr>
          <w:p w14:paraId="7DACDEF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失火时为消防管路洪水。</w:t>
            </w:r>
          </w:p>
        </w:tc>
        <w:tc>
          <w:tcPr>
            <w:tcW w:w="759" w:type="pct"/>
            <w:tcBorders>
              <w:tl2br w:val="nil"/>
              <w:tr2bl w:val="nil"/>
            </w:tcBorders>
            <w:shd w:val="clear" w:color="auto" w:fill="auto"/>
            <w:vAlign w:val="center"/>
          </w:tcPr>
          <w:p w14:paraId="6BF3145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w:t>
            </w:r>
          </w:p>
        </w:tc>
        <w:tc>
          <w:tcPr>
            <w:tcW w:w="1235" w:type="pct"/>
            <w:tcBorders>
              <w:tl2br w:val="nil"/>
              <w:tr2bl w:val="nil"/>
            </w:tcBorders>
            <w:shd w:val="clear" w:color="auto" w:fill="auto"/>
            <w:vAlign w:val="center"/>
          </w:tcPr>
          <w:p w14:paraId="675FCFE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地表高位水池</w:t>
            </w:r>
          </w:p>
        </w:tc>
      </w:tr>
      <w:tr w14:paraId="7F8F6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04406EF6">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36ED8DE3">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消防器材</w:t>
            </w:r>
          </w:p>
        </w:tc>
        <w:tc>
          <w:tcPr>
            <w:tcW w:w="1707" w:type="pct"/>
            <w:tcBorders>
              <w:tl2br w:val="nil"/>
              <w:tr2bl w:val="nil"/>
            </w:tcBorders>
            <w:shd w:val="clear" w:color="auto" w:fill="auto"/>
            <w:vAlign w:val="center"/>
          </w:tcPr>
          <w:p w14:paraId="526911F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主要包括灭火器以及灭火沙土等。</w:t>
            </w:r>
          </w:p>
        </w:tc>
        <w:tc>
          <w:tcPr>
            <w:tcW w:w="759" w:type="pct"/>
            <w:tcBorders>
              <w:tl2br w:val="nil"/>
              <w:tr2bl w:val="nil"/>
            </w:tcBorders>
            <w:shd w:val="clear" w:color="auto" w:fill="auto"/>
            <w:vAlign w:val="center"/>
          </w:tcPr>
          <w:p w14:paraId="23E3C63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2</w:t>
            </w:r>
            <w:r>
              <w:rPr>
                <w:rFonts w:hint="eastAsia"/>
                <w:kern w:val="0"/>
                <w:sz w:val="21"/>
                <w:szCs w:val="21"/>
                <w:highlight w:val="black"/>
              </w:rPr>
              <w:t>5</w:t>
            </w:r>
          </w:p>
        </w:tc>
        <w:tc>
          <w:tcPr>
            <w:tcW w:w="1235" w:type="pct"/>
            <w:tcBorders>
              <w:tl2br w:val="nil"/>
              <w:tr2bl w:val="nil"/>
            </w:tcBorders>
            <w:shd w:val="clear" w:color="auto" w:fill="auto"/>
            <w:vAlign w:val="center"/>
          </w:tcPr>
          <w:p w14:paraId="743710E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井口、办公室、空压机房、机修间、通风机房、地表变电室、中段车场、采场、井下水泵房、井下配电室</w:t>
            </w:r>
          </w:p>
        </w:tc>
      </w:tr>
      <w:tr w14:paraId="07306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3AA4FC41">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666E21C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火灾报警系统</w:t>
            </w:r>
          </w:p>
        </w:tc>
        <w:tc>
          <w:tcPr>
            <w:tcW w:w="1707" w:type="pct"/>
            <w:tcBorders>
              <w:tl2br w:val="nil"/>
              <w:tr2bl w:val="nil"/>
            </w:tcBorders>
            <w:shd w:val="clear" w:color="auto" w:fill="auto"/>
            <w:vAlign w:val="center"/>
          </w:tcPr>
          <w:p w14:paraId="2A13ADA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可自动监测井下水灾情况，并向井上下人员发出警报。</w:t>
            </w:r>
          </w:p>
        </w:tc>
        <w:tc>
          <w:tcPr>
            <w:tcW w:w="759" w:type="pct"/>
            <w:tcBorders>
              <w:tl2br w:val="nil"/>
              <w:tr2bl w:val="nil"/>
            </w:tcBorders>
            <w:shd w:val="clear" w:color="auto" w:fill="auto"/>
            <w:vAlign w:val="center"/>
          </w:tcPr>
          <w:p w14:paraId="4FF9ED5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0.2</w:t>
            </w:r>
          </w:p>
        </w:tc>
        <w:tc>
          <w:tcPr>
            <w:tcW w:w="1235" w:type="pct"/>
            <w:tcBorders>
              <w:tl2br w:val="nil"/>
              <w:tr2bl w:val="nil"/>
            </w:tcBorders>
            <w:shd w:val="clear" w:color="auto" w:fill="auto"/>
            <w:vAlign w:val="center"/>
          </w:tcPr>
          <w:p w14:paraId="4213A868">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地表调度室</w:t>
            </w:r>
          </w:p>
        </w:tc>
      </w:tr>
      <w:tr w14:paraId="627A1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tcBorders>
              <w:tl2br w:val="nil"/>
              <w:tr2bl w:val="nil"/>
            </w:tcBorders>
            <w:shd w:val="clear" w:color="auto" w:fill="auto"/>
            <w:vAlign w:val="center"/>
          </w:tcPr>
          <w:p w14:paraId="676A377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防治水</w:t>
            </w:r>
          </w:p>
        </w:tc>
        <w:tc>
          <w:tcPr>
            <w:tcW w:w="782" w:type="pct"/>
            <w:tcBorders>
              <w:tl2br w:val="nil"/>
              <w:tr2bl w:val="nil"/>
            </w:tcBorders>
            <w:shd w:val="clear" w:color="auto" w:fill="auto"/>
            <w:vAlign w:val="center"/>
          </w:tcPr>
          <w:p w14:paraId="70DE3B2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地下水头</w:t>
            </w:r>
            <w:r>
              <w:rPr>
                <w:rFonts w:hint="eastAsia"/>
                <w:kern w:val="0"/>
                <w:sz w:val="21"/>
                <w:szCs w:val="21"/>
                <w:highlight w:val="black"/>
              </w:rPr>
              <w:t>（</w:t>
            </w:r>
            <w:r>
              <w:rPr>
                <w:kern w:val="0"/>
                <w:sz w:val="21"/>
                <w:szCs w:val="21"/>
                <w:highlight w:val="black"/>
              </w:rPr>
              <w:t>水位</w:t>
            </w:r>
            <w:r>
              <w:rPr>
                <w:rFonts w:hint="eastAsia"/>
                <w:kern w:val="0"/>
                <w:sz w:val="21"/>
                <w:szCs w:val="21"/>
                <w:highlight w:val="black"/>
              </w:rPr>
              <w:t>）</w:t>
            </w:r>
            <w:r>
              <w:rPr>
                <w:kern w:val="0"/>
                <w:sz w:val="21"/>
                <w:szCs w:val="21"/>
                <w:highlight w:val="black"/>
              </w:rPr>
              <w:t>、水质、中段涌水量监测设施</w:t>
            </w:r>
          </w:p>
        </w:tc>
        <w:tc>
          <w:tcPr>
            <w:tcW w:w="1707" w:type="pct"/>
            <w:tcBorders>
              <w:tl2br w:val="nil"/>
              <w:tr2bl w:val="nil"/>
            </w:tcBorders>
            <w:shd w:val="clear" w:color="auto" w:fill="auto"/>
            <w:vAlign w:val="center"/>
          </w:tcPr>
          <w:p w14:paraId="1891059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自动监测各个设施内的水质、水位以及流量。</w:t>
            </w:r>
          </w:p>
        </w:tc>
        <w:tc>
          <w:tcPr>
            <w:tcW w:w="759" w:type="pct"/>
            <w:tcBorders>
              <w:tl2br w:val="nil"/>
              <w:tr2bl w:val="nil"/>
            </w:tcBorders>
            <w:shd w:val="clear" w:color="auto" w:fill="auto"/>
            <w:vAlign w:val="center"/>
          </w:tcPr>
          <w:p w14:paraId="0E9130F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3</w:t>
            </w:r>
          </w:p>
        </w:tc>
        <w:tc>
          <w:tcPr>
            <w:tcW w:w="1235" w:type="pct"/>
            <w:tcBorders>
              <w:tl2br w:val="nil"/>
              <w:tr2bl w:val="nil"/>
            </w:tcBorders>
            <w:shd w:val="clear" w:color="auto" w:fill="auto"/>
            <w:vAlign w:val="center"/>
          </w:tcPr>
          <w:p w14:paraId="7310B19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水仓、水沟等存水积水区域</w:t>
            </w:r>
          </w:p>
        </w:tc>
      </w:tr>
      <w:tr w14:paraId="72CC9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tcBorders>
              <w:tl2br w:val="nil"/>
              <w:tr2bl w:val="nil"/>
            </w:tcBorders>
            <w:vAlign w:val="center"/>
          </w:tcPr>
          <w:p w14:paraId="0206729F">
            <w:pPr>
              <w:widowControl/>
              <w:adjustRightInd w:val="0"/>
              <w:snapToGrid w:val="0"/>
              <w:spacing w:line="240" w:lineRule="atLeast"/>
              <w:ind w:firstLine="0" w:firstLineChars="0"/>
              <w:jc w:val="center"/>
              <w:rPr>
                <w:kern w:val="0"/>
                <w:sz w:val="21"/>
                <w:szCs w:val="21"/>
                <w:highlight w:val="black"/>
              </w:rPr>
            </w:pPr>
          </w:p>
        </w:tc>
        <w:tc>
          <w:tcPr>
            <w:tcW w:w="782" w:type="pct"/>
            <w:tcBorders>
              <w:tl2br w:val="nil"/>
              <w:tr2bl w:val="nil"/>
            </w:tcBorders>
            <w:shd w:val="clear" w:color="auto" w:fill="auto"/>
            <w:vAlign w:val="center"/>
          </w:tcPr>
          <w:p w14:paraId="4C67EE0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探水孔、放水孔及探放水巷道，探、放水孔的孔口管和控制闸阀，探、放水设备</w:t>
            </w:r>
          </w:p>
        </w:tc>
        <w:tc>
          <w:tcPr>
            <w:tcW w:w="1707" w:type="pct"/>
            <w:tcBorders>
              <w:tl2br w:val="nil"/>
              <w:tr2bl w:val="nil"/>
            </w:tcBorders>
            <w:shd w:val="clear" w:color="auto" w:fill="auto"/>
            <w:vAlign w:val="center"/>
          </w:tcPr>
          <w:p w14:paraId="4A22E865">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主要是探放水设备设施等。</w:t>
            </w:r>
          </w:p>
        </w:tc>
        <w:tc>
          <w:tcPr>
            <w:tcW w:w="759" w:type="pct"/>
            <w:tcBorders>
              <w:tl2br w:val="nil"/>
              <w:tr2bl w:val="nil"/>
            </w:tcBorders>
            <w:shd w:val="clear" w:color="auto" w:fill="auto"/>
            <w:vAlign w:val="center"/>
          </w:tcPr>
          <w:p w14:paraId="383A4C7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2F94995F">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需超前探放水区域</w:t>
            </w:r>
          </w:p>
        </w:tc>
      </w:tr>
      <w:tr w14:paraId="18F3F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pct"/>
            <w:gridSpan w:val="2"/>
            <w:vMerge w:val="restart"/>
            <w:tcBorders>
              <w:tl2br w:val="nil"/>
              <w:tr2bl w:val="nil"/>
            </w:tcBorders>
            <w:shd w:val="clear" w:color="auto" w:fill="auto"/>
            <w:vAlign w:val="center"/>
          </w:tcPr>
          <w:p w14:paraId="2E8C07C0">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地表塌陷或移动范围保护措施</w:t>
            </w:r>
          </w:p>
        </w:tc>
        <w:tc>
          <w:tcPr>
            <w:tcW w:w="1707" w:type="pct"/>
            <w:tcBorders>
              <w:tl2br w:val="nil"/>
              <w:tr2bl w:val="nil"/>
            </w:tcBorders>
            <w:shd w:val="clear" w:color="auto" w:fill="auto"/>
            <w:vAlign w:val="center"/>
          </w:tcPr>
          <w:p w14:paraId="4D1226F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铁刺网</w:t>
            </w:r>
          </w:p>
        </w:tc>
        <w:tc>
          <w:tcPr>
            <w:tcW w:w="759" w:type="pct"/>
            <w:tcBorders>
              <w:tl2br w:val="nil"/>
              <w:tr2bl w:val="nil"/>
            </w:tcBorders>
            <w:shd w:val="clear" w:color="auto" w:fill="auto"/>
            <w:vAlign w:val="center"/>
          </w:tcPr>
          <w:p w14:paraId="4C6EBAB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1110m</w:t>
            </w:r>
          </w:p>
        </w:tc>
        <w:tc>
          <w:tcPr>
            <w:tcW w:w="1235" w:type="pct"/>
            <w:tcBorders>
              <w:tl2br w:val="nil"/>
              <w:tr2bl w:val="nil"/>
            </w:tcBorders>
            <w:shd w:val="clear" w:color="auto" w:fill="auto"/>
            <w:vAlign w:val="center"/>
          </w:tcPr>
          <w:p w14:paraId="4EFE9DA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岩石移动监测范围外20m处</w:t>
            </w:r>
          </w:p>
        </w:tc>
      </w:tr>
      <w:tr w14:paraId="407AD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pct"/>
            <w:gridSpan w:val="2"/>
            <w:vMerge w:val="continue"/>
            <w:tcBorders>
              <w:tl2br w:val="nil"/>
              <w:tr2bl w:val="nil"/>
            </w:tcBorders>
            <w:shd w:val="clear" w:color="auto" w:fill="auto"/>
            <w:vAlign w:val="center"/>
          </w:tcPr>
          <w:p w14:paraId="63837343">
            <w:pPr>
              <w:widowControl/>
              <w:adjustRightInd w:val="0"/>
              <w:snapToGrid w:val="0"/>
              <w:spacing w:line="240" w:lineRule="atLeast"/>
              <w:ind w:firstLine="0" w:firstLineChars="0"/>
              <w:jc w:val="center"/>
              <w:rPr>
                <w:kern w:val="0"/>
                <w:sz w:val="21"/>
                <w:szCs w:val="21"/>
                <w:highlight w:val="black"/>
              </w:rPr>
            </w:pPr>
          </w:p>
        </w:tc>
        <w:tc>
          <w:tcPr>
            <w:tcW w:w="1707" w:type="pct"/>
            <w:tcBorders>
              <w:tl2br w:val="nil"/>
              <w:tr2bl w:val="nil"/>
            </w:tcBorders>
            <w:shd w:val="clear" w:color="auto" w:fill="auto"/>
            <w:vAlign w:val="center"/>
          </w:tcPr>
          <w:p w14:paraId="44E9BB4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安全标志</w:t>
            </w:r>
          </w:p>
        </w:tc>
        <w:tc>
          <w:tcPr>
            <w:tcW w:w="759" w:type="pct"/>
            <w:tcBorders>
              <w:tl2br w:val="nil"/>
              <w:tr2bl w:val="nil"/>
            </w:tcBorders>
            <w:shd w:val="clear" w:color="auto" w:fill="auto"/>
            <w:vAlign w:val="center"/>
          </w:tcPr>
          <w:p w14:paraId="55C2D994">
            <w:pPr>
              <w:widowControl/>
              <w:adjustRightInd w:val="0"/>
              <w:snapToGrid w:val="0"/>
              <w:spacing w:line="240" w:lineRule="atLeast"/>
              <w:ind w:firstLine="0" w:firstLineChars="0"/>
              <w:jc w:val="center"/>
              <w:rPr>
                <w:kern w:val="0"/>
                <w:sz w:val="21"/>
                <w:szCs w:val="21"/>
                <w:highlight w:val="black"/>
              </w:rPr>
            </w:pPr>
            <w:r>
              <w:rPr>
                <w:sz w:val="21"/>
                <w:szCs w:val="21"/>
                <w:highlight w:val="black"/>
              </w:rPr>
              <w:t>设地表岩石移动线外围</w:t>
            </w:r>
            <w:r>
              <w:rPr>
                <w:rFonts w:hint="eastAsia"/>
                <w:sz w:val="21"/>
                <w:szCs w:val="21"/>
                <w:highlight w:val="black"/>
              </w:rPr>
              <w:t>（</w:t>
            </w:r>
            <w:r>
              <w:rPr>
                <w:sz w:val="21"/>
                <w:szCs w:val="21"/>
                <w:highlight w:val="black"/>
              </w:rPr>
              <w:t>间隔100m设置一枚</w:t>
            </w:r>
            <w:r>
              <w:rPr>
                <w:rFonts w:hint="eastAsia"/>
                <w:sz w:val="21"/>
                <w:szCs w:val="21"/>
                <w:highlight w:val="black"/>
              </w:rPr>
              <w:t>）</w:t>
            </w:r>
            <w:r>
              <w:rPr>
                <w:sz w:val="21"/>
                <w:szCs w:val="21"/>
                <w:highlight w:val="black"/>
              </w:rPr>
              <w:t>共12枚</w:t>
            </w:r>
          </w:p>
        </w:tc>
        <w:tc>
          <w:tcPr>
            <w:tcW w:w="1235" w:type="pct"/>
            <w:tcBorders>
              <w:tl2br w:val="nil"/>
              <w:tr2bl w:val="nil"/>
            </w:tcBorders>
            <w:shd w:val="clear" w:color="auto" w:fill="auto"/>
            <w:vAlign w:val="center"/>
          </w:tcPr>
          <w:p w14:paraId="2F21D87C">
            <w:pPr>
              <w:widowControl/>
              <w:adjustRightInd w:val="0"/>
              <w:snapToGrid w:val="0"/>
              <w:spacing w:line="240" w:lineRule="atLeast"/>
              <w:ind w:firstLine="0" w:firstLineChars="0"/>
              <w:jc w:val="center"/>
              <w:rPr>
                <w:kern w:val="0"/>
                <w:sz w:val="21"/>
                <w:szCs w:val="21"/>
                <w:highlight w:val="black"/>
              </w:rPr>
            </w:pPr>
            <w:r>
              <w:rPr>
                <w:sz w:val="21"/>
                <w:szCs w:val="21"/>
                <w:highlight w:val="black"/>
              </w:rPr>
              <w:t>按照</w:t>
            </w:r>
            <w:r>
              <w:rPr>
                <w:rFonts w:hint="eastAsia"/>
                <w:sz w:val="21"/>
                <w:szCs w:val="21"/>
                <w:highlight w:val="black"/>
              </w:rPr>
              <w:t>（</w:t>
            </w:r>
            <w:r>
              <w:rPr>
                <w:sz w:val="21"/>
                <w:szCs w:val="21"/>
                <w:highlight w:val="black"/>
              </w:rPr>
              <w:t>GB14161-93</w:t>
            </w:r>
            <w:r>
              <w:rPr>
                <w:rFonts w:hint="eastAsia"/>
                <w:sz w:val="21"/>
                <w:szCs w:val="21"/>
                <w:highlight w:val="black"/>
              </w:rPr>
              <w:t>）</w:t>
            </w:r>
            <w:r>
              <w:rPr>
                <w:sz w:val="21"/>
                <w:szCs w:val="21"/>
                <w:highlight w:val="black"/>
              </w:rPr>
              <w:t>矿山安全标志制作或购买</w:t>
            </w:r>
          </w:p>
        </w:tc>
      </w:tr>
      <w:tr w14:paraId="78713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pct"/>
            <w:gridSpan w:val="2"/>
            <w:vMerge w:val="continue"/>
            <w:tcBorders>
              <w:tl2br w:val="nil"/>
              <w:tr2bl w:val="nil"/>
            </w:tcBorders>
            <w:shd w:val="clear" w:color="auto" w:fill="auto"/>
            <w:vAlign w:val="center"/>
          </w:tcPr>
          <w:p w14:paraId="44CD7196">
            <w:pPr>
              <w:widowControl/>
              <w:adjustRightInd w:val="0"/>
              <w:snapToGrid w:val="0"/>
              <w:spacing w:line="240" w:lineRule="atLeast"/>
              <w:ind w:firstLine="0" w:firstLineChars="0"/>
              <w:jc w:val="center"/>
              <w:rPr>
                <w:kern w:val="0"/>
                <w:sz w:val="21"/>
                <w:szCs w:val="21"/>
                <w:highlight w:val="black"/>
              </w:rPr>
            </w:pPr>
          </w:p>
        </w:tc>
        <w:tc>
          <w:tcPr>
            <w:tcW w:w="1707" w:type="pct"/>
            <w:tcBorders>
              <w:tl2br w:val="nil"/>
              <w:tr2bl w:val="nil"/>
            </w:tcBorders>
            <w:shd w:val="clear" w:color="auto" w:fill="auto"/>
            <w:vAlign w:val="center"/>
          </w:tcPr>
          <w:p w14:paraId="188B677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截水沟</w:t>
            </w:r>
          </w:p>
        </w:tc>
        <w:tc>
          <w:tcPr>
            <w:tcW w:w="759" w:type="pct"/>
            <w:tcBorders>
              <w:tl2br w:val="nil"/>
              <w:tr2bl w:val="nil"/>
            </w:tcBorders>
            <w:shd w:val="clear" w:color="auto" w:fill="auto"/>
            <w:vAlign w:val="center"/>
          </w:tcPr>
          <w:p w14:paraId="370D80F2">
            <w:pPr>
              <w:widowControl/>
              <w:adjustRightInd w:val="0"/>
              <w:snapToGrid w:val="0"/>
              <w:spacing w:line="240" w:lineRule="atLeast"/>
              <w:ind w:firstLine="0" w:firstLineChars="0"/>
              <w:jc w:val="center"/>
              <w:rPr>
                <w:kern w:val="0"/>
                <w:sz w:val="21"/>
                <w:szCs w:val="21"/>
                <w:highlight w:val="black"/>
              </w:rPr>
            </w:pPr>
            <w:r>
              <w:rPr>
                <w:sz w:val="21"/>
                <w:szCs w:val="21"/>
                <w:highlight w:val="black"/>
              </w:rPr>
              <w:t>截水沟断面为矩形，浆砌石或原岩结构，尺寸为0.5m</w:t>
            </w:r>
            <w:r>
              <w:rPr>
                <w:rFonts w:hint="eastAsia"/>
                <w:sz w:val="21"/>
                <w:szCs w:val="21"/>
                <w:highlight w:val="black"/>
              </w:rPr>
              <w:t>（</w:t>
            </w:r>
            <w:r>
              <w:rPr>
                <w:sz w:val="21"/>
                <w:szCs w:val="21"/>
                <w:highlight w:val="black"/>
              </w:rPr>
              <w:t>宽</w:t>
            </w:r>
            <w:r>
              <w:rPr>
                <w:rFonts w:hint="eastAsia"/>
                <w:sz w:val="21"/>
                <w:szCs w:val="21"/>
                <w:highlight w:val="black"/>
              </w:rPr>
              <w:t>）</w:t>
            </w:r>
            <w:r>
              <w:rPr>
                <w:sz w:val="21"/>
                <w:szCs w:val="21"/>
                <w:highlight w:val="black"/>
              </w:rPr>
              <w:t>×0.4m</w:t>
            </w:r>
            <w:r>
              <w:rPr>
                <w:rFonts w:hint="eastAsia"/>
                <w:sz w:val="21"/>
                <w:szCs w:val="21"/>
                <w:highlight w:val="black"/>
              </w:rPr>
              <w:t>（</w:t>
            </w:r>
            <w:r>
              <w:rPr>
                <w:sz w:val="21"/>
                <w:szCs w:val="21"/>
                <w:highlight w:val="black"/>
              </w:rPr>
              <w:t>高</w:t>
            </w:r>
            <w:r>
              <w:rPr>
                <w:rFonts w:hint="eastAsia"/>
                <w:sz w:val="21"/>
                <w:szCs w:val="21"/>
                <w:highlight w:val="black"/>
              </w:rPr>
              <w:t>）</w:t>
            </w:r>
          </w:p>
        </w:tc>
        <w:tc>
          <w:tcPr>
            <w:tcW w:w="1235" w:type="pct"/>
            <w:tcBorders>
              <w:tl2br w:val="nil"/>
              <w:tr2bl w:val="nil"/>
            </w:tcBorders>
            <w:shd w:val="clear" w:color="auto" w:fill="auto"/>
            <w:vAlign w:val="center"/>
          </w:tcPr>
          <w:p w14:paraId="1C18A4A6">
            <w:pPr>
              <w:widowControl/>
              <w:adjustRightInd w:val="0"/>
              <w:snapToGrid w:val="0"/>
              <w:spacing w:line="240" w:lineRule="atLeast"/>
              <w:ind w:firstLine="0" w:firstLineChars="0"/>
              <w:jc w:val="center"/>
              <w:rPr>
                <w:kern w:val="0"/>
                <w:sz w:val="21"/>
                <w:szCs w:val="21"/>
                <w:highlight w:val="black"/>
              </w:rPr>
            </w:pPr>
            <w:r>
              <w:rPr>
                <w:sz w:val="21"/>
                <w:szCs w:val="21"/>
                <w:highlight w:val="black"/>
              </w:rPr>
              <w:t>工业场地周外</w:t>
            </w:r>
          </w:p>
        </w:tc>
      </w:tr>
      <w:tr w14:paraId="6A6D9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pct"/>
            <w:gridSpan w:val="2"/>
            <w:tcBorders>
              <w:tl2br w:val="nil"/>
              <w:tr2bl w:val="nil"/>
            </w:tcBorders>
            <w:shd w:val="clear" w:color="auto" w:fill="auto"/>
            <w:vAlign w:val="center"/>
          </w:tcPr>
          <w:p w14:paraId="2AECF45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矿山应急救援设备及器材</w:t>
            </w:r>
          </w:p>
        </w:tc>
        <w:tc>
          <w:tcPr>
            <w:tcW w:w="1707" w:type="pct"/>
            <w:tcBorders>
              <w:tl2br w:val="nil"/>
              <w:tr2bl w:val="nil"/>
            </w:tcBorders>
            <w:shd w:val="clear" w:color="auto" w:fill="auto"/>
            <w:vAlign w:val="center"/>
          </w:tcPr>
          <w:p w14:paraId="5F66EB1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包括呼吸器、气体检测仪、自救器等</w:t>
            </w:r>
          </w:p>
        </w:tc>
        <w:tc>
          <w:tcPr>
            <w:tcW w:w="759" w:type="pct"/>
            <w:tcBorders>
              <w:tl2br w:val="nil"/>
              <w:tr2bl w:val="nil"/>
            </w:tcBorders>
            <w:shd w:val="clear" w:color="auto" w:fill="auto"/>
            <w:vAlign w:val="center"/>
          </w:tcPr>
          <w:p w14:paraId="0A560616">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213431F7">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井口专用柜或者房间内</w:t>
            </w:r>
          </w:p>
        </w:tc>
      </w:tr>
      <w:tr w14:paraId="67120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pct"/>
            <w:gridSpan w:val="2"/>
            <w:tcBorders>
              <w:tl2br w:val="nil"/>
              <w:tr2bl w:val="nil"/>
            </w:tcBorders>
            <w:shd w:val="clear" w:color="auto" w:fill="auto"/>
            <w:vAlign w:val="center"/>
          </w:tcPr>
          <w:p w14:paraId="0A66A989">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个人安全防护用品</w:t>
            </w:r>
          </w:p>
        </w:tc>
        <w:tc>
          <w:tcPr>
            <w:tcW w:w="1707" w:type="pct"/>
            <w:tcBorders>
              <w:tl2br w:val="nil"/>
              <w:tr2bl w:val="nil"/>
            </w:tcBorders>
            <w:shd w:val="clear" w:color="auto" w:fill="auto"/>
            <w:vAlign w:val="center"/>
          </w:tcPr>
          <w:p w14:paraId="1F82AB1D">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包括手套、安全帽、工作服等</w:t>
            </w:r>
          </w:p>
        </w:tc>
        <w:tc>
          <w:tcPr>
            <w:tcW w:w="759" w:type="pct"/>
            <w:tcBorders>
              <w:tl2br w:val="nil"/>
              <w:tr2bl w:val="nil"/>
            </w:tcBorders>
            <w:shd w:val="clear" w:color="auto" w:fill="auto"/>
            <w:vAlign w:val="center"/>
          </w:tcPr>
          <w:p w14:paraId="72EB2FCE">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65套</w:t>
            </w:r>
          </w:p>
        </w:tc>
        <w:tc>
          <w:tcPr>
            <w:tcW w:w="1235" w:type="pct"/>
            <w:tcBorders>
              <w:tl2br w:val="nil"/>
              <w:tr2bl w:val="nil"/>
            </w:tcBorders>
            <w:shd w:val="clear" w:color="auto" w:fill="auto"/>
            <w:vAlign w:val="center"/>
          </w:tcPr>
          <w:p w14:paraId="4395DB7C">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发放至个人，需严格穿戴</w:t>
            </w:r>
          </w:p>
        </w:tc>
      </w:tr>
      <w:tr w14:paraId="2AB86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pct"/>
            <w:gridSpan w:val="2"/>
            <w:tcBorders>
              <w:tl2br w:val="nil"/>
              <w:tr2bl w:val="nil"/>
            </w:tcBorders>
            <w:shd w:val="clear" w:color="auto" w:fill="auto"/>
            <w:vAlign w:val="center"/>
          </w:tcPr>
          <w:p w14:paraId="38F23761">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矿山、交通、电气安全标志</w:t>
            </w:r>
          </w:p>
        </w:tc>
        <w:tc>
          <w:tcPr>
            <w:tcW w:w="1707" w:type="pct"/>
            <w:tcBorders>
              <w:tl2br w:val="nil"/>
              <w:tr2bl w:val="nil"/>
            </w:tcBorders>
            <w:shd w:val="clear" w:color="auto" w:fill="auto"/>
            <w:vAlign w:val="center"/>
          </w:tcPr>
          <w:p w14:paraId="3F434C8B">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包括各种禁止、警告、指令等标志</w:t>
            </w:r>
          </w:p>
        </w:tc>
        <w:tc>
          <w:tcPr>
            <w:tcW w:w="759" w:type="pct"/>
            <w:tcBorders>
              <w:tl2br w:val="nil"/>
              <w:tr2bl w:val="nil"/>
            </w:tcBorders>
            <w:shd w:val="clear" w:color="auto" w:fill="auto"/>
            <w:vAlign w:val="center"/>
          </w:tcPr>
          <w:p w14:paraId="13DC5534">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1套</w:t>
            </w:r>
          </w:p>
        </w:tc>
        <w:tc>
          <w:tcPr>
            <w:tcW w:w="1235" w:type="pct"/>
            <w:tcBorders>
              <w:tl2br w:val="nil"/>
              <w:tr2bl w:val="nil"/>
            </w:tcBorders>
            <w:shd w:val="clear" w:color="auto" w:fill="auto"/>
            <w:vAlign w:val="center"/>
          </w:tcPr>
          <w:p w14:paraId="06BD642A">
            <w:pPr>
              <w:widowControl/>
              <w:adjustRightInd w:val="0"/>
              <w:snapToGrid w:val="0"/>
              <w:spacing w:line="240" w:lineRule="atLeast"/>
              <w:ind w:firstLine="0" w:firstLineChars="0"/>
              <w:jc w:val="center"/>
              <w:rPr>
                <w:kern w:val="0"/>
                <w:sz w:val="21"/>
                <w:szCs w:val="21"/>
                <w:highlight w:val="black"/>
              </w:rPr>
            </w:pPr>
            <w:r>
              <w:rPr>
                <w:kern w:val="0"/>
                <w:sz w:val="21"/>
                <w:szCs w:val="21"/>
                <w:highlight w:val="black"/>
              </w:rPr>
              <w:t>按作业区不同的风险悬挂相应的标志</w:t>
            </w:r>
          </w:p>
        </w:tc>
      </w:tr>
    </w:tbl>
    <w:p w14:paraId="7EA94CAD">
      <w:pPr>
        <w:ind w:firstLine="560"/>
        <w:rPr>
          <w:highlight w:val="black"/>
        </w:rPr>
      </w:pPr>
      <w:r>
        <w:rPr>
          <w:rFonts w:hint="eastAsia"/>
          <w:highlight w:val="black"/>
        </w:rPr>
        <w:t>（2）</w:t>
      </w:r>
      <w:r>
        <w:rPr>
          <w:highlight w:val="black"/>
        </w:rPr>
        <w:t>安全设施投资</w:t>
      </w:r>
    </w:p>
    <w:p w14:paraId="3FEF956A">
      <w:pPr>
        <w:ind w:firstLine="422"/>
        <w:jc w:val="center"/>
        <w:rPr>
          <w:rFonts w:ascii="宋体" w:hAnsi="宋体" w:cs="宋体"/>
          <w:b/>
          <w:bCs/>
          <w:sz w:val="21"/>
          <w:szCs w:val="21"/>
          <w:highlight w:val="black"/>
        </w:rPr>
      </w:pPr>
      <w:r>
        <w:rPr>
          <w:rFonts w:hint="eastAsia" w:ascii="宋体" w:hAnsi="宋体" w:cs="宋体"/>
          <w:b/>
          <w:bCs/>
          <w:sz w:val="21"/>
          <w:szCs w:val="21"/>
          <w:highlight w:val="black"/>
        </w:rPr>
        <w:t>表2-29 安全设施投入一览表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864"/>
        <w:gridCol w:w="3446"/>
        <w:gridCol w:w="1244"/>
        <w:gridCol w:w="1279"/>
      </w:tblGrid>
      <w:tr w14:paraId="5BFC1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4" w:type="dxa"/>
            <w:tcBorders>
              <w:tl2br w:val="nil"/>
              <w:tr2bl w:val="nil"/>
            </w:tcBorders>
            <w:shd w:val="clear" w:color="auto" w:fill="auto"/>
            <w:vAlign w:val="center"/>
          </w:tcPr>
          <w:p w14:paraId="6543D40E">
            <w:pPr>
              <w:widowControl/>
              <w:snapToGrid w:val="0"/>
              <w:spacing w:line="240" w:lineRule="atLeast"/>
              <w:ind w:firstLine="0" w:firstLineChars="0"/>
              <w:jc w:val="center"/>
              <w:rPr>
                <w:kern w:val="0"/>
                <w:sz w:val="21"/>
                <w:szCs w:val="21"/>
                <w:highlight w:val="black"/>
              </w:rPr>
            </w:pPr>
            <w:r>
              <w:rPr>
                <w:kern w:val="0"/>
                <w:sz w:val="21"/>
                <w:szCs w:val="21"/>
                <w:highlight w:val="black"/>
              </w:rPr>
              <w:t>序号</w:t>
            </w:r>
          </w:p>
        </w:tc>
        <w:tc>
          <w:tcPr>
            <w:tcW w:w="1934" w:type="dxa"/>
            <w:tcBorders>
              <w:tl2br w:val="nil"/>
              <w:tr2bl w:val="nil"/>
            </w:tcBorders>
            <w:shd w:val="clear" w:color="auto" w:fill="auto"/>
            <w:vAlign w:val="center"/>
          </w:tcPr>
          <w:p w14:paraId="762B010A">
            <w:pPr>
              <w:widowControl/>
              <w:snapToGrid w:val="0"/>
              <w:spacing w:line="240" w:lineRule="atLeast"/>
              <w:ind w:firstLine="0" w:firstLineChars="0"/>
              <w:jc w:val="center"/>
              <w:rPr>
                <w:kern w:val="0"/>
                <w:sz w:val="21"/>
                <w:szCs w:val="21"/>
                <w:highlight w:val="black"/>
              </w:rPr>
            </w:pPr>
            <w:r>
              <w:rPr>
                <w:kern w:val="0"/>
                <w:sz w:val="21"/>
                <w:szCs w:val="21"/>
                <w:highlight w:val="black"/>
              </w:rPr>
              <w:t>名称</w:t>
            </w:r>
          </w:p>
        </w:tc>
        <w:tc>
          <w:tcPr>
            <w:tcW w:w="3594" w:type="dxa"/>
            <w:tcBorders>
              <w:tl2br w:val="nil"/>
              <w:tr2bl w:val="nil"/>
            </w:tcBorders>
            <w:shd w:val="clear" w:color="auto" w:fill="auto"/>
            <w:vAlign w:val="center"/>
          </w:tcPr>
          <w:p w14:paraId="6AD3C24F">
            <w:pPr>
              <w:widowControl/>
              <w:snapToGrid w:val="0"/>
              <w:spacing w:line="240" w:lineRule="atLeast"/>
              <w:ind w:firstLine="0" w:firstLineChars="0"/>
              <w:jc w:val="center"/>
              <w:rPr>
                <w:kern w:val="0"/>
                <w:sz w:val="21"/>
                <w:szCs w:val="21"/>
                <w:highlight w:val="black"/>
              </w:rPr>
            </w:pPr>
            <w:r>
              <w:rPr>
                <w:kern w:val="0"/>
                <w:sz w:val="21"/>
                <w:szCs w:val="21"/>
                <w:highlight w:val="black"/>
              </w:rPr>
              <w:t>描述</w:t>
            </w:r>
          </w:p>
        </w:tc>
        <w:tc>
          <w:tcPr>
            <w:tcW w:w="1276" w:type="dxa"/>
            <w:tcBorders>
              <w:tl2br w:val="nil"/>
              <w:tr2bl w:val="nil"/>
            </w:tcBorders>
            <w:shd w:val="clear" w:color="auto" w:fill="auto"/>
            <w:vAlign w:val="center"/>
          </w:tcPr>
          <w:p w14:paraId="58D23D45">
            <w:pPr>
              <w:widowControl/>
              <w:snapToGrid w:val="0"/>
              <w:spacing w:line="240" w:lineRule="atLeast"/>
              <w:ind w:firstLine="0" w:firstLineChars="0"/>
              <w:jc w:val="center"/>
              <w:rPr>
                <w:kern w:val="0"/>
                <w:sz w:val="21"/>
                <w:szCs w:val="21"/>
                <w:highlight w:val="black"/>
              </w:rPr>
            </w:pPr>
            <w:r>
              <w:rPr>
                <w:kern w:val="0"/>
                <w:sz w:val="21"/>
                <w:szCs w:val="21"/>
                <w:highlight w:val="black"/>
              </w:rPr>
              <w:t>投资</w:t>
            </w:r>
            <w:r>
              <w:rPr>
                <w:rFonts w:hint="eastAsia"/>
                <w:kern w:val="0"/>
                <w:sz w:val="21"/>
                <w:szCs w:val="21"/>
                <w:highlight w:val="black"/>
              </w:rPr>
              <w:t>（</w:t>
            </w:r>
            <w:r>
              <w:rPr>
                <w:kern w:val="0"/>
                <w:sz w:val="21"/>
                <w:szCs w:val="21"/>
                <w:highlight w:val="black"/>
              </w:rPr>
              <w:t>万元</w:t>
            </w:r>
            <w:r>
              <w:rPr>
                <w:rFonts w:hint="eastAsia"/>
                <w:kern w:val="0"/>
                <w:sz w:val="21"/>
                <w:szCs w:val="21"/>
                <w:highlight w:val="black"/>
              </w:rPr>
              <w:t>）</w:t>
            </w:r>
          </w:p>
        </w:tc>
        <w:tc>
          <w:tcPr>
            <w:tcW w:w="1326" w:type="dxa"/>
            <w:tcBorders>
              <w:tl2br w:val="nil"/>
              <w:tr2bl w:val="nil"/>
            </w:tcBorders>
            <w:shd w:val="clear" w:color="auto" w:fill="auto"/>
            <w:vAlign w:val="center"/>
          </w:tcPr>
          <w:p w14:paraId="1485618D">
            <w:pPr>
              <w:widowControl/>
              <w:snapToGrid w:val="0"/>
              <w:spacing w:line="240" w:lineRule="atLeast"/>
              <w:ind w:firstLine="0" w:firstLineChars="0"/>
              <w:jc w:val="center"/>
              <w:rPr>
                <w:kern w:val="0"/>
                <w:sz w:val="21"/>
                <w:szCs w:val="21"/>
                <w:highlight w:val="black"/>
              </w:rPr>
            </w:pPr>
            <w:r>
              <w:rPr>
                <w:kern w:val="0"/>
                <w:sz w:val="21"/>
                <w:szCs w:val="21"/>
                <w:highlight w:val="black"/>
              </w:rPr>
              <w:t>说明</w:t>
            </w:r>
          </w:p>
        </w:tc>
      </w:tr>
      <w:tr w14:paraId="3A76A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720E9CE0">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934" w:type="dxa"/>
            <w:vMerge w:val="restart"/>
            <w:tcBorders>
              <w:tl2br w:val="nil"/>
              <w:tr2bl w:val="nil"/>
            </w:tcBorders>
            <w:shd w:val="clear" w:color="auto" w:fill="auto"/>
            <w:vAlign w:val="center"/>
          </w:tcPr>
          <w:p w14:paraId="35A531D1">
            <w:pPr>
              <w:widowControl/>
              <w:snapToGrid w:val="0"/>
              <w:spacing w:line="240" w:lineRule="atLeast"/>
              <w:ind w:firstLine="0" w:firstLineChars="0"/>
              <w:jc w:val="center"/>
              <w:rPr>
                <w:kern w:val="0"/>
                <w:sz w:val="21"/>
                <w:szCs w:val="21"/>
                <w:highlight w:val="black"/>
              </w:rPr>
            </w:pPr>
            <w:r>
              <w:rPr>
                <w:kern w:val="0"/>
                <w:sz w:val="21"/>
                <w:szCs w:val="21"/>
                <w:highlight w:val="black"/>
              </w:rPr>
              <w:t>斜坡道与无轨运输系统安全设施</w:t>
            </w:r>
          </w:p>
        </w:tc>
        <w:tc>
          <w:tcPr>
            <w:tcW w:w="3594" w:type="dxa"/>
            <w:tcBorders>
              <w:tl2br w:val="nil"/>
              <w:tr2bl w:val="nil"/>
            </w:tcBorders>
            <w:shd w:val="clear" w:color="auto" w:fill="auto"/>
            <w:vAlign w:val="center"/>
          </w:tcPr>
          <w:p w14:paraId="1D74DCE5">
            <w:pPr>
              <w:widowControl/>
              <w:snapToGrid w:val="0"/>
              <w:spacing w:line="240" w:lineRule="atLeast"/>
              <w:ind w:firstLine="0" w:firstLineChars="0"/>
              <w:jc w:val="center"/>
              <w:rPr>
                <w:kern w:val="0"/>
                <w:sz w:val="21"/>
                <w:szCs w:val="21"/>
                <w:highlight w:val="black"/>
              </w:rPr>
            </w:pPr>
            <w:r>
              <w:rPr>
                <w:kern w:val="0"/>
                <w:sz w:val="21"/>
                <w:szCs w:val="21"/>
                <w:highlight w:val="black"/>
              </w:rPr>
              <w:t>人行道</w:t>
            </w:r>
          </w:p>
        </w:tc>
        <w:tc>
          <w:tcPr>
            <w:tcW w:w="1276" w:type="dxa"/>
            <w:tcBorders>
              <w:tl2br w:val="nil"/>
              <w:tr2bl w:val="nil"/>
            </w:tcBorders>
            <w:shd w:val="clear" w:color="auto" w:fill="auto"/>
            <w:vAlign w:val="center"/>
          </w:tcPr>
          <w:p w14:paraId="274AF8FC">
            <w:pPr>
              <w:widowControl/>
              <w:snapToGrid w:val="0"/>
              <w:spacing w:line="240" w:lineRule="atLeast"/>
              <w:ind w:firstLine="0" w:firstLineChars="0"/>
              <w:jc w:val="center"/>
              <w:rPr>
                <w:kern w:val="0"/>
                <w:sz w:val="21"/>
                <w:szCs w:val="21"/>
                <w:highlight w:val="black"/>
              </w:rPr>
            </w:pPr>
            <w:r>
              <w:rPr>
                <w:kern w:val="0"/>
                <w:sz w:val="21"/>
                <w:szCs w:val="21"/>
                <w:highlight w:val="black"/>
              </w:rPr>
              <w:t>-</w:t>
            </w:r>
          </w:p>
        </w:tc>
        <w:tc>
          <w:tcPr>
            <w:tcW w:w="1326" w:type="dxa"/>
            <w:tcBorders>
              <w:tl2br w:val="nil"/>
              <w:tr2bl w:val="nil"/>
            </w:tcBorders>
            <w:shd w:val="clear" w:color="auto" w:fill="auto"/>
            <w:vAlign w:val="center"/>
          </w:tcPr>
          <w:p w14:paraId="023EB371">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包含在斜坡道建设投资中</w:t>
            </w:r>
          </w:p>
        </w:tc>
      </w:tr>
      <w:tr w14:paraId="4625A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75B14D72">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2DF51044">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2D7DD24D">
            <w:pPr>
              <w:widowControl/>
              <w:snapToGrid w:val="0"/>
              <w:spacing w:line="240" w:lineRule="atLeast"/>
              <w:ind w:firstLine="0" w:firstLineChars="0"/>
              <w:jc w:val="center"/>
              <w:rPr>
                <w:kern w:val="0"/>
                <w:sz w:val="21"/>
                <w:szCs w:val="21"/>
                <w:highlight w:val="black"/>
              </w:rPr>
            </w:pPr>
            <w:r>
              <w:rPr>
                <w:kern w:val="0"/>
                <w:sz w:val="21"/>
                <w:szCs w:val="21"/>
                <w:highlight w:val="black"/>
              </w:rPr>
              <w:t>缓坡段</w:t>
            </w:r>
          </w:p>
        </w:tc>
        <w:tc>
          <w:tcPr>
            <w:tcW w:w="1276" w:type="dxa"/>
            <w:tcBorders>
              <w:tl2br w:val="nil"/>
              <w:tr2bl w:val="nil"/>
            </w:tcBorders>
            <w:shd w:val="clear" w:color="auto" w:fill="auto"/>
            <w:vAlign w:val="center"/>
          </w:tcPr>
          <w:p w14:paraId="4EF9A665">
            <w:pPr>
              <w:widowControl/>
              <w:snapToGrid w:val="0"/>
              <w:spacing w:line="240" w:lineRule="atLeast"/>
              <w:ind w:firstLine="0" w:firstLineChars="0"/>
              <w:jc w:val="center"/>
              <w:rPr>
                <w:kern w:val="0"/>
                <w:sz w:val="21"/>
                <w:szCs w:val="21"/>
                <w:highlight w:val="black"/>
              </w:rPr>
            </w:pPr>
            <w:r>
              <w:rPr>
                <w:kern w:val="0"/>
                <w:sz w:val="21"/>
                <w:szCs w:val="21"/>
                <w:highlight w:val="black"/>
              </w:rPr>
              <w:t>22</w:t>
            </w:r>
          </w:p>
        </w:tc>
        <w:tc>
          <w:tcPr>
            <w:tcW w:w="1326" w:type="dxa"/>
            <w:tcBorders>
              <w:tl2br w:val="nil"/>
              <w:tr2bl w:val="nil"/>
            </w:tcBorders>
            <w:vAlign w:val="center"/>
          </w:tcPr>
          <w:p w14:paraId="5A714309">
            <w:pPr>
              <w:snapToGrid w:val="0"/>
              <w:spacing w:line="240" w:lineRule="atLeast"/>
              <w:ind w:firstLine="420"/>
              <w:jc w:val="left"/>
              <w:rPr>
                <w:kern w:val="0"/>
                <w:sz w:val="21"/>
                <w:szCs w:val="21"/>
                <w:highlight w:val="black"/>
              </w:rPr>
            </w:pPr>
          </w:p>
        </w:tc>
      </w:tr>
      <w:tr w14:paraId="751BB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2CC51C97">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20E69BFB">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49FABED4">
            <w:pPr>
              <w:widowControl/>
              <w:snapToGrid w:val="0"/>
              <w:spacing w:line="240" w:lineRule="atLeast"/>
              <w:ind w:firstLine="0" w:firstLineChars="0"/>
              <w:jc w:val="center"/>
              <w:rPr>
                <w:kern w:val="0"/>
                <w:sz w:val="21"/>
                <w:szCs w:val="21"/>
                <w:highlight w:val="black"/>
              </w:rPr>
            </w:pPr>
            <w:r>
              <w:rPr>
                <w:kern w:val="0"/>
                <w:sz w:val="21"/>
                <w:szCs w:val="21"/>
                <w:highlight w:val="black"/>
              </w:rPr>
              <w:t>声光警示系统</w:t>
            </w:r>
          </w:p>
        </w:tc>
        <w:tc>
          <w:tcPr>
            <w:tcW w:w="1276" w:type="dxa"/>
            <w:tcBorders>
              <w:tl2br w:val="nil"/>
              <w:tr2bl w:val="nil"/>
            </w:tcBorders>
            <w:shd w:val="clear" w:color="auto" w:fill="auto"/>
            <w:vAlign w:val="center"/>
          </w:tcPr>
          <w:p w14:paraId="3377B245">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1326" w:type="dxa"/>
            <w:tcBorders>
              <w:tl2br w:val="nil"/>
              <w:tr2bl w:val="nil"/>
            </w:tcBorders>
            <w:shd w:val="clear" w:color="auto" w:fill="auto"/>
            <w:vAlign w:val="center"/>
          </w:tcPr>
          <w:p w14:paraId="11FEC016">
            <w:pPr>
              <w:widowControl/>
              <w:snapToGrid w:val="0"/>
              <w:spacing w:line="240" w:lineRule="atLeast"/>
              <w:ind w:firstLine="0" w:firstLineChars="0"/>
              <w:jc w:val="center"/>
              <w:rPr>
                <w:kern w:val="0"/>
                <w:sz w:val="21"/>
                <w:szCs w:val="21"/>
                <w:highlight w:val="black"/>
              </w:rPr>
            </w:pPr>
            <w:r>
              <w:rPr>
                <w:kern w:val="0"/>
                <w:sz w:val="21"/>
                <w:szCs w:val="21"/>
                <w:highlight w:val="black"/>
              </w:rPr>
              <w:t>　</w:t>
            </w:r>
          </w:p>
        </w:tc>
      </w:tr>
      <w:tr w14:paraId="00A79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432BA02C">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7BAC999D">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278E0FE0">
            <w:pPr>
              <w:widowControl/>
              <w:snapToGrid w:val="0"/>
              <w:spacing w:line="240" w:lineRule="atLeast"/>
              <w:ind w:firstLine="0" w:firstLineChars="0"/>
              <w:jc w:val="center"/>
              <w:rPr>
                <w:kern w:val="0"/>
                <w:sz w:val="21"/>
                <w:szCs w:val="21"/>
                <w:highlight w:val="black"/>
              </w:rPr>
            </w:pPr>
            <w:r>
              <w:rPr>
                <w:kern w:val="0"/>
                <w:sz w:val="21"/>
                <w:szCs w:val="21"/>
                <w:highlight w:val="black"/>
              </w:rPr>
              <w:t>井口门禁系统</w:t>
            </w:r>
          </w:p>
        </w:tc>
        <w:tc>
          <w:tcPr>
            <w:tcW w:w="1276" w:type="dxa"/>
            <w:tcBorders>
              <w:tl2br w:val="nil"/>
              <w:tr2bl w:val="nil"/>
            </w:tcBorders>
            <w:shd w:val="clear" w:color="auto" w:fill="auto"/>
            <w:vAlign w:val="center"/>
          </w:tcPr>
          <w:p w14:paraId="1003D753">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326" w:type="dxa"/>
            <w:tcBorders>
              <w:tl2br w:val="nil"/>
              <w:tr2bl w:val="nil"/>
            </w:tcBorders>
            <w:shd w:val="clear" w:color="auto" w:fill="auto"/>
            <w:vAlign w:val="center"/>
          </w:tcPr>
          <w:p w14:paraId="7E68418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2DB96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37C3B818">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6A7A5486">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2097BE2">
            <w:pPr>
              <w:widowControl/>
              <w:snapToGrid w:val="0"/>
              <w:spacing w:line="240" w:lineRule="atLeast"/>
              <w:ind w:firstLine="0" w:firstLineChars="0"/>
              <w:jc w:val="center"/>
              <w:rPr>
                <w:kern w:val="0"/>
                <w:sz w:val="21"/>
                <w:szCs w:val="21"/>
                <w:highlight w:val="black"/>
              </w:rPr>
            </w:pPr>
            <w:r>
              <w:rPr>
                <w:kern w:val="0"/>
                <w:sz w:val="21"/>
                <w:szCs w:val="21"/>
                <w:highlight w:val="black"/>
              </w:rPr>
              <w:t>安全出口指示牌</w:t>
            </w:r>
          </w:p>
        </w:tc>
        <w:tc>
          <w:tcPr>
            <w:tcW w:w="1276" w:type="dxa"/>
            <w:tcBorders>
              <w:tl2br w:val="nil"/>
              <w:tr2bl w:val="nil"/>
            </w:tcBorders>
            <w:shd w:val="clear" w:color="auto" w:fill="auto"/>
            <w:vAlign w:val="center"/>
          </w:tcPr>
          <w:p w14:paraId="70E279D2">
            <w:pPr>
              <w:widowControl/>
              <w:snapToGrid w:val="0"/>
              <w:spacing w:line="240" w:lineRule="atLeast"/>
              <w:ind w:firstLine="0" w:firstLineChars="0"/>
              <w:jc w:val="center"/>
              <w:rPr>
                <w:kern w:val="0"/>
                <w:sz w:val="21"/>
                <w:szCs w:val="21"/>
                <w:highlight w:val="black"/>
              </w:rPr>
            </w:pPr>
            <w:r>
              <w:rPr>
                <w:kern w:val="0"/>
                <w:sz w:val="21"/>
                <w:szCs w:val="21"/>
                <w:highlight w:val="black"/>
              </w:rPr>
              <w:t>1.5</w:t>
            </w:r>
          </w:p>
        </w:tc>
        <w:tc>
          <w:tcPr>
            <w:tcW w:w="1326" w:type="dxa"/>
            <w:tcBorders>
              <w:tl2br w:val="nil"/>
              <w:tr2bl w:val="nil"/>
            </w:tcBorders>
            <w:shd w:val="clear" w:color="auto" w:fill="auto"/>
            <w:vAlign w:val="center"/>
          </w:tcPr>
          <w:p w14:paraId="3B685CB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2DA87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3D10C32B">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1934" w:type="dxa"/>
            <w:vMerge w:val="restart"/>
            <w:tcBorders>
              <w:tl2br w:val="nil"/>
              <w:tr2bl w:val="nil"/>
            </w:tcBorders>
            <w:shd w:val="clear" w:color="auto" w:fill="auto"/>
            <w:vAlign w:val="center"/>
          </w:tcPr>
          <w:p w14:paraId="471C0B88">
            <w:pPr>
              <w:widowControl/>
              <w:snapToGrid w:val="0"/>
              <w:spacing w:line="240" w:lineRule="atLeast"/>
              <w:ind w:firstLine="0" w:firstLineChars="0"/>
              <w:jc w:val="center"/>
              <w:rPr>
                <w:kern w:val="0"/>
                <w:sz w:val="21"/>
                <w:szCs w:val="21"/>
                <w:highlight w:val="black"/>
              </w:rPr>
            </w:pPr>
            <w:r>
              <w:rPr>
                <w:kern w:val="0"/>
                <w:sz w:val="21"/>
                <w:szCs w:val="21"/>
                <w:highlight w:val="black"/>
              </w:rPr>
              <w:t>采场</w:t>
            </w:r>
          </w:p>
        </w:tc>
        <w:tc>
          <w:tcPr>
            <w:tcW w:w="3594" w:type="dxa"/>
            <w:tcBorders>
              <w:tl2br w:val="nil"/>
              <w:tr2bl w:val="nil"/>
            </w:tcBorders>
            <w:shd w:val="clear" w:color="auto" w:fill="auto"/>
            <w:vAlign w:val="center"/>
          </w:tcPr>
          <w:p w14:paraId="19F3421E">
            <w:pPr>
              <w:widowControl/>
              <w:snapToGrid w:val="0"/>
              <w:spacing w:line="240" w:lineRule="atLeast"/>
              <w:ind w:firstLine="0" w:firstLineChars="0"/>
              <w:jc w:val="center"/>
              <w:rPr>
                <w:kern w:val="0"/>
                <w:sz w:val="21"/>
                <w:szCs w:val="21"/>
                <w:highlight w:val="black"/>
              </w:rPr>
            </w:pPr>
            <w:r>
              <w:rPr>
                <w:kern w:val="0"/>
                <w:sz w:val="21"/>
                <w:szCs w:val="21"/>
                <w:highlight w:val="black"/>
              </w:rPr>
              <w:t>采空区及其他危险区域的探测、封闭、隔离</w:t>
            </w:r>
          </w:p>
        </w:tc>
        <w:tc>
          <w:tcPr>
            <w:tcW w:w="1276" w:type="dxa"/>
            <w:tcBorders>
              <w:tl2br w:val="nil"/>
              <w:tr2bl w:val="nil"/>
            </w:tcBorders>
            <w:shd w:val="clear" w:color="auto" w:fill="auto"/>
            <w:vAlign w:val="center"/>
          </w:tcPr>
          <w:p w14:paraId="243C26FB">
            <w:pPr>
              <w:widowControl/>
              <w:snapToGrid w:val="0"/>
              <w:spacing w:line="240" w:lineRule="atLeast"/>
              <w:ind w:firstLine="0" w:firstLineChars="0"/>
              <w:jc w:val="center"/>
              <w:rPr>
                <w:kern w:val="0"/>
                <w:sz w:val="21"/>
                <w:szCs w:val="21"/>
                <w:highlight w:val="black"/>
              </w:rPr>
            </w:pPr>
            <w:r>
              <w:rPr>
                <w:kern w:val="0"/>
                <w:sz w:val="21"/>
                <w:szCs w:val="21"/>
                <w:highlight w:val="black"/>
              </w:rPr>
              <w:t>3.5</w:t>
            </w:r>
          </w:p>
        </w:tc>
        <w:tc>
          <w:tcPr>
            <w:tcW w:w="1326" w:type="dxa"/>
            <w:tcBorders>
              <w:tl2br w:val="nil"/>
              <w:tr2bl w:val="nil"/>
            </w:tcBorders>
            <w:shd w:val="clear" w:color="auto" w:fill="auto"/>
            <w:vAlign w:val="center"/>
          </w:tcPr>
          <w:p w14:paraId="32B039D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30930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33AE8AE1">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4A129681">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4624B89E">
            <w:pPr>
              <w:widowControl/>
              <w:snapToGrid w:val="0"/>
              <w:spacing w:line="240" w:lineRule="atLeast"/>
              <w:ind w:firstLine="0" w:firstLineChars="0"/>
              <w:jc w:val="center"/>
              <w:rPr>
                <w:kern w:val="0"/>
                <w:sz w:val="21"/>
                <w:szCs w:val="21"/>
                <w:highlight w:val="black"/>
              </w:rPr>
            </w:pPr>
            <w:r>
              <w:rPr>
                <w:kern w:val="0"/>
                <w:sz w:val="21"/>
                <w:szCs w:val="21"/>
                <w:highlight w:val="black"/>
              </w:rPr>
              <w:t>人行通风天井防护</w:t>
            </w:r>
          </w:p>
        </w:tc>
        <w:tc>
          <w:tcPr>
            <w:tcW w:w="1276" w:type="dxa"/>
            <w:tcBorders>
              <w:tl2br w:val="nil"/>
              <w:tr2bl w:val="nil"/>
            </w:tcBorders>
            <w:shd w:val="clear" w:color="auto" w:fill="auto"/>
            <w:vAlign w:val="center"/>
          </w:tcPr>
          <w:p w14:paraId="09CB5281">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326" w:type="dxa"/>
            <w:tcBorders>
              <w:tl2br w:val="nil"/>
              <w:tr2bl w:val="nil"/>
            </w:tcBorders>
            <w:shd w:val="clear" w:color="auto" w:fill="auto"/>
            <w:vAlign w:val="center"/>
          </w:tcPr>
          <w:p w14:paraId="5828CED1">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00D46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14277D53">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49FF95C5">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6D217E61">
            <w:pPr>
              <w:widowControl/>
              <w:snapToGrid w:val="0"/>
              <w:spacing w:line="240" w:lineRule="atLeast"/>
              <w:ind w:firstLine="0" w:firstLineChars="0"/>
              <w:jc w:val="center"/>
              <w:rPr>
                <w:kern w:val="0"/>
                <w:sz w:val="21"/>
                <w:szCs w:val="21"/>
                <w:highlight w:val="black"/>
              </w:rPr>
            </w:pPr>
            <w:r>
              <w:rPr>
                <w:kern w:val="0"/>
                <w:sz w:val="21"/>
                <w:szCs w:val="21"/>
                <w:highlight w:val="black"/>
              </w:rPr>
              <w:t>采场废弃天井处理</w:t>
            </w:r>
          </w:p>
        </w:tc>
        <w:tc>
          <w:tcPr>
            <w:tcW w:w="1276" w:type="dxa"/>
            <w:tcBorders>
              <w:tl2br w:val="nil"/>
              <w:tr2bl w:val="nil"/>
            </w:tcBorders>
            <w:shd w:val="clear" w:color="auto" w:fill="auto"/>
            <w:vAlign w:val="center"/>
          </w:tcPr>
          <w:p w14:paraId="38FA4AF2">
            <w:pPr>
              <w:widowControl/>
              <w:snapToGrid w:val="0"/>
              <w:spacing w:line="240" w:lineRule="atLeast"/>
              <w:ind w:firstLine="0" w:firstLineChars="0"/>
              <w:jc w:val="center"/>
              <w:rPr>
                <w:kern w:val="0"/>
                <w:sz w:val="21"/>
                <w:szCs w:val="21"/>
                <w:highlight w:val="black"/>
              </w:rPr>
            </w:pPr>
            <w:r>
              <w:rPr>
                <w:kern w:val="0"/>
                <w:sz w:val="21"/>
                <w:szCs w:val="21"/>
                <w:highlight w:val="black"/>
              </w:rPr>
              <w:t>0.5</w:t>
            </w:r>
          </w:p>
        </w:tc>
        <w:tc>
          <w:tcPr>
            <w:tcW w:w="1326" w:type="dxa"/>
            <w:tcBorders>
              <w:tl2br w:val="nil"/>
              <w:tr2bl w:val="nil"/>
            </w:tcBorders>
            <w:shd w:val="clear" w:color="auto" w:fill="auto"/>
            <w:vAlign w:val="center"/>
          </w:tcPr>
          <w:p w14:paraId="7519FB8E">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65C5A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6FA7AEAE">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0EE536C3">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0A7284ED">
            <w:pPr>
              <w:widowControl/>
              <w:snapToGrid w:val="0"/>
              <w:spacing w:line="240" w:lineRule="atLeast"/>
              <w:ind w:firstLine="0" w:firstLineChars="0"/>
              <w:jc w:val="center"/>
              <w:rPr>
                <w:kern w:val="0"/>
                <w:sz w:val="21"/>
                <w:szCs w:val="21"/>
                <w:highlight w:val="black"/>
              </w:rPr>
            </w:pPr>
            <w:r>
              <w:rPr>
                <w:kern w:val="0"/>
                <w:sz w:val="21"/>
                <w:szCs w:val="21"/>
                <w:highlight w:val="black"/>
              </w:rPr>
              <w:t>爆破安全设施</w:t>
            </w:r>
          </w:p>
        </w:tc>
        <w:tc>
          <w:tcPr>
            <w:tcW w:w="1276" w:type="dxa"/>
            <w:tcBorders>
              <w:tl2br w:val="nil"/>
              <w:tr2bl w:val="nil"/>
            </w:tcBorders>
            <w:shd w:val="clear" w:color="auto" w:fill="auto"/>
            <w:vAlign w:val="center"/>
          </w:tcPr>
          <w:p w14:paraId="66622068">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326" w:type="dxa"/>
            <w:tcBorders>
              <w:tl2br w:val="nil"/>
              <w:tr2bl w:val="nil"/>
            </w:tcBorders>
            <w:shd w:val="clear" w:color="auto" w:fill="auto"/>
            <w:vAlign w:val="center"/>
          </w:tcPr>
          <w:p w14:paraId="5D822B58">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22E1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6AE13F42">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5E44ACBA">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0BA34F30">
            <w:pPr>
              <w:widowControl/>
              <w:snapToGrid w:val="0"/>
              <w:spacing w:line="240" w:lineRule="atLeast"/>
              <w:ind w:firstLine="0" w:firstLineChars="0"/>
              <w:jc w:val="center"/>
              <w:rPr>
                <w:kern w:val="0"/>
                <w:sz w:val="21"/>
                <w:szCs w:val="21"/>
                <w:highlight w:val="black"/>
              </w:rPr>
            </w:pPr>
            <w:r>
              <w:rPr>
                <w:kern w:val="0"/>
                <w:sz w:val="21"/>
                <w:szCs w:val="21"/>
                <w:highlight w:val="black"/>
              </w:rPr>
              <w:t>采场通风</w:t>
            </w:r>
          </w:p>
        </w:tc>
        <w:tc>
          <w:tcPr>
            <w:tcW w:w="1276" w:type="dxa"/>
            <w:tcBorders>
              <w:tl2br w:val="nil"/>
              <w:tr2bl w:val="nil"/>
            </w:tcBorders>
            <w:shd w:val="clear" w:color="auto" w:fill="auto"/>
            <w:vAlign w:val="center"/>
          </w:tcPr>
          <w:p w14:paraId="1321A255">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1326" w:type="dxa"/>
            <w:tcBorders>
              <w:tl2br w:val="nil"/>
              <w:tr2bl w:val="nil"/>
            </w:tcBorders>
            <w:shd w:val="clear" w:color="auto" w:fill="auto"/>
            <w:vAlign w:val="center"/>
          </w:tcPr>
          <w:p w14:paraId="0C5D4BB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3910A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6CD18F5A">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1934" w:type="dxa"/>
            <w:vMerge w:val="restart"/>
            <w:tcBorders>
              <w:tl2br w:val="nil"/>
              <w:tr2bl w:val="nil"/>
            </w:tcBorders>
            <w:shd w:val="clear" w:color="auto" w:fill="auto"/>
            <w:vAlign w:val="center"/>
          </w:tcPr>
          <w:p w14:paraId="3E756B1A">
            <w:pPr>
              <w:widowControl/>
              <w:snapToGrid w:val="0"/>
              <w:spacing w:line="240" w:lineRule="atLeast"/>
              <w:ind w:firstLine="0" w:firstLineChars="0"/>
              <w:jc w:val="center"/>
              <w:rPr>
                <w:kern w:val="0"/>
                <w:sz w:val="21"/>
                <w:szCs w:val="21"/>
                <w:highlight w:val="black"/>
              </w:rPr>
            </w:pPr>
            <w:r>
              <w:rPr>
                <w:kern w:val="0"/>
                <w:sz w:val="21"/>
                <w:szCs w:val="21"/>
                <w:highlight w:val="black"/>
              </w:rPr>
              <w:t>供、配电设施</w:t>
            </w:r>
          </w:p>
        </w:tc>
        <w:tc>
          <w:tcPr>
            <w:tcW w:w="3594" w:type="dxa"/>
            <w:tcBorders>
              <w:tl2br w:val="nil"/>
              <w:tr2bl w:val="nil"/>
            </w:tcBorders>
            <w:shd w:val="clear" w:color="auto" w:fill="auto"/>
            <w:vAlign w:val="center"/>
          </w:tcPr>
          <w:p w14:paraId="399AA494">
            <w:pPr>
              <w:widowControl/>
              <w:snapToGrid w:val="0"/>
              <w:spacing w:line="240" w:lineRule="atLeast"/>
              <w:ind w:firstLine="0" w:firstLineChars="0"/>
              <w:jc w:val="center"/>
              <w:rPr>
                <w:kern w:val="0"/>
                <w:sz w:val="21"/>
                <w:szCs w:val="21"/>
                <w:highlight w:val="black"/>
              </w:rPr>
            </w:pPr>
            <w:r>
              <w:rPr>
                <w:kern w:val="0"/>
                <w:sz w:val="21"/>
                <w:szCs w:val="21"/>
                <w:highlight w:val="black"/>
              </w:rPr>
              <w:t>裸带电体基本</w:t>
            </w:r>
            <w:r>
              <w:rPr>
                <w:rFonts w:hint="eastAsia"/>
                <w:kern w:val="0"/>
                <w:sz w:val="21"/>
                <w:szCs w:val="21"/>
                <w:highlight w:val="black"/>
              </w:rPr>
              <w:t>（</w:t>
            </w:r>
            <w:r>
              <w:rPr>
                <w:kern w:val="0"/>
                <w:sz w:val="21"/>
                <w:szCs w:val="21"/>
                <w:highlight w:val="black"/>
              </w:rPr>
              <w:t>直接接触</w:t>
            </w:r>
            <w:r>
              <w:rPr>
                <w:rFonts w:hint="eastAsia"/>
                <w:kern w:val="0"/>
                <w:sz w:val="21"/>
                <w:szCs w:val="21"/>
                <w:highlight w:val="black"/>
              </w:rPr>
              <w:t>）</w:t>
            </w:r>
            <w:r>
              <w:rPr>
                <w:kern w:val="0"/>
                <w:sz w:val="21"/>
                <w:szCs w:val="21"/>
                <w:highlight w:val="black"/>
              </w:rPr>
              <w:t>防护设施</w:t>
            </w:r>
          </w:p>
        </w:tc>
        <w:tc>
          <w:tcPr>
            <w:tcW w:w="1276" w:type="dxa"/>
            <w:tcBorders>
              <w:tl2br w:val="nil"/>
              <w:tr2bl w:val="nil"/>
            </w:tcBorders>
            <w:shd w:val="clear" w:color="auto" w:fill="auto"/>
            <w:vAlign w:val="center"/>
          </w:tcPr>
          <w:p w14:paraId="7CA89D53">
            <w:pPr>
              <w:widowControl/>
              <w:snapToGrid w:val="0"/>
              <w:spacing w:line="240" w:lineRule="atLeast"/>
              <w:ind w:firstLine="0" w:firstLineChars="0"/>
              <w:jc w:val="center"/>
              <w:rPr>
                <w:kern w:val="0"/>
                <w:sz w:val="21"/>
                <w:szCs w:val="21"/>
                <w:highlight w:val="black"/>
              </w:rPr>
            </w:pPr>
            <w:r>
              <w:rPr>
                <w:kern w:val="0"/>
                <w:sz w:val="21"/>
                <w:szCs w:val="21"/>
                <w:highlight w:val="black"/>
              </w:rPr>
              <w:t>1.5</w:t>
            </w:r>
          </w:p>
        </w:tc>
        <w:tc>
          <w:tcPr>
            <w:tcW w:w="1326" w:type="dxa"/>
            <w:tcBorders>
              <w:tl2br w:val="nil"/>
              <w:tr2bl w:val="nil"/>
            </w:tcBorders>
            <w:shd w:val="clear" w:color="auto" w:fill="auto"/>
            <w:vAlign w:val="center"/>
          </w:tcPr>
          <w:p w14:paraId="6BA87801">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69161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4FA8723C">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0C33587E">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28D69472">
            <w:pPr>
              <w:widowControl/>
              <w:snapToGrid w:val="0"/>
              <w:spacing w:line="240" w:lineRule="atLeast"/>
              <w:ind w:firstLine="0" w:firstLineChars="0"/>
              <w:jc w:val="center"/>
              <w:rPr>
                <w:kern w:val="0"/>
                <w:sz w:val="21"/>
                <w:szCs w:val="21"/>
                <w:highlight w:val="black"/>
              </w:rPr>
            </w:pPr>
            <w:r>
              <w:rPr>
                <w:kern w:val="0"/>
                <w:sz w:val="21"/>
                <w:szCs w:val="21"/>
                <w:highlight w:val="black"/>
              </w:rPr>
              <w:t>变电所及配电硐室设防火门、栅栏门</w:t>
            </w:r>
          </w:p>
        </w:tc>
        <w:tc>
          <w:tcPr>
            <w:tcW w:w="1276" w:type="dxa"/>
            <w:tcBorders>
              <w:tl2br w:val="nil"/>
              <w:tr2bl w:val="nil"/>
            </w:tcBorders>
            <w:shd w:val="clear" w:color="auto" w:fill="auto"/>
            <w:vAlign w:val="center"/>
          </w:tcPr>
          <w:p w14:paraId="4B099582">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c>
          <w:tcPr>
            <w:tcW w:w="1326" w:type="dxa"/>
            <w:tcBorders>
              <w:tl2br w:val="nil"/>
              <w:tr2bl w:val="nil"/>
            </w:tcBorders>
            <w:shd w:val="clear" w:color="auto" w:fill="auto"/>
            <w:vAlign w:val="center"/>
          </w:tcPr>
          <w:p w14:paraId="49B969A1">
            <w:pPr>
              <w:widowControl/>
              <w:snapToGrid w:val="0"/>
              <w:spacing w:line="240" w:lineRule="atLeast"/>
              <w:ind w:firstLine="0" w:firstLineChars="0"/>
              <w:jc w:val="center"/>
              <w:rPr>
                <w:kern w:val="0"/>
                <w:sz w:val="21"/>
                <w:szCs w:val="21"/>
                <w:highlight w:val="black"/>
              </w:rPr>
            </w:pPr>
            <w:r>
              <w:rPr>
                <w:kern w:val="0"/>
                <w:sz w:val="21"/>
                <w:szCs w:val="21"/>
                <w:highlight w:val="black"/>
              </w:rPr>
              <w:t>　</w:t>
            </w:r>
          </w:p>
        </w:tc>
      </w:tr>
      <w:tr w14:paraId="36EBF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0EA32360">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2390D046">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0592E254">
            <w:pPr>
              <w:widowControl/>
              <w:snapToGrid w:val="0"/>
              <w:spacing w:line="240" w:lineRule="atLeast"/>
              <w:ind w:firstLine="0" w:firstLineChars="0"/>
              <w:jc w:val="center"/>
              <w:rPr>
                <w:kern w:val="0"/>
                <w:sz w:val="21"/>
                <w:szCs w:val="21"/>
                <w:highlight w:val="black"/>
              </w:rPr>
            </w:pPr>
            <w:r>
              <w:rPr>
                <w:kern w:val="0"/>
                <w:sz w:val="21"/>
                <w:szCs w:val="21"/>
                <w:highlight w:val="black"/>
              </w:rPr>
              <w:t>保护接地及等电位联接设施</w:t>
            </w:r>
          </w:p>
        </w:tc>
        <w:tc>
          <w:tcPr>
            <w:tcW w:w="1276" w:type="dxa"/>
            <w:tcBorders>
              <w:tl2br w:val="nil"/>
              <w:tr2bl w:val="nil"/>
            </w:tcBorders>
            <w:shd w:val="clear" w:color="auto" w:fill="auto"/>
            <w:vAlign w:val="center"/>
          </w:tcPr>
          <w:p w14:paraId="6F015C45">
            <w:pPr>
              <w:widowControl/>
              <w:snapToGrid w:val="0"/>
              <w:spacing w:line="240" w:lineRule="atLeast"/>
              <w:ind w:firstLine="0" w:firstLineChars="0"/>
              <w:jc w:val="center"/>
              <w:rPr>
                <w:kern w:val="0"/>
                <w:sz w:val="21"/>
                <w:szCs w:val="21"/>
                <w:highlight w:val="black"/>
              </w:rPr>
            </w:pPr>
            <w:r>
              <w:rPr>
                <w:kern w:val="0"/>
                <w:sz w:val="21"/>
                <w:szCs w:val="21"/>
                <w:highlight w:val="black"/>
              </w:rPr>
              <w:t>3.8</w:t>
            </w:r>
          </w:p>
        </w:tc>
        <w:tc>
          <w:tcPr>
            <w:tcW w:w="1326" w:type="dxa"/>
            <w:tcBorders>
              <w:tl2br w:val="nil"/>
              <w:tr2bl w:val="nil"/>
            </w:tcBorders>
            <w:shd w:val="clear" w:color="auto" w:fill="auto"/>
            <w:vAlign w:val="center"/>
          </w:tcPr>
          <w:p w14:paraId="223DC64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1D4E2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15FB3A8D">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6201E5F3">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DDF73FD">
            <w:pPr>
              <w:widowControl/>
              <w:snapToGrid w:val="0"/>
              <w:spacing w:line="240" w:lineRule="atLeast"/>
              <w:ind w:firstLine="0" w:firstLineChars="0"/>
              <w:jc w:val="center"/>
              <w:rPr>
                <w:kern w:val="0"/>
                <w:sz w:val="21"/>
                <w:szCs w:val="21"/>
                <w:highlight w:val="black"/>
              </w:rPr>
            </w:pPr>
            <w:r>
              <w:rPr>
                <w:kern w:val="0"/>
                <w:sz w:val="21"/>
                <w:szCs w:val="21"/>
                <w:highlight w:val="black"/>
              </w:rPr>
              <w:t>变电所及配电硐室应急照明设施</w:t>
            </w:r>
          </w:p>
        </w:tc>
        <w:tc>
          <w:tcPr>
            <w:tcW w:w="1276" w:type="dxa"/>
            <w:tcBorders>
              <w:tl2br w:val="nil"/>
              <w:tr2bl w:val="nil"/>
            </w:tcBorders>
            <w:shd w:val="clear" w:color="auto" w:fill="auto"/>
            <w:vAlign w:val="center"/>
          </w:tcPr>
          <w:p w14:paraId="0071B384">
            <w:pPr>
              <w:widowControl/>
              <w:snapToGrid w:val="0"/>
              <w:spacing w:line="240" w:lineRule="atLeast"/>
              <w:ind w:firstLine="0" w:firstLineChars="0"/>
              <w:jc w:val="center"/>
              <w:rPr>
                <w:kern w:val="0"/>
                <w:sz w:val="21"/>
                <w:szCs w:val="21"/>
                <w:highlight w:val="black"/>
              </w:rPr>
            </w:pPr>
            <w:r>
              <w:rPr>
                <w:kern w:val="0"/>
                <w:sz w:val="21"/>
                <w:szCs w:val="21"/>
                <w:highlight w:val="black"/>
              </w:rPr>
              <w:t>1.1</w:t>
            </w:r>
          </w:p>
        </w:tc>
        <w:tc>
          <w:tcPr>
            <w:tcW w:w="1326" w:type="dxa"/>
            <w:tcBorders>
              <w:tl2br w:val="nil"/>
              <w:tr2bl w:val="nil"/>
            </w:tcBorders>
            <w:shd w:val="clear" w:color="auto" w:fill="auto"/>
            <w:vAlign w:val="center"/>
          </w:tcPr>
          <w:p w14:paraId="2500732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3767F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597BD50C">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7EA90A87">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3605EB68">
            <w:pPr>
              <w:widowControl/>
              <w:snapToGrid w:val="0"/>
              <w:spacing w:line="240" w:lineRule="atLeast"/>
              <w:ind w:firstLine="0" w:firstLineChars="0"/>
              <w:jc w:val="center"/>
              <w:rPr>
                <w:kern w:val="0"/>
                <w:sz w:val="21"/>
                <w:szCs w:val="21"/>
                <w:highlight w:val="black"/>
              </w:rPr>
            </w:pPr>
            <w:r>
              <w:rPr>
                <w:kern w:val="0"/>
                <w:sz w:val="21"/>
                <w:szCs w:val="21"/>
                <w:highlight w:val="black"/>
              </w:rPr>
              <w:t>地面建筑物防雷设施</w:t>
            </w:r>
          </w:p>
        </w:tc>
        <w:tc>
          <w:tcPr>
            <w:tcW w:w="1276" w:type="dxa"/>
            <w:tcBorders>
              <w:tl2br w:val="nil"/>
              <w:tr2bl w:val="nil"/>
            </w:tcBorders>
            <w:shd w:val="clear" w:color="auto" w:fill="auto"/>
            <w:vAlign w:val="center"/>
          </w:tcPr>
          <w:p w14:paraId="1C24D31E">
            <w:pPr>
              <w:widowControl/>
              <w:snapToGrid w:val="0"/>
              <w:spacing w:line="240" w:lineRule="atLeast"/>
              <w:ind w:firstLine="0" w:firstLineChars="0"/>
              <w:jc w:val="center"/>
              <w:rPr>
                <w:kern w:val="0"/>
                <w:sz w:val="21"/>
                <w:szCs w:val="21"/>
                <w:highlight w:val="black"/>
              </w:rPr>
            </w:pPr>
            <w:r>
              <w:rPr>
                <w:kern w:val="0"/>
                <w:sz w:val="21"/>
                <w:szCs w:val="21"/>
                <w:highlight w:val="black"/>
              </w:rPr>
              <w:t>2.8</w:t>
            </w:r>
          </w:p>
        </w:tc>
        <w:tc>
          <w:tcPr>
            <w:tcW w:w="1326" w:type="dxa"/>
            <w:tcBorders>
              <w:tl2br w:val="nil"/>
              <w:tr2bl w:val="nil"/>
            </w:tcBorders>
            <w:shd w:val="clear" w:color="auto" w:fill="auto"/>
            <w:vAlign w:val="center"/>
          </w:tcPr>
          <w:p w14:paraId="4BC3F3A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F063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2B4148E0">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c>
          <w:tcPr>
            <w:tcW w:w="1934" w:type="dxa"/>
            <w:vMerge w:val="restart"/>
            <w:tcBorders>
              <w:tl2br w:val="nil"/>
              <w:tr2bl w:val="nil"/>
            </w:tcBorders>
            <w:shd w:val="clear" w:color="auto" w:fill="auto"/>
            <w:vAlign w:val="center"/>
          </w:tcPr>
          <w:p w14:paraId="029571A6">
            <w:pPr>
              <w:widowControl/>
              <w:snapToGrid w:val="0"/>
              <w:spacing w:line="240" w:lineRule="atLeast"/>
              <w:ind w:firstLine="0" w:firstLineChars="0"/>
              <w:jc w:val="center"/>
              <w:rPr>
                <w:kern w:val="0"/>
                <w:sz w:val="21"/>
                <w:szCs w:val="21"/>
                <w:highlight w:val="black"/>
              </w:rPr>
            </w:pPr>
            <w:r>
              <w:rPr>
                <w:kern w:val="0"/>
                <w:sz w:val="21"/>
                <w:szCs w:val="21"/>
                <w:highlight w:val="black"/>
              </w:rPr>
              <w:t>通风和空气预热及制冷降温</w:t>
            </w:r>
          </w:p>
        </w:tc>
        <w:tc>
          <w:tcPr>
            <w:tcW w:w="3594" w:type="dxa"/>
            <w:tcBorders>
              <w:tl2br w:val="nil"/>
              <w:tr2bl w:val="nil"/>
            </w:tcBorders>
            <w:shd w:val="clear" w:color="auto" w:fill="auto"/>
            <w:vAlign w:val="center"/>
          </w:tcPr>
          <w:p w14:paraId="3A35B097">
            <w:pPr>
              <w:widowControl/>
              <w:snapToGrid w:val="0"/>
              <w:spacing w:line="240" w:lineRule="atLeast"/>
              <w:ind w:firstLine="0" w:firstLineChars="0"/>
              <w:jc w:val="center"/>
              <w:rPr>
                <w:kern w:val="0"/>
                <w:sz w:val="21"/>
                <w:szCs w:val="21"/>
                <w:highlight w:val="black"/>
              </w:rPr>
            </w:pPr>
            <w:r>
              <w:rPr>
                <w:kern w:val="0"/>
                <w:sz w:val="21"/>
                <w:szCs w:val="21"/>
                <w:highlight w:val="black"/>
              </w:rPr>
              <w:t>主通风机的反风设施、备用电机及快速更换装置、辅助通风机、局部通风机。</w:t>
            </w:r>
          </w:p>
        </w:tc>
        <w:tc>
          <w:tcPr>
            <w:tcW w:w="1276" w:type="dxa"/>
            <w:tcBorders>
              <w:tl2br w:val="nil"/>
              <w:tr2bl w:val="nil"/>
            </w:tcBorders>
            <w:shd w:val="clear" w:color="auto" w:fill="auto"/>
            <w:vAlign w:val="center"/>
          </w:tcPr>
          <w:p w14:paraId="38C46F0B">
            <w:pPr>
              <w:widowControl/>
              <w:snapToGrid w:val="0"/>
              <w:spacing w:line="240" w:lineRule="atLeast"/>
              <w:ind w:firstLine="0" w:firstLineChars="0"/>
              <w:jc w:val="center"/>
              <w:rPr>
                <w:kern w:val="0"/>
                <w:sz w:val="21"/>
                <w:szCs w:val="21"/>
                <w:highlight w:val="black"/>
              </w:rPr>
            </w:pPr>
            <w:r>
              <w:rPr>
                <w:kern w:val="0"/>
                <w:sz w:val="21"/>
                <w:szCs w:val="21"/>
                <w:highlight w:val="black"/>
              </w:rPr>
              <w:t>15.7</w:t>
            </w:r>
          </w:p>
        </w:tc>
        <w:tc>
          <w:tcPr>
            <w:tcW w:w="1326" w:type="dxa"/>
            <w:tcBorders>
              <w:tl2br w:val="nil"/>
              <w:tr2bl w:val="nil"/>
            </w:tcBorders>
            <w:shd w:val="clear" w:color="auto" w:fill="auto"/>
            <w:vAlign w:val="center"/>
          </w:tcPr>
          <w:p w14:paraId="62E4CFD6">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10F35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2BCF8946">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53D201BE">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3A99C285">
            <w:pPr>
              <w:widowControl/>
              <w:snapToGrid w:val="0"/>
              <w:spacing w:line="240" w:lineRule="atLeast"/>
              <w:ind w:firstLine="0" w:firstLineChars="0"/>
              <w:jc w:val="center"/>
              <w:rPr>
                <w:kern w:val="0"/>
                <w:sz w:val="21"/>
                <w:szCs w:val="21"/>
                <w:highlight w:val="black"/>
              </w:rPr>
            </w:pPr>
            <w:r>
              <w:rPr>
                <w:kern w:val="0"/>
                <w:sz w:val="21"/>
                <w:szCs w:val="21"/>
                <w:highlight w:val="black"/>
              </w:rPr>
              <w:t>通风构筑物、阻燃风筒</w:t>
            </w:r>
          </w:p>
        </w:tc>
        <w:tc>
          <w:tcPr>
            <w:tcW w:w="1276" w:type="dxa"/>
            <w:tcBorders>
              <w:tl2br w:val="nil"/>
              <w:tr2bl w:val="nil"/>
            </w:tcBorders>
            <w:shd w:val="clear" w:color="auto" w:fill="auto"/>
            <w:vAlign w:val="center"/>
          </w:tcPr>
          <w:p w14:paraId="37C842C1">
            <w:pPr>
              <w:widowControl/>
              <w:snapToGrid w:val="0"/>
              <w:spacing w:line="240" w:lineRule="atLeast"/>
              <w:ind w:firstLine="0" w:firstLineChars="0"/>
              <w:jc w:val="center"/>
              <w:rPr>
                <w:kern w:val="0"/>
                <w:sz w:val="21"/>
                <w:szCs w:val="21"/>
                <w:highlight w:val="black"/>
              </w:rPr>
            </w:pPr>
            <w:r>
              <w:rPr>
                <w:kern w:val="0"/>
                <w:sz w:val="21"/>
                <w:szCs w:val="21"/>
                <w:highlight w:val="black"/>
              </w:rPr>
              <w:t>11</w:t>
            </w:r>
          </w:p>
        </w:tc>
        <w:tc>
          <w:tcPr>
            <w:tcW w:w="1326" w:type="dxa"/>
            <w:tcBorders>
              <w:tl2br w:val="nil"/>
              <w:tr2bl w:val="nil"/>
            </w:tcBorders>
            <w:shd w:val="clear" w:color="auto" w:fill="auto"/>
            <w:vAlign w:val="center"/>
          </w:tcPr>
          <w:p w14:paraId="18B5C92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15A02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62204800">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0B77244F">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4B8AB49">
            <w:pPr>
              <w:widowControl/>
              <w:snapToGrid w:val="0"/>
              <w:spacing w:line="240" w:lineRule="atLeast"/>
              <w:ind w:firstLine="0" w:firstLineChars="0"/>
              <w:jc w:val="center"/>
              <w:rPr>
                <w:kern w:val="0"/>
                <w:sz w:val="21"/>
                <w:szCs w:val="21"/>
                <w:highlight w:val="black"/>
              </w:rPr>
            </w:pPr>
            <w:r>
              <w:rPr>
                <w:kern w:val="0"/>
                <w:sz w:val="21"/>
                <w:szCs w:val="21"/>
                <w:highlight w:val="black"/>
              </w:rPr>
              <w:t>风机进风口和天井处的安全护栏和防护网</w:t>
            </w:r>
          </w:p>
        </w:tc>
        <w:tc>
          <w:tcPr>
            <w:tcW w:w="1276" w:type="dxa"/>
            <w:tcBorders>
              <w:tl2br w:val="nil"/>
              <w:tr2bl w:val="nil"/>
            </w:tcBorders>
            <w:shd w:val="clear" w:color="auto" w:fill="auto"/>
            <w:vAlign w:val="center"/>
          </w:tcPr>
          <w:p w14:paraId="6B8FFF63">
            <w:pPr>
              <w:widowControl/>
              <w:snapToGrid w:val="0"/>
              <w:spacing w:line="240" w:lineRule="atLeast"/>
              <w:ind w:firstLine="0" w:firstLineChars="0"/>
              <w:jc w:val="center"/>
              <w:rPr>
                <w:kern w:val="0"/>
                <w:sz w:val="21"/>
                <w:szCs w:val="21"/>
                <w:highlight w:val="black"/>
              </w:rPr>
            </w:pPr>
            <w:r>
              <w:rPr>
                <w:kern w:val="0"/>
                <w:sz w:val="21"/>
                <w:szCs w:val="21"/>
                <w:highlight w:val="black"/>
              </w:rPr>
              <w:t>9.6</w:t>
            </w:r>
          </w:p>
        </w:tc>
        <w:tc>
          <w:tcPr>
            <w:tcW w:w="1326" w:type="dxa"/>
            <w:tcBorders>
              <w:tl2br w:val="nil"/>
              <w:tr2bl w:val="nil"/>
            </w:tcBorders>
            <w:shd w:val="clear" w:color="auto" w:fill="auto"/>
            <w:vAlign w:val="center"/>
          </w:tcPr>
          <w:p w14:paraId="0E455A26">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06427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3D0E0FC6">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5F7FE762">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48DC8D3E">
            <w:pPr>
              <w:widowControl/>
              <w:snapToGrid w:val="0"/>
              <w:spacing w:line="240" w:lineRule="atLeast"/>
              <w:ind w:firstLine="0" w:firstLineChars="0"/>
              <w:jc w:val="center"/>
              <w:rPr>
                <w:kern w:val="0"/>
                <w:sz w:val="21"/>
                <w:szCs w:val="21"/>
                <w:highlight w:val="black"/>
              </w:rPr>
            </w:pPr>
            <w:r>
              <w:rPr>
                <w:kern w:val="0"/>
                <w:sz w:val="21"/>
                <w:szCs w:val="21"/>
                <w:highlight w:val="black"/>
              </w:rPr>
              <w:t>井口预热系统</w:t>
            </w:r>
          </w:p>
        </w:tc>
        <w:tc>
          <w:tcPr>
            <w:tcW w:w="1276" w:type="dxa"/>
            <w:tcBorders>
              <w:tl2br w:val="nil"/>
              <w:tr2bl w:val="nil"/>
            </w:tcBorders>
            <w:shd w:val="clear" w:color="auto" w:fill="auto"/>
            <w:vAlign w:val="center"/>
          </w:tcPr>
          <w:p w14:paraId="502359EA">
            <w:pPr>
              <w:widowControl/>
              <w:snapToGrid w:val="0"/>
              <w:spacing w:line="240" w:lineRule="atLeast"/>
              <w:ind w:firstLine="0" w:firstLineChars="0"/>
              <w:jc w:val="center"/>
              <w:rPr>
                <w:kern w:val="0"/>
                <w:sz w:val="21"/>
                <w:szCs w:val="21"/>
                <w:highlight w:val="black"/>
              </w:rPr>
            </w:pPr>
            <w:r>
              <w:rPr>
                <w:kern w:val="0"/>
                <w:sz w:val="21"/>
                <w:szCs w:val="21"/>
                <w:highlight w:val="black"/>
              </w:rPr>
              <w:t>4.4</w:t>
            </w:r>
          </w:p>
        </w:tc>
        <w:tc>
          <w:tcPr>
            <w:tcW w:w="1326" w:type="dxa"/>
            <w:tcBorders>
              <w:tl2br w:val="nil"/>
              <w:tr2bl w:val="nil"/>
            </w:tcBorders>
            <w:shd w:val="clear" w:color="auto" w:fill="auto"/>
            <w:vAlign w:val="center"/>
          </w:tcPr>
          <w:p w14:paraId="773D5067">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4B18E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3FBF4D2A">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1934" w:type="dxa"/>
            <w:vMerge w:val="restart"/>
            <w:tcBorders>
              <w:tl2br w:val="nil"/>
              <w:tr2bl w:val="nil"/>
            </w:tcBorders>
            <w:shd w:val="clear" w:color="auto" w:fill="auto"/>
            <w:vAlign w:val="center"/>
          </w:tcPr>
          <w:p w14:paraId="29001F86">
            <w:pPr>
              <w:widowControl/>
              <w:snapToGrid w:val="0"/>
              <w:spacing w:line="240" w:lineRule="atLeast"/>
              <w:ind w:firstLine="0" w:firstLineChars="0"/>
              <w:jc w:val="center"/>
              <w:rPr>
                <w:kern w:val="0"/>
                <w:sz w:val="21"/>
                <w:szCs w:val="21"/>
                <w:highlight w:val="black"/>
              </w:rPr>
            </w:pPr>
            <w:r>
              <w:rPr>
                <w:kern w:val="0"/>
                <w:sz w:val="21"/>
                <w:szCs w:val="21"/>
                <w:highlight w:val="black"/>
              </w:rPr>
              <w:t>排水系统</w:t>
            </w:r>
          </w:p>
        </w:tc>
        <w:tc>
          <w:tcPr>
            <w:tcW w:w="3594" w:type="dxa"/>
            <w:tcBorders>
              <w:tl2br w:val="nil"/>
              <w:tr2bl w:val="nil"/>
            </w:tcBorders>
            <w:shd w:val="clear" w:color="auto" w:fill="auto"/>
            <w:vAlign w:val="center"/>
          </w:tcPr>
          <w:p w14:paraId="04C6144D">
            <w:pPr>
              <w:widowControl/>
              <w:snapToGrid w:val="0"/>
              <w:spacing w:line="240" w:lineRule="atLeast"/>
              <w:ind w:firstLine="0" w:firstLineChars="0"/>
              <w:jc w:val="center"/>
              <w:rPr>
                <w:kern w:val="0"/>
                <w:sz w:val="21"/>
                <w:szCs w:val="21"/>
                <w:highlight w:val="black"/>
              </w:rPr>
            </w:pPr>
            <w:r>
              <w:rPr>
                <w:kern w:val="0"/>
                <w:sz w:val="21"/>
                <w:szCs w:val="21"/>
                <w:highlight w:val="black"/>
              </w:rPr>
              <w:t>监测与控制设施</w:t>
            </w:r>
          </w:p>
        </w:tc>
        <w:tc>
          <w:tcPr>
            <w:tcW w:w="1276" w:type="dxa"/>
            <w:tcBorders>
              <w:tl2br w:val="nil"/>
              <w:tr2bl w:val="nil"/>
            </w:tcBorders>
            <w:shd w:val="clear" w:color="auto" w:fill="auto"/>
            <w:vAlign w:val="center"/>
          </w:tcPr>
          <w:p w14:paraId="3E057F6D">
            <w:pPr>
              <w:widowControl/>
              <w:snapToGrid w:val="0"/>
              <w:spacing w:line="240" w:lineRule="atLeast"/>
              <w:ind w:firstLine="0" w:firstLineChars="0"/>
              <w:jc w:val="center"/>
              <w:rPr>
                <w:kern w:val="0"/>
                <w:sz w:val="21"/>
                <w:szCs w:val="21"/>
                <w:highlight w:val="black"/>
              </w:rPr>
            </w:pPr>
            <w:r>
              <w:rPr>
                <w:kern w:val="0"/>
                <w:sz w:val="21"/>
                <w:szCs w:val="21"/>
                <w:highlight w:val="black"/>
              </w:rPr>
              <w:t>6.9</w:t>
            </w:r>
          </w:p>
        </w:tc>
        <w:tc>
          <w:tcPr>
            <w:tcW w:w="1326" w:type="dxa"/>
            <w:tcBorders>
              <w:tl2br w:val="nil"/>
              <w:tr2bl w:val="nil"/>
            </w:tcBorders>
            <w:shd w:val="clear" w:color="auto" w:fill="auto"/>
            <w:vAlign w:val="center"/>
          </w:tcPr>
          <w:p w14:paraId="73F64DF0">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6FFBE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16272586">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76D74B5C">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3C7305C7">
            <w:pPr>
              <w:widowControl/>
              <w:snapToGrid w:val="0"/>
              <w:spacing w:line="240" w:lineRule="atLeast"/>
              <w:ind w:firstLine="0" w:firstLineChars="0"/>
              <w:jc w:val="center"/>
              <w:rPr>
                <w:kern w:val="0"/>
                <w:sz w:val="21"/>
                <w:szCs w:val="21"/>
                <w:highlight w:val="black"/>
              </w:rPr>
            </w:pPr>
            <w:r>
              <w:rPr>
                <w:kern w:val="0"/>
                <w:sz w:val="21"/>
                <w:szCs w:val="21"/>
                <w:highlight w:val="black"/>
              </w:rPr>
              <w:t>水泵房栅栏门</w:t>
            </w:r>
          </w:p>
        </w:tc>
        <w:tc>
          <w:tcPr>
            <w:tcW w:w="1276" w:type="dxa"/>
            <w:tcBorders>
              <w:tl2br w:val="nil"/>
              <w:tr2bl w:val="nil"/>
            </w:tcBorders>
            <w:shd w:val="clear" w:color="auto" w:fill="auto"/>
            <w:vAlign w:val="center"/>
          </w:tcPr>
          <w:p w14:paraId="23B178CA">
            <w:pPr>
              <w:widowControl/>
              <w:snapToGrid w:val="0"/>
              <w:spacing w:line="240" w:lineRule="atLeast"/>
              <w:ind w:firstLine="0" w:firstLineChars="0"/>
              <w:jc w:val="center"/>
              <w:rPr>
                <w:kern w:val="0"/>
                <w:sz w:val="21"/>
                <w:szCs w:val="21"/>
                <w:highlight w:val="black"/>
              </w:rPr>
            </w:pPr>
            <w:r>
              <w:rPr>
                <w:kern w:val="0"/>
                <w:sz w:val="21"/>
                <w:szCs w:val="21"/>
                <w:highlight w:val="black"/>
              </w:rPr>
              <w:t>1.1</w:t>
            </w:r>
          </w:p>
        </w:tc>
        <w:tc>
          <w:tcPr>
            <w:tcW w:w="1326" w:type="dxa"/>
            <w:tcBorders>
              <w:tl2br w:val="nil"/>
              <w:tr2bl w:val="nil"/>
            </w:tcBorders>
            <w:shd w:val="clear" w:color="auto" w:fill="auto"/>
            <w:vAlign w:val="center"/>
          </w:tcPr>
          <w:p w14:paraId="6A739A86">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4946C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2E231181">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12635A35">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08885CA7">
            <w:pPr>
              <w:widowControl/>
              <w:snapToGrid w:val="0"/>
              <w:spacing w:line="240" w:lineRule="atLeast"/>
              <w:ind w:firstLine="0" w:firstLineChars="0"/>
              <w:jc w:val="center"/>
              <w:rPr>
                <w:kern w:val="0"/>
                <w:sz w:val="21"/>
                <w:szCs w:val="21"/>
                <w:highlight w:val="black"/>
              </w:rPr>
            </w:pPr>
            <w:r>
              <w:rPr>
                <w:kern w:val="0"/>
                <w:sz w:val="21"/>
                <w:szCs w:val="21"/>
                <w:highlight w:val="black"/>
              </w:rPr>
              <w:t>防水门</w:t>
            </w:r>
          </w:p>
        </w:tc>
        <w:tc>
          <w:tcPr>
            <w:tcW w:w="1276" w:type="dxa"/>
            <w:tcBorders>
              <w:tl2br w:val="nil"/>
              <w:tr2bl w:val="nil"/>
            </w:tcBorders>
            <w:shd w:val="clear" w:color="auto" w:fill="auto"/>
            <w:vAlign w:val="center"/>
          </w:tcPr>
          <w:p w14:paraId="72572B63">
            <w:pPr>
              <w:widowControl/>
              <w:snapToGrid w:val="0"/>
              <w:spacing w:line="240" w:lineRule="atLeast"/>
              <w:ind w:firstLine="0" w:firstLineChars="0"/>
              <w:jc w:val="center"/>
              <w:rPr>
                <w:kern w:val="0"/>
                <w:sz w:val="21"/>
                <w:szCs w:val="21"/>
                <w:highlight w:val="black"/>
              </w:rPr>
            </w:pPr>
            <w:r>
              <w:rPr>
                <w:kern w:val="0"/>
                <w:sz w:val="21"/>
                <w:szCs w:val="21"/>
                <w:highlight w:val="black"/>
              </w:rPr>
              <w:t>5.9</w:t>
            </w:r>
          </w:p>
        </w:tc>
        <w:tc>
          <w:tcPr>
            <w:tcW w:w="1326" w:type="dxa"/>
            <w:tcBorders>
              <w:tl2br w:val="nil"/>
              <w:tr2bl w:val="nil"/>
            </w:tcBorders>
            <w:shd w:val="clear" w:color="auto" w:fill="auto"/>
            <w:vAlign w:val="center"/>
          </w:tcPr>
          <w:p w14:paraId="15286210">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464CC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3B0AD084">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28EE39BC">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5629BCB5">
            <w:pPr>
              <w:widowControl/>
              <w:snapToGrid w:val="0"/>
              <w:spacing w:line="240" w:lineRule="atLeast"/>
              <w:ind w:firstLine="0" w:firstLineChars="0"/>
              <w:jc w:val="center"/>
              <w:rPr>
                <w:kern w:val="0"/>
                <w:sz w:val="21"/>
                <w:szCs w:val="21"/>
                <w:highlight w:val="black"/>
              </w:rPr>
            </w:pPr>
            <w:r>
              <w:rPr>
                <w:kern w:val="0"/>
                <w:sz w:val="21"/>
                <w:szCs w:val="21"/>
                <w:highlight w:val="black"/>
              </w:rPr>
              <w:t>水泵房及配电所内的盖板、安全护栏</w:t>
            </w:r>
          </w:p>
        </w:tc>
        <w:tc>
          <w:tcPr>
            <w:tcW w:w="1276" w:type="dxa"/>
            <w:tcBorders>
              <w:tl2br w:val="nil"/>
              <w:tr2bl w:val="nil"/>
            </w:tcBorders>
            <w:shd w:val="clear" w:color="auto" w:fill="auto"/>
            <w:vAlign w:val="center"/>
          </w:tcPr>
          <w:p w14:paraId="1A395CAC">
            <w:pPr>
              <w:widowControl/>
              <w:snapToGrid w:val="0"/>
              <w:spacing w:line="240" w:lineRule="atLeast"/>
              <w:ind w:firstLine="0" w:firstLineChars="0"/>
              <w:jc w:val="center"/>
              <w:rPr>
                <w:kern w:val="0"/>
                <w:sz w:val="21"/>
                <w:szCs w:val="21"/>
                <w:highlight w:val="black"/>
              </w:rPr>
            </w:pPr>
            <w:r>
              <w:rPr>
                <w:kern w:val="0"/>
                <w:sz w:val="21"/>
                <w:szCs w:val="21"/>
                <w:highlight w:val="black"/>
              </w:rPr>
              <w:t>3.8</w:t>
            </w:r>
          </w:p>
        </w:tc>
        <w:tc>
          <w:tcPr>
            <w:tcW w:w="1326" w:type="dxa"/>
            <w:tcBorders>
              <w:tl2br w:val="nil"/>
              <w:tr2bl w:val="nil"/>
            </w:tcBorders>
            <w:shd w:val="clear" w:color="auto" w:fill="auto"/>
            <w:vAlign w:val="center"/>
          </w:tcPr>
          <w:p w14:paraId="25A5020F">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28644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0BC2D606">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4C996571">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33D581E8">
            <w:pPr>
              <w:widowControl/>
              <w:snapToGrid w:val="0"/>
              <w:spacing w:line="240" w:lineRule="atLeast"/>
              <w:ind w:firstLine="0" w:firstLineChars="0"/>
              <w:jc w:val="center"/>
              <w:rPr>
                <w:kern w:val="0"/>
                <w:sz w:val="21"/>
                <w:szCs w:val="21"/>
                <w:highlight w:val="black"/>
              </w:rPr>
            </w:pPr>
            <w:r>
              <w:rPr>
                <w:kern w:val="0"/>
                <w:sz w:val="21"/>
                <w:szCs w:val="21"/>
                <w:highlight w:val="black"/>
              </w:rPr>
              <w:t>降雨量观测站</w:t>
            </w:r>
          </w:p>
        </w:tc>
        <w:tc>
          <w:tcPr>
            <w:tcW w:w="1276" w:type="dxa"/>
            <w:tcBorders>
              <w:tl2br w:val="nil"/>
              <w:tr2bl w:val="nil"/>
            </w:tcBorders>
            <w:shd w:val="clear" w:color="auto" w:fill="auto"/>
            <w:vAlign w:val="center"/>
          </w:tcPr>
          <w:p w14:paraId="20E583AA">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c>
          <w:tcPr>
            <w:tcW w:w="1326" w:type="dxa"/>
            <w:tcBorders>
              <w:tl2br w:val="nil"/>
              <w:tr2bl w:val="nil"/>
            </w:tcBorders>
            <w:shd w:val="clear" w:color="auto" w:fill="auto"/>
            <w:vAlign w:val="center"/>
          </w:tcPr>
          <w:p w14:paraId="1FF8D731">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2664A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29619253">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c>
          <w:tcPr>
            <w:tcW w:w="1934" w:type="dxa"/>
            <w:vMerge w:val="restart"/>
            <w:tcBorders>
              <w:tl2br w:val="nil"/>
              <w:tr2bl w:val="nil"/>
            </w:tcBorders>
            <w:shd w:val="clear" w:color="auto" w:fill="auto"/>
            <w:vAlign w:val="center"/>
          </w:tcPr>
          <w:p w14:paraId="1F373413">
            <w:pPr>
              <w:widowControl/>
              <w:snapToGrid w:val="0"/>
              <w:spacing w:line="240" w:lineRule="atLeast"/>
              <w:ind w:firstLine="0" w:firstLineChars="0"/>
              <w:jc w:val="center"/>
              <w:rPr>
                <w:kern w:val="0"/>
                <w:sz w:val="21"/>
                <w:szCs w:val="21"/>
                <w:highlight w:val="black"/>
              </w:rPr>
            </w:pPr>
            <w:r>
              <w:rPr>
                <w:kern w:val="0"/>
                <w:sz w:val="21"/>
                <w:szCs w:val="21"/>
                <w:highlight w:val="black"/>
              </w:rPr>
              <w:t>充填系统</w:t>
            </w:r>
          </w:p>
        </w:tc>
        <w:tc>
          <w:tcPr>
            <w:tcW w:w="3594" w:type="dxa"/>
            <w:tcBorders>
              <w:tl2br w:val="nil"/>
              <w:tr2bl w:val="nil"/>
            </w:tcBorders>
            <w:shd w:val="clear" w:color="auto" w:fill="auto"/>
            <w:vAlign w:val="center"/>
          </w:tcPr>
          <w:p w14:paraId="23D5800A">
            <w:pPr>
              <w:widowControl/>
              <w:snapToGrid w:val="0"/>
              <w:spacing w:line="240" w:lineRule="atLeast"/>
              <w:ind w:firstLine="0" w:firstLineChars="0"/>
              <w:jc w:val="center"/>
              <w:rPr>
                <w:kern w:val="0"/>
                <w:sz w:val="21"/>
                <w:szCs w:val="21"/>
                <w:highlight w:val="black"/>
              </w:rPr>
            </w:pPr>
            <w:r>
              <w:rPr>
                <w:kern w:val="0"/>
                <w:sz w:val="21"/>
                <w:szCs w:val="21"/>
                <w:highlight w:val="black"/>
              </w:rPr>
              <w:t>充填搅拌站内及井下的安全护栏及其他防护措施</w:t>
            </w:r>
          </w:p>
        </w:tc>
        <w:tc>
          <w:tcPr>
            <w:tcW w:w="1276" w:type="dxa"/>
            <w:tcBorders>
              <w:tl2br w:val="nil"/>
              <w:tr2bl w:val="nil"/>
            </w:tcBorders>
            <w:shd w:val="clear" w:color="auto" w:fill="auto"/>
            <w:vAlign w:val="center"/>
          </w:tcPr>
          <w:p w14:paraId="509DCFE1">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c>
          <w:tcPr>
            <w:tcW w:w="1326" w:type="dxa"/>
            <w:tcBorders>
              <w:tl2br w:val="nil"/>
              <w:tr2bl w:val="nil"/>
            </w:tcBorders>
            <w:shd w:val="clear" w:color="auto" w:fill="auto"/>
            <w:vAlign w:val="center"/>
          </w:tcPr>
          <w:p w14:paraId="513CD92F">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67B90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7FBBE901">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66E6DA40">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414FB213">
            <w:pPr>
              <w:widowControl/>
              <w:snapToGrid w:val="0"/>
              <w:spacing w:line="240" w:lineRule="atLeast"/>
              <w:ind w:firstLine="0" w:firstLineChars="0"/>
              <w:jc w:val="center"/>
              <w:rPr>
                <w:kern w:val="0"/>
                <w:sz w:val="21"/>
                <w:szCs w:val="21"/>
                <w:highlight w:val="black"/>
              </w:rPr>
            </w:pPr>
            <w:r>
              <w:rPr>
                <w:kern w:val="0"/>
                <w:sz w:val="21"/>
                <w:szCs w:val="21"/>
                <w:highlight w:val="black"/>
              </w:rPr>
              <w:t>采场充填挡墙</w:t>
            </w:r>
          </w:p>
        </w:tc>
        <w:tc>
          <w:tcPr>
            <w:tcW w:w="1276" w:type="dxa"/>
            <w:tcBorders>
              <w:tl2br w:val="nil"/>
              <w:tr2bl w:val="nil"/>
            </w:tcBorders>
            <w:shd w:val="clear" w:color="auto" w:fill="auto"/>
            <w:vAlign w:val="center"/>
          </w:tcPr>
          <w:p w14:paraId="296F612A">
            <w:pPr>
              <w:widowControl/>
              <w:snapToGrid w:val="0"/>
              <w:spacing w:line="240" w:lineRule="atLeast"/>
              <w:ind w:firstLine="0" w:firstLineChars="0"/>
              <w:jc w:val="center"/>
              <w:rPr>
                <w:kern w:val="0"/>
                <w:sz w:val="21"/>
                <w:szCs w:val="21"/>
                <w:highlight w:val="black"/>
              </w:rPr>
            </w:pPr>
            <w:r>
              <w:rPr>
                <w:kern w:val="0"/>
                <w:sz w:val="21"/>
                <w:szCs w:val="21"/>
                <w:highlight w:val="black"/>
              </w:rPr>
              <w:t>33</w:t>
            </w:r>
          </w:p>
        </w:tc>
        <w:tc>
          <w:tcPr>
            <w:tcW w:w="1326" w:type="dxa"/>
            <w:tcBorders>
              <w:tl2br w:val="nil"/>
              <w:tr2bl w:val="nil"/>
            </w:tcBorders>
            <w:shd w:val="clear" w:color="auto" w:fill="auto"/>
            <w:vAlign w:val="center"/>
          </w:tcPr>
          <w:p w14:paraId="30EF4F11">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50CB5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40FEF746">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10611A97">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845C461">
            <w:pPr>
              <w:widowControl/>
              <w:snapToGrid w:val="0"/>
              <w:spacing w:line="240" w:lineRule="atLeast"/>
              <w:ind w:firstLine="0" w:firstLineChars="0"/>
              <w:jc w:val="center"/>
              <w:rPr>
                <w:kern w:val="0"/>
                <w:sz w:val="21"/>
                <w:szCs w:val="21"/>
                <w:highlight w:val="black"/>
              </w:rPr>
            </w:pPr>
            <w:r>
              <w:rPr>
                <w:kern w:val="0"/>
                <w:sz w:val="21"/>
                <w:szCs w:val="21"/>
                <w:highlight w:val="black"/>
              </w:rPr>
              <w:t>充填管路减压设施</w:t>
            </w:r>
          </w:p>
        </w:tc>
        <w:tc>
          <w:tcPr>
            <w:tcW w:w="1276" w:type="dxa"/>
            <w:tcBorders>
              <w:tl2br w:val="nil"/>
              <w:tr2bl w:val="nil"/>
            </w:tcBorders>
            <w:shd w:val="clear" w:color="auto" w:fill="auto"/>
            <w:vAlign w:val="center"/>
          </w:tcPr>
          <w:p w14:paraId="278BBFEA">
            <w:pPr>
              <w:widowControl/>
              <w:snapToGrid w:val="0"/>
              <w:spacing w:line="240" w:lineRule="atLeast"/>
              <w:ind w:firstLine="0" w:firstLineChars="0"/>
              <w:jc w:val="center"/>
              <w:rPr>
                <w:kern w:val="0"/>
                <w:sz w:val="21"/>
                <w:szCs w:val="21"/>
                <w:highlight w:val="black"/>
              </w:rPr>
            </w:pPr>
            <w:r>
              <w:rPr>
                <w:kern w:val="0"/>
                <w:sz w:val="21"/>
                <w:szCs w:val="21"/>
                <w:highlight w:val="black"/>
              </w:rPr>
              <w:t>1.3</w:t>
            </w:r>
          </w:p>
        </w:tc>
        <w:tc>
          <w:tcPr>
            <w:tcW w:w="1326" w:type="dxa"/>
            <w:tcBorders>
              <w:tl2br w:val="nil"/>
              <w:tr2bl w:val="nil"/>
            </w:tcBorders>
            <w:shd w:val="clear" w:color="auto" w:fill="auto"/>
            <w:vAlign w:val="center"/>
          </w:tcPr>
          <w:p w14:paraId="374E457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524D4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24E18D80">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7BFE3220">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61D5F287">
            <w:pPr>
              <w:widowControl/>
              <w:snapToGrid w:val="0"/>
              <w:spacing w:line="240" w:lineRule="atLeast"/>
              <w:ind w:firstLine="0" w:firstLineChars="0"/>
              <w:jc w:val="center"/>
              <w:rPr>
                <w:kern w:val="0"/>
                <w:sz w:val="21"/>
                <w:szCs w:val="21"/>
                <w:highlight w:val="black"/>
              </w:rPr>
            </w:pPr>
            <w:r>
              <w:rPr>
                <w:kern w:val="0"/>
                <w:sz w:val="21"/>
                <w:szCs w:val="21"/>
                <w:highlight w:val="black"/>
              </w:rPr>
              <w:t>充填管路排气设施</w:t>
            </w:r>
          </w:p>
        </w:tc>
        <w:tc>
          <w:tcPr>
            <w:tcW w:w="1276" w:type="dxa"/>
            <w:tcBorders>
              <w:tl2br w:val="nil"/>
              <w:tr2bl w:val="nil"/>
            </w:tcBorders>
            <w:shd w:val="clear" w:color="auto" w:fill="auto"/>
            <w:vAlign w:val="center"/>
          </w:tcPr>
          <w:p w14:paraId="67C61D73">
            <w:pPr>
              <w:widowControl/>
              <w:snapToGrid w:val="0"/>
              <w:spacing w:line="240" w:lineRule="atLeast"/>
              <w:ind w:firstLine="0" w:firstLineChars="0"/>
              <w:jc w:val="center"/>
              <w:rPr>
                <w:kern w:val="0"/>
                <w:sz w:val="21"/>
                <w:szCs w:val="21"/>
                <w:highlight w:val="black"/>
              </w:rPr>
            </w:pPr>
            <w:r>
              <w:rPr>
                <w:kern w:val="0"/>
                <w:sz w:val="21"/>
                <w:szCs w:val="21"/>
                <w:highlight w:val="black"/>
              </w:rPr>
              <w:t>0.8</w:t>
            </w:r>
          </w:p>
        </w:tc>
        <w:tc>
          <w:tcPr>
            <w:tcW w:w="1326" w:type="dxa"/>
            <w:tcBorders>
              <w:tl2br w:val="nil"/>
              <w:tr2bl w:val="nil"/>
            </w:tcBorders>
            <w:shd w:val="clear" w:color="auto" w:fill="auto"/>
            <w:vAlign w:val="center"/>
          </w:tcPr>
          <w:p w14:paraId="3664C102">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128B4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7A1198BD">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101D91C2">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596D8622">
            <w:pPr>
              <w:widowControl/>
              <w:snapToGrid w:val="0"/>
              <w:spacing w:line="240" w:lineRule="atLeast"/>
              <w:ind w:firstLine="0" w:firstLineChars="0"/>
              <w:jc w:val="center"/>
              <w:rPr>
                <w:kern w:val="0"/>
                <w:sz w:val="21"/>
                <w:szCs w:val="21"/>
                <w:highlight w:val="black"/>
              </w:rPr>
            </w:pPr>
            <w:r>
              <w:rPr>
                <w:kern w:val="0"/>
                <w:sz w:val="21"/>
                <w:szCs w:val="21"/>
                <w:highlight w:val="black"/>
              </w:rPr>
              <w:t>充填事故池</w:t>
            </w:r>
          </w:p>
        </w:tc>
        <w:tc>
          <w:tcPr>
            <w:tcW w:w="1276" w:type="dxa"/>
            <w:tcBorders>
              <w:tl2br w:val="nil"/>
              <w:tr2bl w:val="nil"/>
            </w:tcBorders>
            <w:shd w:val="clear" w:color="auto" w:fill="auto"/>
            <w:vAlign w:val="center"/>
          </w:tcPr>
          <w:p w14:paraId="59BFAB34">
            <w:pPr>
              <w:widowControl/>
              <w:snapToGrid w:val="0"/>
              <w:spacing w:line="240" w:lineRule="atLeast"/>
              <w:ind w:firstLine="0" w:firstLineChars="0"/>
              <w:jc w:val="center"/>
              <w:rPr>
                <w:kern w:val="0"/>
                <w:sz w:val="21"/>
                <w:szCs w:val="21"/>
                <w:highlight w:val="black"/>
              </w:rPr>
            </w:pPr>
            <w:r>
              <w:rPr>
                <w:kern w:val="0"/>
                <w:sz w:val="21"/>
                <w:szCs w:val="21"/>
                <w:highlight w:val="black"/>
              </w:rPr>
              <w:t>3.8</w:t>
            </w:r>
          </w:p>
        </w:tc>
        <w:tc>
          <w:tcPr>
            <w:tcW w:w="1326" w:type="dxa"/>
            <w:tcBorders>
              <w:tl2br w:val="nil"/>
              <w:tr2bl w:val="nil"/>
            </w:tcBorders>
            <w:shd w:val="clear" w:color="auto" w:fill="auto"/>
            <w:vAlign w:val="center"/>
          </w:tcPr>
          <w:p w14:paraId="2917D677">
            <w:pPr>
              <w:widowControl/>
              <w:snapToGrid w:val="0"/>
              <w:spacing w:line="240" w:lineRule="atLeast"/>
              <w:ind w:firstLine="0" w:firstLineChars="0"/>
              <w:jc w:val="center"/>
              <w:rPr>
                <w:kern w:val="0"/>
                <w:sz w:val="21"/>
                <w:szCs w:val="21"/>
                <w:highlight w:val="black"/>
              </w:rPr>
            </w:pPr>
            <w:r>
              <w:rPr>
                <w:kern w:val="0"/>
                <w:sz w:val="21"/>
                <w:szCs w:val="21"/>
                <w:highlight w:val="black"/>
              </w:rPr>
              <w:t>　</w:t>
            </w:r>
          </w:p>
        </w:tc>
      </w:tr>
      <w:tr w14:paraId="2C18C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0546B25E">
            <w:pPr>
              <w:widowControl/>
              <w:snapToGrid w:val="0"/>
              <w:spacing w:line="240" w:lineRule="atLeast"/>
              <w:ind w:firstLine="0" w:firstLineChars="0"/>
              <w:jc w:val="center"/>
              <w:rPr>
                <w:kern w:val="0"/>
                <w:sz w:val="21"/>
                <w:szCs w:val="21"/>
                <w:highlight w:val="black"/>
              </w:rPr>
            </w:pPr>
            <w:r>
              <w:rPr>
                <w:kern w:val="0"/>
                <w:sz w:val="21"/>
                <w:szCs w:val="21"/>
                <w:highlight w:val="black"/>
              </w:rPr>
              <w:t>7</w:t>
            </w:r>
          </w:p>
        </w:tc>
        <w:tc>
          <w:tcPr>
            <w:tcW w:w="1934" w:type="dxa"/>
            <w:vMerge w:val="restart"/>
            <w:tcBorders>
              <w:tl2br w:val="nil"/>
              <w:tr2bl w:val="nil"/>
            </w:tcBorders>
            <w:shd w:val="clear" w:color="auto" w:fill="auto"/>
            <w:vAlign w:val="center"/>
          </w:tcPr>
          <w:p w14:paraId="043578F3">
            <w:pPr>
              <w:widowControl/>
              <w:snapToGrid w:val="0"/>
              <w:spacing w:line="240" w:lineRule="atLeast"/>
              <w:ind w:firstLine="0" w:firstLineChars="0"/>
              <w:jc w:val="center"/>
              <w:rPr>
                <w:kern w:val="0"/>
                <w:sz w:val="21"/>
                <w:szCs w:val="21"/>
                <w:highlight w:val="black"/>
              </w:rPr>
            </w:pPr>
            <w:r>
              <w:rPr>
                <w:kern w:val="0"/>
                <w:sz w:val="21"/>
                <w:szCs w:val="21"/>
                <w:highlight w:val="black"/>
              </w:rPr>
              <w:t>安全避险“六大系统”</w:t>
            </w:r>
          </w:p>
        </w:tc>
        <w:tc>
          <w:tcPr>
            <w:tcW w:w="3594" w:type="dxa"/>
            <w:tcBorders>
              <w:tl2br w:val="nil"/>
              <w:tr2bl w:val="nil"/>
            </w:tcBorders>
            <w:shd w:val="clear" w:color="auto" w:fill="auto"/>
            <w:vAlign w:val="center"/>
          </w:tcPr>
          <w:p w14:paraId="126DA99E">
            <w:pPr>
              <w:widowControl/>
              <w:snapToGrid w:val="0"/>
              <w:spacing w:line="240" w:lineRule="atLeast"/>
              <w:ind w:firstLine="0" w:firstLineChars="0"/>
              <w:jc w:val="center"/>
              <w:rPr>
                <w:kern w:val="0"/>
                <w:sz w:val="21"/>
                <w:szCs w:val="21"/>
                <w:highlight w:val="black"/>
              </w:rPr>
            </w:pPr>
            <w:r>
              <w:rPr>
                <w:kern w:val="0"/>
                <w:sz w:val="21"/>
                <w:szCs w:val="21"/>
                <w:highlight w:val="black"/>
              </w:rPr>
              <w:t>监测监控系统</w:t>
            </w:r>
          </w:p>
        </w:tc>
        <w:tc>
          <w:tcPr>
            <w:tcW w:w="1276" w:type="dxa"/>
            <w:tcBorders>
              <w:tl2br w:val="nil"/>
              <w:tr2bl w:val="nil"/>
            </w:tcBorders>
            <w:shd w:val="clear" w:color="auto" w:fill="auto"/>
            <w:vAlign w:val="center"/>
          </w:tcPr>
          <w:p w14:paraId="1410D3BD">
            <w:pPr>
              <w:widowControl/>
              <w:snapToGrid w:val="0"/>
              <w:spacing w:line="240" w:lineRule="atLeast"/>
              <w:ind w:firstLine="0" w:firstLineChars="0"/>
              <w:jc w:val="center"/>
              <w:rPr>
                <w:kern w:val="0"/>
                <w:sz w:val="21"/>
                <w:szCs w:val="21"/>
                <w:highlight w:val="black"/>
              </w:rPr>
            </w:pPr>
            <w:r>
              <w:rPr>
                <w:kern w:val="0"/>
                <w:sz w:val="21"/>
                <w:szCs w:val="21"/>
                <w:highlight w:val="black"/>
              </w:rPr>
              <w:t>2.5</w:t>
            </w:r>
          </w:p>
        </w:tc>
        <w:tc>
          <w:tcPr>
            <w:tcW w:w="1326" w:type="dxa"/>
            <w:tcBorders>
              <w:tl2br w:val="nil"/>
              <w:tr2bl w:val="nil"/>
            </w:tcBorders>
            <w:shd w:val="clear" w:color="auto" w:fill="auto"/>
            <w:vAlign w:val="center"/>
          </w:tcPr>
          <w:p w14:paraId="6497BC1F">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39940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4EDE0E7D">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37DE9DD6">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259FF12">
            <w:pPr>
              <w:widowControl/>
              <w:snapToGrid w:val="0"/>
              <w:spacing w:line="240" w:lineRule="atLeast"/>
              <w:ind w:firstLine="0" w:firstLineChars="0"/>
              <w:jc w:val="center"/>
              <w:rPr>
                <w:kern w:val="0"/>
                <w:sz w:val="21"/>
                <w:szCs w:val="21"/>
                <w:highlight w:val="black"/>
              </w:rPr>
            </w:pPr>
            <w:r>
              <w:rPr>
                <w:kern w:val="0"/>
                <w:sz w:val="21"/>
                <w:szCs w:val="21"/>
                <w:highlight w:val="black"/>
              </w:rPr>
              <w:t>紧急避险系统</w:t>
            </w:r>
          </w:p>
        </w:tc>
        <w:tc>
          <w:tcPr>
            <w:tcW w:w="1276" w:type="dxa"/>
            <w:tcBorders>
              <w:tl2br w:val="nil"/>
              <w:tr2bl w:val="nil"/>
            </w:tcBorders>
            <w:shd w:val="clear" w:color="auto" w:fill="auto"/>
            <w:vAlign w:val="center"/>
          </w:tcPr>
          <w:p w14:paraId="019B37B3">
            <w:pPr>
              <w:widowControl/>
              <w:snapToGrid w:val="0"/>
              <w:spacing w:line="240" w:lineRule="atLeast"/>
              <w:ind w:firstLine="0" w:firstLineChars="0"/>
              <w:jc w:val="center"/>
              <w:rPr>
                <w:kern w:val="0"/>
                <w:sz w:val="21"/>
                <w:szCs w:val="21"/>
                <w:highlight w:val="black"/>
              </w:rPr>
            </w:pPr>
            <w:r>
              <w:rPr>
                <w:kern w:val="0"/>
                <w:sz w:val="21"/>
                <w:szCs w:val="21"/>
                <w:highlight w:val="black"/>
              </w:rPr>
              <w:t>1.6</w:t>
            </w:r>
          </w:p>
        </w:tc>
        <w:tc>
          <w:tcPr>
            <w:tcW w:w="1326" w:type="dxa"/>
            <w:tcBorders>
              <w:tl2br w:val="nil"/>
              <w:tr2bl w:val="nil"/>
            </w:tcBorders>
            <w:shd w:val="clear" w:color="auto" w:fill="auto"/>
            <w:vAlign w:val="center"/>
          </w:tcPr>
          <w:p w14:paraId="3AB47FB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570F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7ECF963E">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7CC3D277">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F6E0880">
            <w:pPr>
              <w:widowControl/>
              <w:snapToGrid w:val="0"/>
              <w:spacing w:line="240" w:lineRule="atLeast"/>
              <w:ind w:firstLine="0" w:firstLineChars="0"/>
              <w:jc w:val="center"/>
              <w:rPr>
                <w:kern w:val="0"/>
                <w:sz w:val="21"/>
                <w:szCs w:val="21"/>
                <w:highlight w:val="black"/>
              </w:rPr>
            </w:pPr>
            <w:r>
              <w:rPr>
                <w:kern w:val="0"/>
                <w:sz w:val="21"/>
                <w:szCs w:val="21"/>
                <w:highlight w:val="black"/>
              </w:rPr>
              <w:t>人员定位系统</w:t>
            </w:r>
          </w:p>
        </w:tc>
        <w:tc>
          <w:tcPr>
            <w:tcW w:w="1276" w:type="dxa"/>
            <w:tcBorders>
              <w:tl2br w:val="nil"/>
              <w:tr2bl w:val="nil"/>
            </w:tcBorders>
            <w:shd w:val="clear" w:color="auto" w:fill="auto"/>
            <w:vAlign w:val="center"/>
          </w:tcPr>
          <w:p w14:paraId="3B491EA5">
            <w:pPr>
              <w:widowControl/>
              <w:snapToGrid w:val="0"/>
              <w:spacing w:line="240" w:lineRule="atLeast"/>
              <w:ind w:firstLine="0" w:firstLineChars="0"/>
              <w:jc w:val="center"/>
              <w:rPr>
                <w:kern w:val="0"/>
                <w:sz w:val="21"/>
                <w:szCs w:val="21"/>
                <w:highlight w:val="black"/>
              </w:rPr>
            </w:pPr>
            <w:r>
              <w:rPr>
                <w:kern w:val="0"/>
                <w:sz w:val="21"/>
                <w:szCs w:val="21"/>
                <w:highlight w:val="black"/>
              </w:rPr>
              <w:t>1.7</w:t>
            </w:r>
          </w:p>
        </w:tc>
        <w:tc>
          <w:tcPr>
            <w:tcW w:w="1326" w:type="dxa"/>
            <w:tcBorders>
              <w:tl2br w:val="nil"/>
              <w:tr2bl w:val="nil"/>
            </w:tcBorders>
            <w:shd w:val="clear" w:color="auto" w:fill="auto"/>
            <w:vAlign w:val="center"/>
          </w:tcPr>
          <w:p w14:paraId="7F297B6D">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AE59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0A92EC81">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4187C10B">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100594F9">
            <w:pPr>
              <w:widowControl/>
              <w:snapToGrid w:val="0"/>
              <w:spacing w:line="240" w:lineRule="atLeast"/>
              <w:ind w:firstLine="0" w:firstLineChars="0"/>
              <w:jc w:val="center"/>
              <w:rPr>
                <w:kern w:val="0"/>
                <w:sz w:val="21"/>
                <w:szCs w:val="21"/>
                <w:highlight w:val="black"/>
              </w:rPr>
            </w:pPr>
            <w:r>
              <w:rPr>
                <w:kern w:val="0"/>
                <w:sz w:val="21"/>
                <w:szCs w:val="21"/>
                <w:highlight w:val="black"/>
              </w:rPr>
              <w:t>压风自救系统</w:t>
            </w:r>
          </w:p>
        </w:tc>
        <w:tc>
          <w:tcPr>
            <w:tcW w:w="1276" w:type="dxa"/>
            <w:tcBorders>
              <w:tl2br w:val="nil"/>
              <w:tr2bl w:val="nil"/>
            </w:tcBorders>
            <w:shd w:val="clear" w:color="auto" w:fill="auto"/>
            <w:vAlign w:val="center"/>
          </w:tcPr>
          <w:p w14:paraId="4130BCFE">
            <w:pPr>
              <w:widowControl/>
              <w:snapToGrid w:val="0"/>
              <w:spacing w:line="240" w:lineRule="atLeast"/>
              <w:ind w:firstLine="0" w:firstLineChars="0"/>
              <w:jc w:val="center"/>
              <w:rPr>
                <w:kern w:val="0"/>
                <w:sz w:val="21"/>
                <w:szCs w:val="21"/>
                <w:highlight w:val="black"/>
              </w:rPr>
            </w:pPr>
            <w:r>
              <w:rPr>
                <w:kern w:val="0"/>
                <w:sz w:val="21"/>
                <w:szCs w:val="21"/>
                <w:highlight w:val="black"/>
              </w:rPr>
              <w:t>2.3</w:t>
            </w:r>
          </w:p>
        </w:tc>
        <w:tc>
          <w:tcPr>
            <w:tcW w:w="1326" w:type="dxa"/>
            <w:tcBorders>
              <w:tl2br w:val="nil"/>
              <w:tr2bl w:val="nil"/>
            </w:tcBorders>
            <w:shd w:val="clear" w:color="auto" w:fill="auto"/>
            <w:vAlign w:val="center"/>
          </w:tcPr>
          <w:p w14:paraId="05CF4062">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31C7C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54CB1DAA">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0F3DDE19">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537E28AB">
            <w:pPr>
              <w:widowControl/>
              <w:snapToGrid w:val="0"/>
              <w:spacing w:line="240" w:lineRule="atLeast"/>
              <w:ind w:firstLine="0" w:firstLineChars="0"/>
              <w:jc w:val="center"/>
              <w:rPr>
                <w:kern w:val="0"/>
                <w:sz w:val="21"/>
                <w:szCs w:val="21"/>
                <w:highlight w:val="black"/>
              </w:rPr>
            </w:pPr>
            <w:r>
              <w:rPr>
                <w:kern w:val="0"/>
                <w:sz w:val="21"/>
                <w:szCs w:val="21"/>
                <w:highlight w:val="black"/>
              </w:rPr>
              <w:t>供水施救系统</w:t>
            </w:r>
          </w:p>
        </w:tc>
        <w:tc>
          <w:tcPr>
            <w:tcW w:w="1276" w:type="dxa"/>
            <w:tcBorders>
              <w:tl2br w:val="nil"/>
              <w:tr2bl w:val="nil"/>
            </w:tcBorders>
            <w:shd w:val="clear" w:color="auto" w:fill="auto"/>
            <w:vAlign w:val="center"/>
          </w:tcPr>
          <w:p w14:paraId="29EAFBD1">
            <w:pPr>
              <w:widowControl/>
              <w:snapToGrid w:val="0"/>
              <w:spacing w:line="240" w:lineRule="atLeast"/>
              <w:ind w:firstLine="0" w:firstLineChars="0"/>
              <w:jc w:val="center"/>
              <w:rPr>
                <w:kern w:val="0"/>
                <w:sz w:val="21"/>
                <w:szCs w:val="21"/>
                <w:highlight w:val="black"/>
              </w:rPr>
            </w:pPr>
            <w:r>
              <w:rPr>
                <w:kern w:val="0"/>
                <w:sz w:val="21"/>
                <w:szCs w:val="21"/>
                <w:highlight w:val="black"/>
              </w:rPr>
              <w:t>2.3</w:t>
            </w:r>
          </w:p>
        </w:tc>
        <w:tc>
          <w:tcPr>
            <w:tcW w:w="1326" w:type="dxa"/>
            <w:tcBorders>
              <w:tl2br w:val="nil"/>
              <w:tr2bl w:val="nil"/>
            </w:tcBorders>
            <w:shd w:val="clear" w:color="auto" w:fill="auto"/>
            <w:vAlign w:val="center"/>
          </w:tcPr>
          <w:p w14:paraId="36CB56A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3F42F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589CC4C7">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1135E647">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5BCFFF6B">
            <w:pPr>
              <w:widowControl/>
              <w:snapToGrid w:val="0"/>
              <w:spacing w:line="240" w:lineRule="atLeast"/>
              <w:ind w:firstLine="0" w:firstLineChars="0"/>
              <w:jc w:val="center"/>
              <w:rPr>
                <w:kern w:val="0"/>
                <w:sz w:val="21"/>
                <w:szCs w:val="21"/>
                <w:highlight w:val="black"/>
              </w:rPr>
            </w:pPr>
            <w:r>
              <w:rPr>
                <w:kern w:val="0"/>
                <w:sz w:val="21"/>
                <w:szCs w:val="21"/>
                <w:highlight w:val="black"/>
              </w:rPr>
              <w:t>通信联络系统</w:t>
            </w:r>
          </w:p>
        </w:tc>
        <w:tc>
          <w:tcPr>
            <w:tcW w:w="1276" w:type="dxa"/>
            <w:tcBorders>
              <w:tl2br w:val="nil"/>
              <w:tr2bl w:val="nil"/>
            </w:tcBorders>
            <w:shd w:val="clear" w:color="auto" w:fill="auto"/>
            <w:vAlign w:val="center"/>
          </w:tcPr>
          <w:p w14:paraId="55868C9A">
            <w:pPr>
              <w:widowControl/>
              <w:snapToGrid w:val="0"/>
              <w:spacing w:line="240" w:lineRule="atLeast"/>
              <w:ind w:firstLine="0" w:firstLineChars="0"/>
              <w:jc w:val="center"/>
              <w:rPr>
                <w:kern w:val="0"/>
                <w:sz w:val="21"/>
                <w:szCs w:val="21"/>
                <w:highlight w:val="black"/>
              </w:rPr>
            </w:pPr>
            <w:r>
              <w:rPr>
                <w:kern w:val="0"/>
                <w:sz w:val="21"/>
                <w:szCs w:val="21"/>
                <w:highlight w:val="black"/>
              </w:rPr>
              <w:t>1.6</w:t>
            </w:r>
          </w:p>
        </w:tc>
        <w:tc>
          <w:tcPr>
            <w:tcW w:w="1326" w:type="dxa"/>
            <w:tcBorders>
              <w:tl2br w:val="nil"/>
              <w:tr2bl w:val="nil"/>
            </w:tcBorders>
            <w:shd w:val="clear" w:color="auto" w:fill="auto"/>
            <w:vAlign w:val="center"/>
          </w:tcPr>
          <w:p w14:paraId="25CCDCE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0021E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06B2DAD0">
            <w:pPr>
              <w:widowControl/>
              <w:snapToGrid w:val="0"/>
              <w:spacing w:line="240" w:lineRule="atLeast"/>
              <w:ind w:firstLine="0" w:firstLineChars="0"/>
              <w:jc w:val="center"/>
              <w:rPr>
                <w:kern w:val="0"/>
                <w:sz w:val="21"/>
                <w:szCs w:val="21"/>
                <w:highlight w:val="black"/>
              </w:rPr>
            </w:pPr>
            <w:r>
              <w:rPr>
                <w:kern w:val="0"/>
                <w:sz w:val="21"/>
                <w:szCs w:val="21"/>
                <w:highlight w:val="black"/>
              </w:rPr>
              <w:t>8</w:t>
            </w:r>
          </w:p>
        </w:tc>
        <w:tc>
          <w:tcPr>
            <w:tcW w:w="1934" w:type="dxa"/>
            <w:vMerge w:val="restart"/>
            <w:tcBorders>
              <w:tl2br w:val="nil"/>
              <w:tr2bl w:val="nil"/>
            </w:tcBorders>
            <w:shd w:val="clear" w:color="auto" w:fill="auto"/>
            <w:vAlign w:val="center"/>
          </w:tcPr>
          <w:p w14:paraId="1681183C">
            <w:pPr>
              <w:widowControl/>
              <w:snapToGrid w:val="0"/>
              <w:spacing w:line="240" w:lineRule="atLeast"/>
              <w:ind w:firstLine="0" w:firstLineChars="0"/>
              <w:jc w:val="center"/>
              <w:rPr>
                <w:kern w:val="0"/>
                <w:sz w:val="21"/>
                <w:szCs w:val="21"/>
                <w:highlight w:val="black"/>
              </w:rPr>
            </w:pPr>
            <w:r>
              <w:rPr>
                <w:kern w:val="0"/>
                <w:sz w:val="21"/>
                <w:szCs w:val="21"/>
                <w:highlight w:val="black"/>
              </w:rPr>
              <w:t>消防系统</w:t>
            </w:r>
          </w:p>
        </w:tc>
        <w:tc>
          <w:tcPr>
            <w:tcW w:w="3594" w:type="dxa"/>
            <w:tcBorders>
              <w:tl2br w:val="nil"/>
              <w:tr2bl w:val="nil"/>
            </w:tcBorders>
            <w:shd w:val="clear" w:color="auto" w:fill="auto"/>
            <w:vAlign w:val="center"/>
          </w:tcPr>
          <w:p w14:paraId="718B71E3">
            <w:pPr>
              <w:widowControl/>
              <w:snapToGrid w:val="0"/>
              <w:spacing w:line="240" w:lineRule="atLeast"/>
              <w:ind w:firstLine="0" w:firstLineChars="0"/>
              <w:jc w:val="center"/>
              <w:rPr>
                <w:kern w:val="0"/>
                <w:sz w:val="21"/>
                <w:szCs w:val="21"/>
                <w:highlight w:val="black"/>
              </w:rPr>
            </w:pPr>
            <w:r>
              <w:rPr>
                <w:kern w:val="0"/>
                <w:sz w:val="21"/>
                <w:szCs w:val="21"/>
                <w:highlight w:val="black"/>
              </w:rPr>
              <w:t>消防供水系统</w:t>
            </w:r>
          </w:p>
        </w:tc>
        <w:tc>
          <w:tcPr>
            <w:tcW w:w="1276" w:type="dxa"/>
            <w:tcBorders>
              <w:tl2br w:val="nil"/>
              <w:tr2bl w:val="nil"/>
            </w:tcBorders>
            <w:shd w:val="clear" w:color="auto" w:fill="auto"/>
            <w:vAlign w:val="center"/>
          </w:tcPr>
          <w:p w14:paraId="0D9D053C">
            <w:pPr>
              <w:widowControl/>
              <w:snapToGrid w:val="0"/>
              <w:spacing w:line="240" w:lineRule="atLeast"/>
              <w:ind w:firstLine="0" w:firstLineChars="0"/>
              <w:jc w:val="center"/>
              <w:rPr>
                <w:kern w:val="0"/>
                <w:sz w:val="21"/>
                <w:szCs w:val="21"/>
                <w:highlight w:val="black"/>
              </w:rPr>
            </w:pPr>
            <w:r>
              <w:rPr>
                <w:kern w:val="0"/>
                <w:sz w:val="21"/>
                <w:szCs w:val="21"/>
                <w:highlight w:val="black"/>
              </w:rPr>
              <w:t>1.1</w:t>
            </w:r>
          </w:p>
        </w:tc>
        <w:tc>
          <w:tcPr>
            <w:tcW w:w="1326" w:type="dxa"/>
            <w:tcBorders>
              <w:tl2br w:val="nil"/>
              <w:tr2bl w:val="nil"/>
            </w:tcBorders>
            <w:shd w:val="clear" w:color="auto" w:fill="auto"/>
            <w:vAlign w:val="center"/>
          </w:tcPr>
          <w:p w14:paraId="5BDE7456">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563CF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2EC7942C">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398C3141">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524A6799">
            <w:pPr>
              <w:widowControl/>
              <w:snapToGrid w:val="0"/>
              <w:spacing w:line="240" w:lineRule="atLeast"/>
              <w:ind w:firstLine="0" w:firstLineChars="0"/>
              <w:jc w:val="center"/>
              <w:rPr>
                <w:kern w:val="0"/>
                <w:sz w:val="21"/>
                <w:szCs w:val="21"/>
                <w:highlight w:val="black"/>
              </w:rPr>
            </w:pPr>
            <w:r>
              <w:rPr>
                <w:kern w:val="0"/>
                <w:sz w:val="21"/>
                <w:szCs w:val="21"/>
                <w:highlight w:val="black"/>
              </w:rPr>
              <w:t>消防水池</w:t>
            </w:r>
          </w:p>
        </w:tc>
        <w:tc>
          <w:tcPr>
            <w:tcW w:w="1276" w:type="dxa"/>
            <w:tcBorders>
              <w:tl2br w:val="nil"/>
              <w:tr2bl w:val="nil"/>
            </w:tcBorders>
            <w:shd w:val="clear" w:color="auto" w:fill="auto"/>
            <w:vAlign w:val="center"/>
          </w:tcPr>
          <w:p w14:paraId="0B754262">
            <w:pPr>
              <w:widowControl/>
              <w:snapToGrid w:val="0"/>
              <w:spacing w:line="240" w:lineRule="atLeast"/>
              <w:ind w:firstLine="0" w:firstLineChars="0"/>
              <w:jc w:val="center"/>
              <w:rPr>
                <w:kern w:val="0"/>
                <w:sz w:val="21"/>
                <w:szCs w:val="21"/>
                <w:highlight w:val="black"/>
              </w:rPr>
            </w:pPr>
            <w:r>
              <w:rPr>
                <w:kern w:val="0"/>
                <w:sz w:val="21"/>
                <w:szCs w:val="21"/>
                <w:highlight w:val="black"/>
              </w:rPr>
              <w:t>0.5</w:t>
            </w:r>
          </w:p>
        </w:tc>
        <w:tc>
          <w:tcPr>
            <w:tcW w:w="1326" w:type="dxa"/>
            <w:tcBorders>
              <w:tl2br w:val="nil"/>
              <w:tr2bl w:val="nil"/>
            </w:tcBorders>
            <w:shd w:val="clear" w:color="auto" w:fill="auto"/>
            <w:vAlign w:val="center"/>
          </w:tcPr>
          <w:p w14:paraId="2C806F5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66278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7C5E52E5">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499F1E77">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78609E0F">
            <w:pPr>
              <w:widowControl/>
              <w:snapToGrid w:val="0"/>
              <w:spacing w:line="240" w:lineRule="atLeast"/>
              <w:ind w:firstLine="0" w:firstLineChars="0"/>
              <w:jc w:val="center"/>
              <w:rPr>
                <w:kern w:val="0"/>
                <w:sz w:val="21"/>
                <w:szCs w:val="21"/>
                <w:highlight w:val="black"/>
              </w:rPr>
            </w:pPr>
            <w:r>
              <w:rPr>
                <w:kern w:val="0"/>
                <w:sz w:val="21"/>
                <w:szCs w:val="21"/>
                <w:highlight w:val="black"/>
              </w:rPr>
              <w:t>消防器材</w:t>
            </w:r>
          </w:p>
        </w:tc>
        <w:tc>
          <w:tcPr>
            <w:tcW w:w="1276" w:type="dxa"/>
            <w:tcBorders>
              <w:tl2br w:val="nil"/>
              <w:tr2bl w:val="nil"/>
            </w:tcBorders>
            <w:shd w:val="clear" w:color="auto" w:fill="auto"/>
            <w:vAlign w:val="center"/>
          </w:tcPr>
          <w:p w14:paraId="2D9C95B1">
            <w:pPr>
              <w:widowControl/>
              <w:snapToGrid w:val="0"/>
              <w:spacing w:line="240" w:lineRule="atLeast"/>
              <w:ind w:firstLine="0" w:firstLineChars="0"/>
              <w:jc w:val="center"/>
              <w:rPr>
                <w:kern w:val="0"/>
                <w:sz w:val="21"/>
                <w:szCs w:val="21"/>
                <w:highlight w:val="black"/>
              </w:rPr>
            </w:pPr>
            <w:r>
              <w:rPr>
                <w:kern w:val="0"/>
                <w:sz w:val="21"/>
                <w:szCs w:val="21"/>
                <w:highlight w:val="black"/>
              </w:rPr>
              <w:t>0.3</w:t>
            </w:r>
          </w:p>
        </w:tc>
        <w:tc>
          <w:tcPr>
            <w:tcW w:w="1326" w:type="dxa"/>
            <w:tcBorders>
              <w:tl2br w:val="nil"/>
              <w:tr2bl w:val="nil"/>
            </w:tcBorders>
            <w:shd w:val="clear" w:color="auto" w:fill="auto"/>
            <w:vAlign w:val="center"/>
          </w:tcPr>
          <w:p w14:paraId="6B278509">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B038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165A089B">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1708EB97">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4C42CC0F">
            <w:pPr>
              <w:widowControl/>
              <w:snapToGrid w:val="0"/>
              <w:spacing w:line="240" w:lineRule="atLeast"/>
              <w:ind w:firstLine="0" w:firstLineChars="0"/>
              <w:jc w:val="center"/>
              <w:rPr>
                <w:kern w:val="0"/>
                <w:sz w:val="21"/>
                <w:szCs w:val="21"/>
                <w:highlight w:val="black"/>
              </w:rPr>
            </w:pPr>
            <w:r>
              <w:rPr>
                <w:kern w:val="0"/>
                <w:sz w:val="21"/>
                <w:szCs w:val="21"/>
                <w:highlight w:val="black"/>
              </w:rPr>
              <w:t>火灾报警系统</w:t>
            </w:r>
          </w:p>
        </w:tc>
        <w:tc>
          <w:tcPr>
            <w:tcW w:w="1276" w:type="dxa"/>
            <w:tcBorders>
              <w:tl2br w:val="nil"/>
              <w:tr2bl w:val="nil"/>
            </w:tcBorders>
            <w:shd w:val="clear" w:color="auto" w:fill="auto"/>
            <w:vAlign w:val="center"/>
          </w:tcPr>
          <w:p w14:paraId="399B2AE0">
            <w:pPr>
              <w:widowControl/>
              <w:snapToGrid w:val="0"/>
              <w:spacing w:line="240" w:lineRule="atLeast"/>
              <w:ind w:firstLine="0" w:firstLineChars="0"/>
              <w:jc w:val="center"/>
              <w:rPr>
                <w:kern w:val="0"/>
                <w:sz w:val="21"/>
                <w:szCs w:val="21"/>
                <w:highlight w:val="black"/>
              </w:rPr>
            </w:pPr>
            <w:r>
              <w:rPr>
                <w:kern w:val="0"/>
                <w:sz w:val="21"/>
                <w:szCs w:val="21"/>
                <w:highlight w:val="black"/>
              </w:rPr>
              <w:t>0.2</w:t>
            </w:r>
          </w:p>
        </w:tc>
        <w:tc>
          <w:tcPr>
            <w:tcW w:w="1326" w:type="dxa"/>
            <w:tcBorders>
              <w:tl2br w:val="nil"/>
              <w:tr2bl w:val="nil"/>
            </w:tcBorders>
            <w:shd w:val="clear" w:color="auto" w:fill="auto"/>
            <w:vAlign w:val="center"/>
          </w:tcPr>
          <w:p w14:paraId="10C89B89">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6687C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tcBorders>
              <w:tl2br w:val="nil"/>
              <w:tr2bl w:val="nil"/>
            </w:tcBorders>
            <w:shd w:val="clear" w:color="auto" w:fill="auto"/>
            <w:vAlign w:val="center"/>
          </w:tcPr>
          <w:p w14:paraId="516589DC">
            <w:pPr>
              <w:widowControl/>
              <w:snapToGrid w:val="0"/>
              <w:spacing w:line="240" w:lineRule="atLeast"/>
              <w:ind w:firstLine="0" w:firstLineChars="0"/>
              <w:jc w:val="center"/>
              <w:rPr>
                <w:kern w:val="0"/>
                <w:sz w:val="21"/>
                <w:szCs w:val="21"/>
                <w:highlight w:val="black"/>
              </w:rPr>
            </w:pPr>
            <w:r>
              <w:rPr>
                <w:kern w:val="0"/>
                <w:sz w:val="21"/>
                <w:szCs w:val="21"/>
                <w:highlight w:val="black"/>
              </w:rPr>
              <w:t>9</w:t>
            </w:r>
          </w:p>
        </w:tc>
        <w:tc>
          <w:tcPr>
            <w:tcW w:w="1934" w:type="dxa"/>
            <w:vMerge w:val="restart"/>
            <w:tcBorders>
              <w:tl2br w:val="nil"/>
              <w:tr2bl w:val="nil"/>
            </w:tcBorders>
            <w:shd w:val="clear" w:color="auto" w:fill="auto"/>
            <w:vAlign w:val="center"/>
          </w:tcPr>
          <w:p w14:paraId="3F66A5E6">
            <w:pPr>
              <w:widowControl/>
              <w:snapToGrid w:val="0"/>
              <w:spacing w:line="240" w:lineRule="atLeast"/>
              <w:ind w:firstLine="0" w:firstLineChars="0"/>
              <w:jc w:val="center"/>
              <w:rPr>
                <w:kern w:val="0"/>
                <w:sz w:val="21"/>
                <w:szCs w:val="21"/>
                <w:highlight w:val="black"/>
              </w:rPr>
            </w:pPr>
            <w:r>
              <w:rPr>
                <w:kern w:val="0"/>
                <w:sz w:val="21"/>
                <w:szCs w:val="21"/>
                <w:highlight w:val="black"/>
              </w:rPr>
              <w:t>防治水</w:t>
            </w:r>
          </w:p>
        </w:tc>
        <w:tc>
          <w:tcPr>
            <w:tcW w:w="3594" w:type="dxa"/>
            <w:tcBorders>
              <w:tl2br w:val="nil"/>
              <w:tr2bl w:val="nil"/>
            </w:tcBorders>
            <w:shd w:val="clear" w:color="auto" w:fill="auto"/>
            <w:vAlign w:val="center"/>
          </w:tcPr>
          <w:p w14:paraId="5FF72E63">
            <w:pPr>
              <w:widowControl/>
              <w:snapToGrid w:val="0"/>
              <w:spacing w:line="240" w:lineRule="atLeast"/>
              <w:ind w:firstLine="0" w:firstLineChars="0"/>
              <w:jc w:val="center"/>
              <w:rPr>
                <w:kern w:val="0"/>
                <w:sz w:val="21"/>
                <w:szCs w:val="21"/>
                <w:highlight w:val="black"/>
              </w:rPr>
            </w:pPr>
            <w:r>
              <w:rPr>
                <w:kern w:val="0"/>
                <w:sz w:val="21"/>
                <w:szCs w:val="21"/>
                <w:highlight w:val="black"/>
              </w:rPr>
              <w:t>地下水头</w:t>
            </w:r>
            <w:r>
              <w:rPr>
                <w:rFonts w:hint="eastAsia"/>
                <w:kern w:val="0"/>
                <w:sz w:val="21"/>
                <w:szCs w:val="21"/>
                <w:highlight w:val="black"/>
              </w:rPr>
              <w:t>（</w:t>
            </w:r>
            <w:r>
              <w:rPr>
                <w:kern w:val="0"/>
                <w:sz w:val="21"/>
                <w:szCs w:val="21"/>
                <w:highlight w:val="black"/>
              </w:rPr>
              <w:t>水位</w:t>
            </w:r>
            <w:r>
              <w:rPr>
                <w:rFonts w:hint="eastAsia"/>
                <w:kern w:val="0"/>
                <w:sz w:val="21"/>
                <w:szCs w:val="21"/>
                <w:highlight w:val="black"/>
              </w:rPr>
              <w:t>）</w:t>
            </w:r>
            <w:r>
              <w:rPr>
                <w:kern w:val="0"/>
                <w:sz w:val="21"/>
                <w:szCs w:val="21"/>
                <w:highlight w:val="black"/>
              </w:rPr>
              <w:t>、水质、中段涌水量监测设施</w:t>
            </w:r>
          </w:p>
        </w:tc>
        <w:tc>
          <w:tcPr>
            <w:tcW w:w="1276" w:type="dxa"/>
            <w:tcBorders>
              <w:tl2br w:val="nil"/>
              <w:tr2bl w:val="nil"/>
            </w:tcBorders>
            <w:shd w:val="clear" w:color="auto" w:fill="auto"/>
            <w:vAlign w:val="center"/>
          </w:tcPr>
          <w:p w14:paraId="28BB70E5">
            <w:pPr>
              <w:widowControl/>
              <w:snapToGrid w:val="0"/>
              <w:spacing w:line="240" w:lineRule="atLeast"/>
              <w:ind w:firstLine="0" w:firstLineChars="0"/>
              <w:jc w:val="center"/>
              <w:rPr>
                <w:kern w:val="0"/>
                <w:sz w:val="21"/>
                <w:szCs w:val="21"/>
                <w:highlight w:val="black"/>
              </w:rPr>
            </w:pPr>
            <w:r>
              <w:rPr>
                <w:kern w:val="0"/>
                <w:sz w:val="21"/>
                <w:szCs w:val="21"/>
                <w:highlight w:val="black"/>
              </w:rPr>
              <w:t>5.8</w:t>
            </w:r>
          </w:p>
        </w:tc>
        <w:tc>
          <w:tcPr>
            <w:tcW w:w="1326" w:type="dxa"/>
            <w:tcBorders>
              <w:tl2br w:val="nil"/>
              <w:tr2bl w:val="nil"/>
            </w:tcBorders>
            <w:shd w:val="clear" w:color="auto" w:fill="auto"/>
            <w:vAlign w:val="center"/>
          </w:tcPr>
          <w:p w14:paraId="39E6CE5E">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46C6A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tcBorders>
              <w:tl2br w:val="nil"/>
              <w:tr2bl w:val="nil"/>
            </w:tcBorders>
            <w:vAlign w:val="center"/>
          </w:tcPr>
          <w:p w14:paraId="024786A3">
            <w:pPr>
              <w:widowControl/>
              <w:snapToGrid w:val="0"/>
              <w:spacing w:line="240" w:lineRule="atLeast"/>
              <w:ind w:firstLine="0" w:firstLineChars="0"/>
              <w:jc w:val="left"/>
              <w:rPr>
                <w:kern w:val="0"/>
                <w:sz w:val="21"/>
                <w:szCs w:val="21"/>
                <w:highlight w:val="black"/>
              </w:rPr>
            </w:pPr>
          </w:p>
        </w:tc>
        <w:tc>
          <w:tcPr>
            <w:tcW w:w="1934" w:type="dxa"/>
            <w:vMerge w:val="continue"/>
            <w:tcBorders>
              <w:tl2br w:val="nil"/>
              <w:tr2bl w:val="nil"/>
            </w:tcBorders>
            <w:vAlign w:val="center"/>
          </w:tcPr>
          <w:p w14:paraId="0D04D07E">
            <w:pPr>
              <w:widowControl/>
              <w:snapToGrid w:val="0"/>
              <w:spacing w:line="240" w:lineRule="atLeast"/>
              <w:ind w:firstLine="0" w:firstLineChars="0"/>
              <w:jc w:val="left"/>
              <w:rPr>
                <w:kern w:val="0"/>
                <w:sz w:val="21"/>
                <w:szCs w:val="21"/>
                <w:highlight w:val="black"/>
              </w:rPr>
            </w:pPr>
          </w:p>
        </w:tc>
        <w:tc>
          <w:tcPr>
            <w:tcW w:w="3594" w:type="dxa"/>
            <w:tcBorders>
              <w:tl2br w:val="nil"/>
              <w:tr2bl w:val="nil"/>
            </w:tcBorders>
            <w:shd w:val="clear" w:color="auto" w:fill="auto"/>
            <w:vAlign w:val="center"/>
          </w:tcPr>
          <w:p w14:paraId="0CBF2AE0">
            <w:pPr>
              <w:widowControl/>
              <w:snapToGrid w:val="0"/>
              <w:spacing w:line="240" w:lineRule="atLeast"/>
              <w:ind w:firstLine="0" w:firstLineChars="0"/>
              <w:jc w:val="center"/>
              <w:rPr>
                <w:kern w:val="0"/>
                <w:sz w:val="21"/>
                <w:szCs w:val="21"/>
                <w:highlight w:val="black"/>
              </w:rPr>
            </w:pPr>
            <w:r>
              <w:rPr>
                <w:kern w:val="0"/>
                <w:sz w:val="21"/>
                <w:szCs w:val="21"/>
                <w:highlight w:val="black"/>
              </w:rPr>
              <w:t>探水孔、放水孔及探放水巷道，探、放水孔的孔口管和控制闸阀，探、放水设备</w:t>
            </w:r>
          </w:p>
        </w:tc>
        <w:tc>
          <w:tcPr>
            <w:tcW w:w="1276" w:type="dxa"/>
            <w:tcBorders>
              <w:tl2br w:val="nil"/>
              <w:tr2bl w:val="nil"/>
            </w:tcBorders>
            <w:shd w:val="clear" w:color="auto" w:fill="auto"/>
            <w:vAlign w:val="center"/>
          </w:tcPr>
          <w:p w14:paraId="1CDC8738">
            <w:pPr>
              <w:widowControl/>
              <w:snapToGrid w:val="0"/>
              <w:spacing w:line="240" w:lineRule="atLeast"/>
              <w:ind w:firstLine="0" w:firstLineChars="0"/>
              <w:jc w:val="center"/>
              <w:rPr>
                <w:kern w:val="0"/>
                <w:sz w:val="21"/>
                <w:szCs w:val="21"/>
                <w:highlight w:val="black"/>
              </w:rPr>
            </w:pPr>
            <w:r>
              <w:rPr>
                <w:kern w:val="0"/>
                <w:sz w:val="21"/>
                <w:szCs w:val="21"/>
                <w:highlight w:val="black"/>
              </w:rPr>
              <w:t>13</w:t>
            </w:r>
          </w:p>
        </w:tc>
        <w:tc>
          <w:tcPr>
            <w:tcW w:w="1326" w:type="dxa"/>
            <w:tcBorders>
              <w:tl2br w:val="nil"/>
              <w:tr2bl w:val="nil"/>
            </w:tcBorders>
            <w:shd w:val="clear" w:color="auto" w:fill="auto"/>
            <w:vAlign w:val="center"/>
          </w:tcPr>
          <w:p w14:paraId="533C2E3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101C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tcBorders>
              <w:tl2br w:val="nil"/>
              <w:tr2bl w:val="nil"/>
            </w:tcBorders>
            <w:shd w:val="clear" w:color="auto" w:fill="auto"/>
            <w:vAlign w:val="center"/>
          </w:tcPr>
          <w:p w14:paraId="4D9890D4">
            <w:pPr>
              <w:widowControl/>
              <w:snapToGrid w:val="0"/>
              <w:spacing w:line="240" w:lineRule="atLeast"/>
              <w:ind w:firstLine="0" w:firstLineChars="0"/>
              <w:jc w:val="center"/>
              <w:rPr>
                <w:kern w:val="0"/>
                <w:sz w:val="21"/>
                <w:szCs w:val="21"/>
                <w:highlight w:val="black"/>
              </w:rPr>
            </w:pPr>
            <w:r>
              <w:rPr>
                <w:kern w:val="0"/>
                <w:sz w:val="21"/>
                <w:szCs w:val="21"/>
                <w:highlight w:val="black"/>
              </w:rPr>
              <w:t>10</w:t>
            </w:r>
          </w:p>
        </w:tc>
        <w:tc>
          <w:tcPr>
            <w:tcW w:w="1934" w:type="dxa"/>
            <w:tcBorders>
              <w:tl2br w:val="nil"/>
              <w:tr2bl w:val="nil"/>
            </w:tcBorders>
            <w:shd w:val="clear" w:color="auto" w:fill="auto"/>
            <w:vAlign w:val="center"/>
          </w:tcPr>
          <w:p w14:paraId="70F903D5">
            <w:pPr>
              <w:widowControl/>
              <w:snapToGrid w:val="0"/>
              <w:spacing w:line="240" w:lineRule="atLeast"/>
              <w:ind w:firstLine="0" w:firstLineChars="0"/>
              <w:jc w:val="center"/>
              <w:rPr>
                <w:kern w:val="0"/>
                <w:sz w:val="21"/>
                <w:szCs w:val="21"/>
                <w:highlight w:val="black"/>
              </w:rPr>
            </w:pPr>
            <w:r>
              <w:rPr>
                <w:kern w:val="0"/>
                <w:sz w:val="21"/>
                <w:szCs w:val="21"/>
                <w:highlight w:val="black"/>
              </w:rPr>
              <w:t>地表塌陷或移动范围保护措施</w:t>
            </w:r>
          </w:p>
        </w:tc>
        <w:tc>
          <w:tcPr>
            <w:tcW w:w="3594" w:type="dxa"/>
            <w:tcBorders>
              <w:tl2br w:val="nil"/>
              <w:tr2bl w:val="nil"/>
            </w:tcBorders>
            <w:shd w:val="clear" w:color="auto" w:fill="auto"/>
            <w:vAlign w:val="center"/>
          </w:tcPr>
          <w:p w14:paraId="1C14F506">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c>
          <w:tcPr>
            <w:tcW w:w="1276" w:type="dxa"/>
            <w:tcBorders>
              <w:tl2br w:val="nil"/>
              <w:tr2bl w:val="nil"/>
            </w:tcBorders>
            <w:shd w:val="clear" w:color="auto" w:fill="auto"/>
            <w:vAlign w:val="center"/>
          </w:tcPr>
          <w:p w14:paraId="6B08975B">
            <w:pPr>
              <w:widowControl/>
              <w:snapToGrid w:val="0"/>
              <w:spacing w:line="240" w:lineRule="atLeast"/>
              <w:ind w:firstLine="0" w:firstLineChars="0"/>
              <w:jc w:val="center"/>
              <w:rPr>
                <w:kern w:val="0"/>
                <w:sz w:val="21"/>
                <w:szCs w:val="21"/>
                <w:highlight w:val="black"/>
              </w:rPr>
            </w:pPr>
            <w:r>
              <w:rPr>
                <w:kern w:val="0"/>
                <w:sz w:val="21"/>
                <w:szCs w:val="21"/>
                <w:highlight w:val="black"/>
              </w:rPr>
              <w:t>15</w:t>
            </w:r>
          </w:p>
        </w:tc>
        <w:tc>
          <w:tcPr>
            <w:tcW w:w="1326" w:type="dxa"/>
            <w:tcBorders>
              <w:tl2br w:val="nil"/>
              <w:tr2bl w:val="nil"/>
            </w:tcBorders>
            <w:shd w:val="clear" w:color="auto" w:fill="auto"/>
            <w:vAlign w:val="center"/>
          </w:tcPr>
          <w:p w14:paraId="43A37665">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419C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tcBorders>
              <w:tl2br w:val="nil"/>
              <w:tr2bl w:val="nil"/>
            </w:tcBorders>
            <w:shd w:val="clear" w:color="auto" w:fill="auto"/>
            <w:vAlign w:val="center"/>
          </w:tcPr>
          <w:p w14:paraId="6D8B77B3">
            <w:pPr>
              <w:widowControl/>
              <w:snapToGrid w:val="0"/>
              <w:spacing w:line="240" w:lineRule="atLeast"/>
              <w:ind w:firstLine="0" w:firstLineChars="0"/>
              <w:jc w:val="center"/>
              <w:rPr>
                <w:kern w:val="0"/>
                <w:sz w:val="21"/>
                <w:szCs w:val="21"/>
                <w:highlight w:val="black"/>
              </w:rPr>
            </w:pPr>
            <w:r>
              <w:rPr>
                <w:kern w:val="0"/>
                <w:sz w:val="21"/>
                <w:szCs w:val="21"/>
                <w:highlight w:val="black"/>
              </w:rPr>
              <w:t>11</w:t>
            </w:r>
          </w:p>
        </w:tc>
        <w:tc>
          <w:tcPr>
            <w:tcW w:w="1934" w:type="dxa"/>
            <w:tcBorders>
              <w:tl2br w:val="nil"/>
              <w:tr2bl w:val="nil"/>
            </w:tcBorders>
            <w:shd w:val="clear" w:color="auto" w:fill="auto"/>
            <w:vAlign w:val="center"/>
          </w:tcPr>
          <w:p w14:paraId="1A7BF98D">
            <w:pPr>
              <w:widowControl/>
              <w:snapToGrid w:val="0"/>
              <w:spacing w:line="240" w:lineRule="atLeast"/>
              <w:ind w:firstLine="0" w:firstLineChars="0"/>
              <w:jc w:val="center"/>
              <w:rPr>
                <w:kern w:val="0"/>
                <w:sz w:val="21"/>
                <w:szCs w:val="21"/>
                <w:highlight w:val="black"/>
              </w:rPr>
            </w:pPr>
            <w:r>
              <w:rPr>
                <w:kern w:val="0"/>
                <w:sz w:val="21"/>
                <w:szCs w:val="21"/>
                <w:highlight w:val="black"/>
              </w:rPr>
              <w:t>矿山应急救援设备及器材</w:t>
            </w:r>
          </w:p>
        </w:tc>
        <w:tc>
          <w:tcPr>
            <w:tcW w:w="3594" w:type="dxa"/>
            <w:tcBorders>
              <w:tl2br w:val="nil"/>
              <w:tr2bl w:val="nil"/>
            </w:tcBorders>
            <w:shd w:val="clear" w:color="auto" w:fill="auto"/>
            <w:vAlign w:val="center"/>
          </w:tcPr>
          <w:p w14:paraId="212162E0">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c>
          <w:tcPr>
            <w:tcW w:w="1276" w:type="dxa"/>
            <w:tcBorders>
              <w:tl2br w:val="nil"/>
              <w:tr2bl w:val="nil"/>
            </w:tcBorders>
            <w:shd w:val="clear" w:color="auto" w:fill="auto"/>
            <w:vAlign w:val="center"/>
          </w:tcPr>
          <w:p w14:paraId="18DAFE40">
            <w:pPr>
              <w:widowControl/>
              <w:snapToGrid w:val="0"/>
              <w:spacing w:line="240" w:lineRule="atLeast"/>
              <w:ind w:firstLine="0" w:firstLineChars="0"/>
              <w:jc w:val="center"/>
              <w:rPr>
                <w:kern w:val="0"/>
                <w:sz w:val="21"/>
                <w:szCs w:val="21"/>
                <w:highlight w:val="black"/>
              </w:rPr>
            </w:pPr>
            <w:r>
              <w:rPr>
                <w:kern w:val="0"/>
                <w:sz w:val="21"/>
                <w:szCs w:val="21"/>
                <w:highlight w:val="black"/>
              </w:rPr>
              <w:t>10</w:t>
            </w:r>
          </w:p>
        </w:tc>
        <w:tc>
          <w:tcPr>
            <w:tcW w:w="1326" w:type="dxa"/>
            <w:tcBorders>
              <w:tl2br w:val="nil"/>
              <w:tr2bl w:val="nil"/>
            </w:tcBorders>
            <w:shd w:val="clear" w:color="auto" w:fill="auto"/>
            <w:vAlign w:val="center"/>
          </w:tcPr>
          <w:p w14:paraId="24588CAE">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0232B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tcBorders>
              <w:tl2br w:val="nil"/>
              <w:tr2bl w:val="nil"/>
            </w:tcBorders>
            <w:shd w:val="clear" w:color="auto" w:fill="auto"/>
            <w:vAlign w:val="center"/>
          </w:tcPr>
          <w:p w14:paraId="1C232AD2">
            <w:pPr>
              <w:widowControl/>
              <w:snapToGrid w:val="0"/>
              <w:spacing w:line="240" w:lineRule="atLeast"/>
              <w:ind w:firstLine="0" w:firstLineChars="0"/>
              <w:jc w:val="center"/>
              <w:rPr>
                <w:kern w:val="0"/>
                <w:sz w:val="21"/>
                <w:szCs w:val="21"/>
                <w:highlight w:val="black"/>
              </w:rPr>
            </w:pPr>
            <w:r>
              <w:rPr>
                <w:kern w:val="0"/>
                <w:sz w:val="21"/>
                <w:szCs w:val="21"/>
                <w:highlight w:val="black"/>
              </w:rPr>
              <w:t>12</w:t>
            </w:r>
          </w:p>
        </w:tc>
        <w:tc>
          <w:tcPr>
            <w:tcW w:w="1934" w:type="dxa"/>
            <w:tcBorders>
              <w:tl2br w:val="nil"/>
              <w:tr2bl w:val="nil"/>
            </w:tcBorders>
            <w:shd w:val="clear" w:color="auto" w:fill="auto"/>
            <w:vAlign w:val="center"/>
          </w:tcPr>
          <w:p w14:paraId="0C2E745D">
            <w:pPr>
              <w:widowControl/>
              <w:snapToGrid w:val="0"/>
              <w:spacing w:line="240" w:lineRule="atLeast"/>
              <w:ind w:firstLine="0" w:firstLineChars="0"/>
              <w:jc w:val="center"/>
              <w:rPr>
                <w:kern w:val="0"/>
                <w:sz w:val="21"/>
                <w:szCs w:val="21"/>
                <w:highlight w:val="black"/>
              </w:rPr>
            </w:pPr>
            <w:r>
              <w:rPr>
                <w:kern w:val="0"/>
                <w:sz w:val="21"/>
                <w:szCs w:val="21"/>
                <w:highlight w:val="black"/>
              </w:rPr>
              <w:t>个人安全防护用品</w:t>
            </w:r>
          </w:p>
        </w:tc>
        <w:tc>
          <w:tcPr>
            <w:tcW w:w="3594" w:type="dxa"/>
            <w:tcBorders>
              <w:tl2br w:val="nil"/>
              <w:tr2bl w:val="nil"/>
            </w:tcBorders>
            <w:shd w:val="clear" w:color="auto" w:fill="auto"/>
            <w:vAlign w:val="center"/>
          </w:tcPr>
          <w:p w14:paraId="6D32BE7E">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c>
          <w:tcPr>
            <w:tcW w:w="1276" w:type="dxa"/>
            <w:tcBorders>
              <w:tl2br w:val="nil"/>
              <w:tr2bl w:val="nil"/>
            </w:tcBorders>
            <w:shd w:val="clear" w:color="auto" w:fill="auto"/>
            <w:vAlign w:val="center"/>
          </w:tcPr>
          <w:p w14:paraId="4EC2D624">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1326" w:type="dxa"/>
            <w:tcBorders>
              <w:tl2br w:val="nil"/>
              <w:tr2bl w:val="nil"/>
            </w:tcBorders>
            <w:shd w:val="clear" w:color="auto" w:fill="auto"/>
            <w:vAlign w:val="center"/>
          </w:tcPr>
          <w:p w14:paraId="239E1259">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72C62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tcBorders>
              <w:tl2br w:val="nil"/>
              <w:tr2bl w:val="nil"/>
            </w:tcBorders>
            <w:shd w:val="clear" w:color="auto" w:fill="auto"/>
            <w:vAlign w:val="center"/>
          </w:tcPr>
          <w:p w14:paraId="6D98ED1D">
            <w:pPr>
              <w:widowControl/>
              <w:snapToGrid w:val="0"/>
              <w:spacing w:line="240" w:lineRule="atLeast"/>
              <w:ind w:firstLine="0" w:firstLineChars="0"/>
              <w:jc w:val="center"/>
              <w:rPr>
                <w:kern w:val="0"/>
                <w:sz w:val="21"/>
                <w:szCs w:val="21"/>
                <w:highlight w:val="black"/>
              </w:rPr>
            </w:pPr>
            <w:r>
              <w:rPr>
                <w:kern w:val="0"/>
                <w:sz w:val="21"/>
                <w:szCs w:val="21"/>
                <w:highlight w:val="black"/>
              </w:rPr>
              <w:t>13</w:t>
            </w:r>
          </w:p>
        </w:tc>
        <w:tc>
          <w:tcPr>
            <w:tcW w:w="1934" w:type="dxa"/>
            <w:tcBorders>
              <w:tl2br w:val="nil"/>
              <w:tr2bl w:val="nil"/>
            </w:tcBorders>
            <w:shd w:val="clear" w:color="auto" w:fill="auto"/>
            <w:vAlign w:val="center"/>
          </w:tcPr>
          <w:p w14:paraId="1ECD5E30">
            <w:pPr>
              <w:widowControl/>
              <w:snapToGrid w:val="0"/>
              <w:spacing w:line="240" w:lineRule="atLeast"/>
              <w:ind w:firstLine="0" w:firstLineChars="0"/>
              <w:jc w:val="center"/>
              <w:rPr>
                <w:kern w:val="0"/>
                <w:sz w:val="21"/>
                <w:szCs w:val="21"/>
                <w:highlight w:val="black"/>
              </w:rPr>
            </w:pPr>
            <w:r>
              <w:rPr>
                <w:kern w:val="0"/>
                <w:sz w:val="21"/>
                <w:szCs w:val="21"/>
                <w:highlight w:val="black"/>
              </w:rPr>
              <w:t>矿山、交通、电气安全标志</w:t>
            </w:r>
          </w:p>
        </w:tc>
        <w:tc>
          <w:tcPr>
            <w:tcW w:w="3594" w:type="dxa"/>
            <w:tcBorders>
              <w:tl2br w:val="nil"/>
              <w:tr2bl w:val="nil"/>
            </w:tcBorders>
            <w:shd w:val="clear" w:color="auto" w:fill="auto"/>
            <w:vAlign w:val="center"/>
          </w:tcPr>
          <w:p w14:paraId="47A30A2A">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c>
          <w:tcPr>
            <w:tcW w:w="1276" w:type="dxa"/>
            <w:tcBorders>
              <w:tl2br w:val="nil"/>
              <w:tr2bl w:val="nil"/>
            </w:tcBorders>
            <w:shd w:val="clear" w:color="auto" w:fill="auto"/>
            <w:vAlign w:val="center"/>
          </w:tcPr>
          <w:p w14:paraId="54C9C5F9">
            <w:pPr>
              <w:widowControl/>
              <w:snapToGrid w:val="0"/>
              <w:spacing w:line="240" w:lineRule="atLeast"/>
              <w:ind w:firstLine="0" w:firstLineChars="0"/>
              <w:jc w:val="center"/>
              <w:rPr>
                <w:kern w:val="0"/>
                <w:sz w:val="21"/>
                <w:szCs w:val="21"/>
                <w:highlight w:val="black"/>
              </w:rPr>
            </w:pPr>
            <w:r>
              <w:rPr>
                <w:kern w:val="0"/>
                <w:sz w:val="21"/>
                <w:szCs w:val="21"/>
                <w:highlight w:val="black"/>
              </w:rPr>
              <w:t>12</w:t>
            </w:r>
          </w:p>
        </w:tc>
        <w:tc>
          <w:tcPr>
            <w:tcW w:w="1326" w:type="dxa"/>
            <w:tcBorders>
              <w:tl2br w:val="nil"/>
              <w:tr2bl w:val="nil"/>
            </w:tcBorders>
            <w:shd w:val="clear" w:color="auto" w:fill="auto"/>
            <w:vAlign w:val="center"/>
          </w:tcPr>
          <w:p w14:paraId="5BBCBDB1">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58D15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tcBorders>
              <w:tl2br w:val="nil"/>
              <w:tr2bl w:val="nil"/>
            </w:tcBorders>
            <w:shd w:val="clear" w:color="auto" w:fill="auto"/>
            <w:vAlign w:val="center"/>
          </w:tcPr>
          <w:p w14:paraId="35CBF40C">
            <w:pPr>
              <w:widowControl/>
              <w:snapToGrid w:val="0"/>
              <w:spacing w:line="240" w:lineRule="atLeast"/>
              <w:ind w:firstLine="0" w:firstLineChars="0"/>
              <w:jc w:val="center"/>
              <w:rPr>
                <w:kern w:val="0"/>
                <w:sz w:val="21"/>
                <w:szCs w:val="21"/>
                <w:highlight w:val="black"/>
              </w:rPr>
            </w:pPr>
            <w:r>
              <w:rPr>
                <w:kern w:val="0"/>
                <w:sz w:val="21"/>
                <w:szCs w:val="21"/>
                <w:highlight w:val="black"/>
              </w:rPr>
              <w:t>14</w:t>
            </w:r>
          </w:p>
        </w:tc>
        <w:tc>
          <w:tcPr>
            <w:tcW w:w="1934" w:type="dxa"/>
            <w:tcBorders>
              <w:tl2br w:val="nil"/>
              <w:tr2bl w:val="nil"/>
            </w:tcBorders>
            <w:shd w:val="clear" w:color="auto" w:fill="auto"/>
            <w:vAlign w:val="center"/>
          </w:tcPr>
          <w:p w14:paraId="6C5E4AA5">
            <w:pPr>
              <w:widowControl/>
              <w:snapToGrid w:val="0"/>
              <w:spacing w:line="240" w:lineRule="atLeast"/>
              <w:ind w:firstLine="0" w:firstLineChars="0"/>
              <w:jc w:val="center"/>
              <w:rPr>
                <w:kern w:val="0"/>
                <w:sz w:val="21"/>
                <w:szCs w:val="21"/>
                <w:highlight w:val="black"/>
              </w:rPr>
            </w:pPr>
            <w:r>
              <w:rPr>
                <w:kern w:val="0"/>
                <w:sz w:val="21"/>
                <w:szCs w:val="21"/>
                <w:highlight w:val="black"/>
              </w:rPr>
              <w:t>其他设施</w:t>
            </w:r>
          </w:p>
        </w:tc>
        <w:tc>
          <w:tcPr>
            <w:tcW w:w="3594" w:type="dxa"/>
            <w:tcBorders>
              <w:tl2br w:val="nil"/>
              <w:tr2bl w:val="nil"/>
            </w:tcBorders>
            <w:shd w:val="clear" w:color="auto" w:fill="auto"/>
            <w:vAlign w:val="center"/>
          </w:tcPr>
          <w:p w14:paraId="7862976C">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c>
          <w:tcPr>
            <w:tcW w:w="1276" w:type="dxa"/>
            <w:tcBorders>
              <w:tl2br w:val="nil"/>
              <w:tr2bl w:val="nil"/>
            </w:tcBorders>
            <w:shd w:val="clear" w:color="auto" w:fill="auto"/>
            <w:vAlign w:val="center"/>
          </w:tcPr>
          <w:p w14:paraId="7957F142">
            <w:pPr>
              <w:widowControl/>
              <w:snapToGrid w:val="0"/>
              <w:spacing w:line="240" w:lineRule="atLeast"/>
              <w:ind w:firstLine="0" w:firstLineChars="0"/>
              <w:jc w:val="center"/>
              <w:rPr>
                <w:kern w:val="0"/>
                <w:sz w:val="21"/>
                <w:szCs w:val="21"/>
                <w:highlight w:val="black"/>
              </w:rPr>
            </w:pPr>
            <w:r>
              <w:rPr>
                <w:kern w:val="0"/>
                <w:sz w:val="21"/>
                <w:szCs w:val="21"/>
                <w:highlight w:val="black"/>
              </w:rPr>
              <w:t>10</w:t>
            </w:r>
          </w:p>
        </w:tc>
        <w:tc>
          <w:tcPr>
            <w:tcW w:w="1326" w:type="dxa"/>
            <w:tcBorders>
              <w:tl2br w:val="nil"/>
              <w:tr2bl w:val="nil"/>
            </w:tcBorders>
            <w:shd w:val="clear" w:color="auto" w:fill="auto"/>
            <w:vAlign w:val="center"/>
          </w:tcPr>
          <w:p w14:paraId="3DCF67E3">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r w14:paraId="07AAF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tcBorders>
              <w:tl2br w:val="nil"/>
              <w:tr2bl w:val="nil"/>
            </w:tcBorders>
            <w:shd w:val="clear" w:color="auto" w:fill="auto"/>
            <w:vAlign w:val="center"/>
          </w:tcPr>
          <w:p w14:paraId="717CF56B">
            <w:pPr>
              <w:widowControl/>
              <w:snapToGrid w:val="0"/>
              <w:spacing w:line="240" w:lineRule="atLeast"/>
              <w:ind w:firstLine="0" w:firstLineChars="0"/>
              <w:jc w:val="center"/>
              <w:rPr>
                <w:kern w:val="0"/>
                <w:sz w:val="21"/>
                <w:szCs w:val="21"/>
                <w:highlight w:val="black"/>
              </w:rPr>
            </w:pPr>
            <w:r>
              <w:rPr>
                <w:kern w:val="0"/>
                <w:sz w:val="21"/>
                <w:szCs w:val="21"/>
                <w:highlight w:val="black"/>
              </w:rPr>
              <w:t>15</w:t>
            </w:r>
          </w:p>
        </w:tc>
        <w:tc>
          <w:tcPr>
            <w:tcW w:w="1934" w:type="dxa"/>
            <w:tcBorders>
              <w:tl2br w:val="nil"/>
              <w:tr2bl w:val="nil"/>
            </w:tcBorders>
            <w:shd w:val="clear" w:color="auto" w:fill="auto"/>
            <w:vAlign w:val="center"/>
          </w:tcPr>
          <w:p w14:paraId="61DFF23F">
            <w:pPr>
              <w:widowControl/>
              <w:snapToGrid w:val="0"/>
              <w:spacing w:line="240" w:lineRule="atLeast"/>
              <w:ind w:firstLine="0" w:firstLineChars="0"/>
              <w:jc w:val="center"/>
              <w:rPr>
                <w:kern w:val="0"/>
                <w:sz w:val="21"/>
                <w:szCs w:val="21"/>
                <w:highlight w:val="black"/>
              </w:rPr>
            </w:pPr>
            <w:r>
              <w:rPr>
                <w:kern w:val="0"/>
                <w:sz w:val="21"/>
                <w:szCs w:val="21"/>
                <w:highlight w:val="black"/>
              </w:rPr>
              <w:t>合计</w:t>
            </w:r>
          </w:p>
        </w:tc>
        <w:tc>
          <w:tcPr>
            <w:tcW w:w="3594" w:type="dxa"/>
            <w:tcBorders>
              <w:tl2br w:val="nil"/>
              <w:tr2bl w:val="nil"/>
            </w:tcBorders>
            <w:shd w:val="clear" w:color="auto" w:fill="auto"/>
            <w:vAlign w:val="center"/>
          </w:tcPr>
          <w:p w14:paraId="675D35C6">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c>
          <w:tcPr>
            <w:tcW w:w="1276" w:type="dxa"/>
            <w:tcBorders>
              <w:tl2br w:val="nil"/>
              <w:tr2bl w:val="nil"/>
            </w:tcBorders>
            <w:shd w:val="clear" w:color="auto" w:fill="auto"/>
            <w:vAlign w:val="center"/>
          </w:tcPr>
          <w:p w14:paraId="7DE4D36E">
            <w:pPr>
              <w:widowControl/>
              <w:snapToGrid w:val="0"/>
              <w:spacing w:line="240" w:lineRule="atLeast"/>
              <w:ind w:firstLine="0" w:firstLineChars="0"/>
              <w:jc w:val="center"/>
              <w:rPr>
                <w:kern w:val="0"/>
                <w:sz w:val="21"/>
                <w:szCs w:val="21"/>
                <w:highlight w:val="black"/>
              </w:rPr>
            </w:pPr>
            <w:r>
              <w:rPr>
                <w:kern w:val="0"/>
                <w:sz w:val="21"/>
                <w:szCs w:val="21"/>
                <w:highlight w:val="black"/>
              </w:rPr>
              <w:t>245.9</w:t>
            </w:r>
          </w:p>
        </w:tc>
        <w:tc>
          <w:tcPr>
            <w:tcW w:w="1326" w:type="dxa"/>
            <w:tcBorders>
              <w:tl2br w:val="nil"/>
              <w:tr2bl w:val="nil"/>
            </w:tcBorders>
            <w:shd w:val="clear" w:color="auto" w:fill="auto"/>
            <w:vAlign w:val="center"/>
          </w:tcPr>
          <w:p w14:paraId="4E900F62">
            <w:pPr>
              <w:widowControl/>
              <w:snapToGrid w:val="0"/>
              <w:spacing w:line="240" w:lineRule="atLeast"/>
              <w:ind w:firstLine="0" w:firstLineChars="0"/>
              <w:jc w:val="left"/>
              <w:rPr>
                <w:kern w:val="0"/>
                <w:sz w:val="21"/>
                <w:szCs w:val="21"/>
                <w:highlight w:val="black"/>
              </w:rPr>
            </w:pPr>
            <w:r>
              <w:rPr>
                <w:kern w:val="0"/>
                <w:sz w:val="21"/>
                <w:szCs w:val="21"/>
                <w:highlight w:val="black"/>
              </w:rPr>
              <w:t>　</w:t>
            </w:r>
          </w:p>
        </w:tc>
      </w:tr>
    </w:tbl>
    <w:p w14:paraId="44B1D796">
      <w:pPr>
        <w:ind w:firstLine="560"/>
        <w:rPr>
          <w:highlight w:val="black"/>
        </w:rPr>
      </w:pPr>
    </w:p>
    <w:p w14:paraId="75A86FC7">
      <w:pPr>
        <w:ind w:firstLine="560"/>
        <w:rPr>
          <w:highlight w:val="black"/>
        </w:rPr>
      </w:pPr>
    </w:p>
    <w:p w14:paraId="59D520C6">
      <w:pPr>
        <w:pStyle w:val="7"/>
        <w:ind w:firstLine="560"/>
        <w:rPr>
          <w:highlight w:val="black"/>
        </w:rPr>
      </w:pPr>
    </w:p>
    <w:p w14:paraId="605732F4">
      <w:pPr>
        <w:ind w:firstLine="560"/>
        <w:rPr>
          <w:highlight w:val="black"/>
        </w:rPr>
      </w:pPr>
    </w:p>
    <w:p w14:paraId="0C4AB17B">
      <w:pPr>
        <w:ind w:firstLine="560"/>
        <w:rPr>
          <w:highlight w:val="black"/>
        </w:rPr>
      </w:pPr>
    </w:p>
    <w:p w14:paraId="2887724F">
      <w:pPr>
        <w:ind w:firstLine="560"/>
        <w:rPr>
          <w:highlight w:val="black"/>
        </w:rPr>
      </w:pPr>
    </w:p>
    <w:p w14:paraId="6F390422">
      <w:pPr>
        <w:ind w:firstLine="560"/>
        <w:rPr>
          <w:highlight w:val="black"/>
        </w:rPr>
      </w:pPr>
    </w:p>
    <w:p w14:paraId="79607878">
      <w:pPr>
        <w:pStyle w:val="24"/>
        <w:ind w:firstLine="560"/>
        <w:rPr>
          <w:highlight w:val="black"/>
        </w:rPr>
      </w:pPr>
    </w:p>
    <w:p w14:paraId="04FA97FF">
      <w:pPr>
        <w:ind w:firstLine="560"/>
        <w:rPr>
          <w:highlight w:val="black"/>
        </w:rPr>
      </w:pPr>
    </w:p>
    <w:p w14:paraId="1CA5C39E">
      <w:pPr>
        <w:pStyle w:val="24"/>
        <w:ind w:firstLine="560"/>
        <w:rPr>
          <w:highlight w:val="black"/>
        </w:rPr>
      </w:pPr>
    </w:p>
    <w:p w14:paraId="1E4E3DCC">
      <w:pPr>
        <w:ind w:firstLine="560"/>
        <w:rPr>
          <w:highlight w:val="black"/>
        </w:rPr>
      </w:pPr>
    </w:p>
    <w:p w14:paraId="3AA573D5">
      <w:pPr>
        <w:pStyle w:val="24"/>
        <w:ind w:firstLine="560"/>
        <w:rPr>
          <w:highlight w:val="black"/>
        </w:rPr>
      </w:pPr>
    </w:p>
    <w:p w14:paraId="7859791C">
      <w:pPr>
        <w:ind w:firstLine="560"/>
        <w:rPr>
          <w:highlight w:val="black"/>
        </w:rPr>
      </w:pPr>
    </w:p>
    <w:p w14:paraId="1B8812FF">
      <w:pPr>
        <w:pStyle w:val="7"/>
        <w:ind w:firstLine="560"/>
        <w:rPr>
          <w:highlight w:val="black"/>
        </w:rPr>
      </w:pPr>
    </w:p>
    <w:p w14:paraId="4E4D82CC">
      <w:pPr>
        <w:ind w:firstLine="560"/>
        <w:rPr>
          <w:highlight w:val="black"/>
        </w:rPr>
      </w:pPr>
    </w:p>
    <w:p w14:paraId="0E9FB4DD">
      <w:pPr>
        <w:pStyle w:val="7"/>
        <w:ind w:firstLine="560"/>
        <w:rPr>
          <w:highlight w:val="black"/>
        </w:rPr>
      </w:pPr>
    </w:p>
    <w:p w14:paraId="1FEA3337">
      <w:pPr>
        <w:ind w:firstLine="560"/>
        <w:rPr>
          <w:highlight w:val="black"/>
        </w:rPr>
      </w:pPr>
    </w:p>
    <w:p w14:paraId="76BB8FE8">
      <w:pPr>
        <w:pStyle w:val="7"/>
        <w:ind w:firstLine="560"/>
        <w:rPr>
          <w:highlight w:val="black"/>
        </w:rPr>
      </w:pPr>
    </w:p>
    <w:p w14:paraId="148CA9B3">
      <w:pPr>
        <w:pStyle w:val="2"/>
        <w:numPr>
          <w:ilvl w:val="0"/>
          <w:numId w:val="0"/>
        </w:numPr>
        <w:jc w:val="center"/>
      </w:pPr>
      <w:bookmarkStart w:id="235" w:name="_Toc28082"/>
      <w:bookmarkStart w:id="236" w:name="_Toc269"/>
      <w:r>
        <w:rPr>
          <w:rFonts w:hint="eastAsia"/>
        </w:rPr>
        <w:t>第三章 定性定量评价</w:t>
      </w:r>
      <w:bookmarkEnd w:id="235"/>
      <w:bookmarkEnd w:id="236"/>
    </w:p>
    <w:p w14:paraId="7356F996">
      <w:pPr>
        <w:pStyle w:val="3"/>
        <w:ind w:firstLine="0" w:firstLineChars="0"/>
      </w:pPr>
      <w:bookmarkStart w:id="237" w:name="_Toc32202"/>
      <w:r>
        <w:t>3.1</w:t>
      </w:r>
      <w:r>
        <w:rPr>
          <w:rFonts w:hint="eastAsia"/>
        </w:rPr>
        <w:t xml:space="preserve"> </w:t>
      </w:r>
      <w:r>
        <w:t>总平面布置单元</w:t>
      </w:r>
      <w:bookmarkEnd w:id="237"/>
    </w:p>
    <w:p w14:paraId="6AB1ED38">
      <w:pPr>
        <w:pStyle w:val="4"/>
        <w:ind w:firstLine="0" w:firstLineChars="0"/>
      </w:pPr>
      <w:bookmarkStart w:id="238" w:name="_Toc528054796"/>
      <w:bookmarkStart w:id="239" w:name="_Toc4421"/>
      <w:bookmarkStart w:id="240" w:name="_Toc25712"/>
      <w:bookmarkStart w:id="241" w:name="_Toc8827"/>
      <w:bookmarkStart w:id="242" w:name="_Toc527215713"/>
      <w:bookmarkStart w:id="243" w:name="_Toc357087082"/>
      <w:bookmarkStart w:id="244" w:name="_Toc521486431"/>
      <w:bookmarkStart w:id="245" w:name="_Toc6434"/>
      <w:bookmarkStart w:id="246" w:name="_Toc367177253"/>
      <w:bookmarkStart w:id="247" w:name="_Toc352424821"/>
      <w:bookmarkStart w:id="248" w:name="_Toc7141"/>
      <w:bookmarkStart w:id="249" w:name="_Toc13141"/>
      <w:bookmarkStart w:id="250" w:name="_Toc26767"/>
      <w:bookmarkStart w:id="251" w:name="_Toc520348713"/>
      <w:bookmarkStart w:id="252" w:name="_Toc454915726"/>
      <w:bookmarkStart w:id="253" w:name="_Toc352424822"/>
      <w:r>
        <w:rPr>
          <w:rFonts w:hint="eastAsia"/>
        </w:rPr>
        <w:t>3.1.1 安全检查表法评价</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6E675C1">
      <w:pPr>
        <w:ind w:firstLine="560"/>
      </w:pPr>
      <w:r>
        <w:t>使用安全检查表法对总平面布置单元进行安全评价，见表3-1。</w:t>
      </w:r>
    </w:p>
    <w:p w14:paraId="124042FC">
      <w:pPr>
        <w:spacing w:line="480" w:lineRule="exact"/>
        <w:ind w:firstLine="0" w:firstLineChars="0"/>
        <w:jc w:val="center"/>
        <w:rPr>
          <w:sz w:val="21"/>
          <w:szCs w:val="21"/>
        </w:rPr>
      </w:pPr>
      <w:r>
        <w:rPr>
          <w:rFonts w:ascii="宋体" w:hAnsi="宋体"/>
          <w:b/>
          <w:bCs/>
          <w:sz w:val="21"/>
          <w:szCs w:val="21"/>
        </w:rPr>
        <w:t>表3-1</w:t>
      </w:r>
      <w:r>
        <w:rPr>
          <w:rFonts w:hint="eastAsia" w:ascii="宋体" w:hAnsi="宋体"/>
          <w:b/>
          <w:bCs/>
          <w:sz w:val="21"/>
          <w:szCs w:val="21"/>
        </w:rPr>
        <w:t xml:space="preserve">  </w:t>
      </w:r>
      <w:r>
        <w:rPr>
          <w:rFonts w:ascii="宋体" w:hAnsi="宋体"/>
          <w:b/>
          <w:bCs/>
          <w:sz w:val="21"/>
          <w:szCs w:val="21"/>
        </w:rPr>
        <w:t>总平面布置安全检查表</w:t>
      </w:r>
    </w:p>
    <w:tbl>
      <w:tblPr>
        <w:tblStyle w:val="25"/>
        <w:tblW w:w="94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4"/>
        <w:gridCol w:w="3134"/>
        <w:gridCol w:w="2224"/>
        <w:gridCol w:w="2838"/>
        <w:gridCol w:w="661"/>
      </w:tblGrid>
      <w:tr w14:paraId="6D7ED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44" w:type="dxa"/>
            <w:tcBorders>
              <w:tl2br w:val="nil"/>
              <w:tr2bl w:val="nil"/>
            </w:tcBorders>
            <w:vAlign w:val="center"/>
          </w:tcPr>
          <w:p w14:paraId="4656772B">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序号</w:t>
            </w:r>
          </w:p>
        </w:tc>
        <w:tc>
          <w:tcPr>
            <w:tcW w:w="3134" w:type="dxa"/>
            <w:tcBorders>
              <w:tl2br w:val="nil"/>
              <w:tr2bl w:val="nil"/>
            </w:tcBorders>
            <w:vAlign w:val="center"/>
          </w:tcPr>
          <w:p w14:paraId="7E267A3E">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检查内容</w:t>
            </w:r>
          </w:p>
        </w:tc>
        <w:tc>
          <w:tcPr>
            <w:tcW w:w="2224" w:type="dxa"/>
            <w:tcBorders>
              <w:tl2br w:val="nil"/>
              <w:tr2bl w:val="nil"/>
            </w:tcBorders>
            <w:vAlign w:val="center"/>
          </w:tcPr>
          <w:p w14:paraId="252CA39F">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评价依据</w:t>
            </w:r>
          </w:p>
        </w:tc>
        <w:tc>
          <w:tcPr>
            <w:tcW w:w="2838" w:type="dxa"/>
            <w:tcBorders>
              <w:tl2br w:val="nil"/>
              <w:tr2bl w:val="nil"/>
            </w:tcBorders>
            <w:vAlign w:val="center"/>
          </w:tcPr>
          <w:p w14:paraId="3C8DD16B">
            <w:pPr>
              <w:ind w:firstLine="0" w:firstLineChars="0"/>
              <w:jc w:val="center"/>
              <w:rPr>
                <w:rFonts w:ascii="宋体" w:hAnsi="宋体" w:cs="宋体"/>
                <w:b/>
                <w:bCs/>
                <w:color w:val="000000"/>
                <w:sz w:val="21"/>
                <w:szCs w:val="21"/>
                <w:highlight w:val="black"/>
              </w:rPr>
            </w:pPr>
            <w:r>
              <w:rPr>
                <w:rFonts w:hint="eastAsia"/>
                <w:b/>
                <w:bCs/>
                <w:sz w:val="21"/>
                <w:szCs w:val="21"/>
                <w:highlight w:val="black"/>
              </w:rPr>
              <w:t>《可研报告》提出</w:t>
            </w:r>
          </w:p>
        </w:tc>
        <w:tc>
          <w:tcPr>
            <w:tcW w:w="661" w:type="dxa"/>
            <w:tcBorders>
              <w:tl2br w:val="nil"/>
              <w:tr2bl w:val="nil"/>
            </w:tcBorders>
            <w:vAlign w:val="center"/>
          </w:tcPr>
          <w:p w14:paraId="27A7DABA">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检查结果</w:t>
            </w:r>
          </w:p>
        </w:tc>
      </w:tr>
      <w:tr w14:paraId="00EB5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tcBorders>
              <w:tl2br w:val="nil"/>
              <w:tr2bl w:val="nil"/>
            </w:tcBorders>
            <w:vAlign w:val="center"/>
          </w:tcPr>
          <w:p w14:paraId="3628CEB3">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134" w:type="dxa"/>
            <w:tcBorders>
              <w:tl2br w:val="nil"/>
              <w:tr2bl w:val="nil"/>
            </w:tcBorders>
            <w:vAlign w:val="center"/>
          </w:tcPr>
          <w:p w14:paraId="568E87F6">
            <w:pPr>
              <w:spacing w:before="62" w:beforeLines="20" w:after="62" w:afterLines="20"/>
              <w:ind w:firstLine="0" w:firstLineChars="0"/>
              <w:rPr>
                <w:sz w:val="21"/>
                <w:szCs w:val="21"/>
                <w:highlight w:val="black"/>
              </w:rPr>
            </w:pPr>
            <w:r>
              <w:rPr>
                <w:rFonts w:hint="eastAsia"/>
                <w:sz w:val="21"/>
                <w:szCs w:val="21"/>
                <w:highlight w:val="black"/>
              </w:rPr>
              <w:t>厂址应具有满足生产、生活及发展规划所必需的水源和电源，且用水、用电量特别大的工业企业，宜靠近水源、电源。</w:t>
            </w:r>
          </w:p>
        </w:tc>
        <w:tc>
          <w:tcPr>
            <w:tcW w:w="2224" w:type="dxa"/>
            <w:tcBorders>
              <w:tl2br w:val="nil"/>
              <w:tr2bl w:val="nil"/>
            </w:tcBorders>
            <w:vAlign w:val="center"/>
          </w:tcPr>
          <w:p w14:paraId="3502C787">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《工业企业总平面设计规范》</w:t>
            </w:r>
          </w:p>
          <w:p w14:paraId="46AD53BE">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(GB50187-2012)</w:t>
            </w:r>
          </w:p>
          <w:p w14:paraId="027287BA">
            <w:pPr>
              <w:ind w:firstLine="0" w:firstLineChars="0"/>
              <w:jc w:val="center"/>
              <w:rPr>
                <w:rFonts w:ascii="宋体" w:hAnsi="宋体" w:cs="宋体"/>
                <w:color w:val="000000"/>
                <w:sz w:val="21"/>
                <w:szCs w:val="21"/>
                <w:highlight w:val="black"/>
              </w:rPr>
            </w:pPr>
            <w:r>
              <w:rPr>
                <w:rFonts w:hint="eastAsia" w:ascii="宋体" w:hAnsi="宋体" w:cs="宋体"/>
                <w:kern w:val="0"/>
                <w:sz w:val="21"/>
                <w:szCs w:val="21"/>
                <w:highlight w:val="black"/>
              </w:rPr>
              <w:t>第3.0.6条</w:t>
            </w:r>
          </w:p>
        </w:tc>
        <w:tc>
          <w:tcPr>
            <w:tcW w:w="2838" w:type="dxa"/>
            <w:tcBorders>
              <w:tl2br w:val="nil"/>
              <w:tr2bl w:val="nil"/>
            </w:tcBorders>
            <w:vAlign w:val="center"/>
          </w:tcPr>
          <w:p w14:paraId="7ECDAD07">
            <w:pPr>
              <w:spacing w:before="62" w:beforeLines="20" w:after="62" w:afterLines="20"/>
              <w:ind w:firstLine="0" w:firstLineChars="0"/>
              <w:rPr>
                <w:rFonts w:ascii="宋体" w:hAnsi="宋体" w:cs="宋体"/>
                <w:color w:val="000000"/>
                <w:sz w:val="21"/>
                <w:szCs w:val="21"/>
                <w:highlight w:val="black"/>
              </w:rPr>
            </w:pPr>
            <w:r>
              <w:rPr>
                <w:rFonts w:hint="eastAsia"/>
                <w:sz w:val="21"/>
                <w:szCs w:val="21"/>
                <w:highlight w:val="black"/>
              </w:rPr>
              <w:t>《可研报告》</w:t>
            </w:r>
            <w:r>
              <w:rPr>
                <w:rFonts w:hint="eastAsia" w:ascii="宋体" w:hAnsi="宋体" w:cs="宋体"/>
                <w:color w:val="000000"/>
                <w:sz w:val="21"/>
                <w:szCs w:val="21"/>
                <w:highlight w:val="black"/>
              </w:rPr>
              <w:t>确定，该项目具有满足生产、生活及发展规划所必需的水源和电源。</w:t>
            </w:r>
          </w:p>
        </w:tc>
        <w:tc>
          <w:tcPr>
            <w:tcW w:w="661" w:type="dxa"/>
            <w:tcBorders>
              <w:tl2br w:val="nil"/>
              <w:tr2bl w:val="nil"/>
            </w:tcBorders>
            <w:vAlign w:val="center"/>
          </w:tcPr>
          <w:p w14:paraId="3373EA2B">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1A64E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tcBorders>
              <w:tl2br w:val="nil"/>
              <w:tr2bl w:val="nil"/>
            </w:tcBorders>
            <w:vAlign w:val="center"/>
          </w:tcPr>
          <w:p w14:paraId="5EA2B28E">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2</w:t>
            </w:r>
          </w:p>
        </w:tc>
        <w:tc>
          <w:tcPr>
            <w:tcW w:w="3134" w:type="dxa"/>
            <w:tcBorders>
              <w:tl2br w:val="nil"/>
              <w:tr2bl w:val="nil"/>
            </w:tcBorders>
            <w:vAlign w:val="center"/>
          </w:tcPr>
          <w:p w14:paraId="22A8D29F">
            <w:pPr>
              <w:spacing w:before="62" w:beforeLines="20" w:after="62" w:afterLines="20"/>
              <w:ind w:firstLine="0" w:firstLineChars="0"/>
              <w:rPr>
                <w:sz w:val="21"/>
                <w:szCs w:val="21"/>
                <w:highlight w:val="black"/>
              </w:rPr>
            </w:pPr>
            <w:r>
              <w:rPr>
                <w:rFonts w:hint="eastAsia"/>
                <w:sz w:val="21"/>
                <w:szCs w:val="21"/>
                <w:highlight w:val="black"/>
              </w:rPr>
              <w:t>厂址应有便利和经济的交通运输条件，与厂外铁路、公路的连接，应便捷、 工程量小。</w:t>
            </w:r>
          </w:p>
        </w:tc>
        <w:tc>
          <w:tcPr>
            <w:tcW w:w="2224" w:type="dxa"/>
            <w:tcBorders>
              <w:tl2br w:val="nil"/>
              <w:tr2bl w:val="nil"/>
            </w:tcBorders>
            <w:vAlign w:val="center"/>
          </w:tcPr>
          <w:p w14:paraId="41A4E55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《工业企业总平面设计规范》</w:t>
            </w:r>
          </w:p>
          <w:p w14:paraId="6DFE402C">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(GB50187-2012)</w:t>
            </w:r>
          </w:p>
          <w:p w14:paraId="4DF0B977">
            <w:pPr>
              <w:ind w:firstLine="0" w:firstLineChars="0"/>
              <w:jc w:val="center"/>
              <w:rPr>
                <w:rFonts w:ascii="宋体" w:hAnsi="宋体" w:cs="宋体"/>
                <w:color w:val="000000"/>
                <w:sz w:val="21"/>
                <w:szCs w:val="21"/>
                <w:highlight w:val="black"/>
              </w:rPr>
            </w:pPr>
            <w:r>
              <w:rPr>
                <w:rFonts w:hint="eastAsia" w:ascii="宋体" w:hAnsi="宋体" w:cs="宋体"/>
                <w:kern w:val="0"/>
                <w:sz w:val="21"/>
                <w:szCs w:val="21"/>
                <w:highlight w:val="black"/>
              </w:rPr>
              <w:t>第3.0.5条</w:t>
            </w:r>
          </w:p>
        </w:tc>
        <w:tc>
          <w:tcPr>
            <w:tcW w:w="2838" w:type="dxa"/>
            <w:tcBorders>
              <w:tl2br w:val="nil"/>
              <w:tr2bl w:val="nil"/>
            </w:tcBorders>
            <w:vAlign w:val="center"/>
          </w:tcPr>
          <w:p w14:paraId="2707F036">
            <w:pPr>
              <w:spacing w:before="62" w:beforeLines="20" w:after="62" w:afterLines="20"/>
              <w:ind w:firstLine="0" w:firstLineChars="0"/>
              <w:rPr>
                <w:rFonts w:ascii="宋体" w:hAnsi="宋体" w:cs="宋体"/>
                <w:color w:val="000000"/>
                <w:sz w:val="21"/>
                <w:szCs w:val="21"/>
                <w:highlight w:val="black"/>
              </w:rPr>
            </w:pPr>
            <w:r>
              <w:rPr>
                <w:rFonts w:hint="eastAsia"/>
                <w:sz w:val="21"/>
                <w:szCs w:val="21"/>
                <w:highlight w:val="black"/>
              </w:rPr>
              <w:t>《可研报告》确定，矿区处在本溪市区北西方向，距本溪市约27km，距石桥子火车站北西方向直距1.1km。G1113丹阜高速以及G304国道从矿区东部通过。区内有乡级公路相连，交通便利。</w:t>
            </w:r>
          </w:p>
        </w:tc>
        <w:tc>
          <w:tcPr>
            <w:tcW w:w="661" w:type="dxa"/>
            <w:tcBorders>
              <w:tl2br w:val="nil"/>
              <w:tr2bl w:val="nil"/>
            </w:tcBorders>
            <w:vAlign w:val="center"/>
          </w:tcPr>
          <w:p w14:paraId="7697034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3EA0A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tcBorders>
              <w:tl2br w:val="nil"/>
              <w:tr2bl w:val="nil"/>
            </w:tcBorders>
            <w:vAlign w:val="center"/>
          </w:tcPr>
          <w:p w14:paraId="2CA380E0">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3</w:t>
            </w:r>
          </w:p>
        </w:tc>
        <w:tc>
          <w:tcPr>
            <w:tcW w:w="3134" w:type="dxa"/>
            <w:tcBorders>
              <w:tl2br w:val="nil"/>
              <w:tr2bl w:val="nil"/>
            </w:tcBorders>
            <w:vAlign w:val="center"/>
          </w:tcPr>
          <w:p w14:paraId="1793E90B">
            <w:pPr>
              <w:spacing w:before="62" w:beforeLines="20" w:after="62" w:afterLines="20"/>
              <w:ind w:firstLine="0" w:firstLineChars="0"/>
              <w:rPr>
                <w:sz w:val="21"/>
                <w:szCs w:val="21"/>
                <w:highlight w:val="black"/>
              </w:rPr>
            </w:pPr>
            <w:r>
              <w:rPr>
                <w:rFonts w:hint="eastAsia"/>
                <w:sz w:val="21"/>
                <w:szCs w:val="21"/>
                <w:highlight w:val="black"/>
              </w:rPr>
              <w:t>厂址应具有满足建设工程需要的工程地质条件和水文地质条件。</w:t>
            </w:r>
          </w:p>
        </w:tc>
        <w:tc>
          <w:tcPr>
            <w:tcW w:w="2224" w:type="dxa"/>
            <w:tcBorders>
              <w:tl2br w:val="nil"/>
              <w:tr2bl w:val="nil"/>
            </w:tcBorders>
            <w:vAlign w:val="center"/>
          </w:tcPr>
          <w:p w14:paraId="20601268">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《工业企业总平面设计规范》</w:t>
            </w:r>
          </w:p>
          <w:p w14:paraId="20AED73B">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(GB50187-2012)</w:t>
            </w:r>
          </w:p>
          <w:p w14:paraId="6E83B5CB">
            <w:pPr>
              <w:ind w:firstLine="0" w:firstLineChars="0"/>
              <w:jc w:val="center"/>
              <w:rPr>
                <w:rFonts w:ascii="宋体" w:hAnsi="宋体" w:cs="宋体"/>
                <w:color w:val="000000"/>
                <w:sz w:val="21"/>
                <w:szCs w:val="21"/>
                <w:highlight w:val="black"/>
              </w:rPr>
            </w:pPr>
            <w:r>
              <w:rPr>
                <w:rFonts w:hint="eastAsia" w:ascii="宋体" w:hAnsi="宋体" w:cs="宋体"/>
                <w:kern w:val="0"/>
                <w:sz w:val="21"/>
                <w:szCs w:val="21"/>
                <w:highlight w:val="black"/>
              </w:rPr>
              <w:t>第3.0.8条</w:t>
            </w:r>
          </w:p>
        </w:tc>
        <w:tc>
          <w:tcPr>
            <w:tcW w:w="2838" w:type="dxa"/>
            <w:tcBorders>
              <w:tl2br w:val="nil"/>
              <w:tr2bl w:val="nil"/>
            </w:tcBorders>
            <w:vAlign w:val="center"/>
          </w:tcPr>
          <w:p w14:paraId="4DE211E6">
            <w:pPr>
              <w:spacing w:before="62" w:beforeLines="20" w:after="62" w:afterLines="20"/>
              <w:ind w:firstLine="0" w:firstLineChars="0"/>
              <w:rPr>
                <w:sz w:val="21"/>
                <w:szCs w:val="21"/>
                <w:highlight w:val="black"/>
              </w:rPr>
            </w:pPr>
            <w:r>
              <w:rPr>
                <w:rFonts w:hint="eastAsia"/>
                <w:sz w:val="21"/>
                <w:szCs w:val="21"/>
                <w:highlight w:val="black"/>
              </w:rPr>
              <w:t>《可研报告》确定，该项目满足建设工程需要的工程地质条件和水文地质条件。</w:t>
            </w:r>
          </w:p>
        </w:tc>
        <w:tc>
          <w:tcPr>
            <w:tcW w:w="661" w:type="dxa"/>
            <w:tcBorders>
              <w:tl2br w:val="nil"/>
              <w:tr2bl w:val="nil"/>
            </w:tcBorders>
            <w:vAlign w:val="center"/>
          </w:tcPr>
          <w:p w14:paraId="74D586C8">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6BB27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tcBorders>
              <w:tl2br w:val="nil"/>
              <w:tr2bl w:val="nil"/>
            </w:tcBorders>
            <w:vAlign w:val="center"/>
          </w:tcPr>
          <w:p w14:paraId="34EEAF1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4</w:t>
            </w:r>
          </w:p>
        </w:tc>
        <w:tc>
          <w:tcPr>
            <w:tcW w:w="3134" w:type="dxa"/>
            <w:tcBorders>
              <w:tl2br w:val="nil"/>
              <w:tr2bl w:val="nil"/>
            </w:tcBorders>
            <w:vAlign w:val="center"/>
          </w:tcPr>
          <w:p w14:paraId="43BF7206">
            <w:pPr>
              <w:spacing w:before="62" w:beforeLines="20" w:after="62" w:afterLines="20"/>
              <w:ind w:firstLine="0" w:firstLineChars="0"/>
              <w:rPr>
                <w:sz w:val="21"/>
                <w:szCs w:val="21"/>
                <w:highlight w:val="black"/>
              </w:rPr>
            </w:pPr>
            <w:r>
              <w:rPr>
                <w:rFonts w:hint="eastAsia"/>
                <w:sz w:val="21"/>
                <w:szCs w:val="21"/>
                <w:highlight w:val="black"/>
              </w:rPr>
              <w:t>厂址应位于不受洪水、潮水或内涝威胁的地带，并应符合下列规定：</w:t>
            </w:r>
          </w:p>
          <w:p w14:paraId="22862F44">
            <w:pPr>
              <w:spacing w:before="62" w:beforeLines="20" w:after="62" w:afterLines="20"/>
              <w:ind w:firstLine="0" w:firstLineChars="0"/>
              <w:rPr>
                <w:sz w:val="21"/>
                <w:szCs w:val="21"/>
                <w:highlight w:val="black"/>
              </w:rPr>
            </w:pPr>
            <w:r>
              <w:rPr>
                <w:rFonts w:hint="eastAsia"/>
                <w:sz w:val="21"/>
                <w:szCs w:val="21"/>
                <w:highlight w:val="black"/>
              </w:rPr>
              <w:t>1 当厂址不可避免不受洪水、潮水或内涝威胁的地带时，必须采取防洪、排涝措施；</w:t>
            </w:r>
          </w:p>
          <w:p w14:paraId="10D00A70">
            <w:pPr>
              <w:spacing w:before="62" w:beforeLines="20" w:after="62" w:afterLines="20"/>
              <w:ind w:firstLine="0" w:firstLineChars="0"/>
              <w:rPr>
                <w:sz w:val="21"/>
                <w:szCs w:val="21"/>
                <w:highlight w:val="black"/>
              </w:rPr>
            </w:pPr>
            <w:r>
              <w:rPr>
                <w:rFonts w:hint="eastAsia"/>
                <w:sz w:val="21"/>
                <w:szCs w:val="21"/>
                <w:highlight w:val="black"/>
              </w:rPr>
              <w:t>2凡受江、河、潮、海洪水、潮水或山洪威胁的工业企业，防洪标准应符合现行国家标准《防洪标准》GB50201的有关规定。</w:t>
            </w:r>
          </w:p>
        </w:tc>
        <w:tc>
          <w:tcPr>
            <w:tcW w:w="2224" w:type="dxa"/>
            <w:tcBorders>
              <w:tl2br w:val="nil"/>
              <w:tr2bl w:val="nil"/>
            </w:tcBorders>
            <w:vAlign w:val="center"/>
          </w:tcPr>
          <w:p w14:paraId="182D3026">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《工业企业总平面设计规范》</w:t>
            </w:r>
          </w:p>
          <w:p w14:paraId="189CE3E5">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(GB50187-2012)</w:t>
            </w:r>
          </w:p>
          <w:p w14:paraId="55DF839C">
            <w:pPr>
              <w:ind w:firstLine="0" w:firstLineChars="0"/>
              <w:jc w:val="center"/>
              <w:rPr>
                <w:rFonts w:ascii="宋体" w:hAnsi="宋体" w:cs="宋体"/>
                <w:color w:val="000000"/>
                <w:sz w:val="21"/>
                <w:szCs w:val="21"/>
                <w:highlight w:val="black"/>
              </w:rPr>
            </w:pPr>
            <w:r>
              <w:rPr>
                <w:rFonts w:hint="eastAsia" w:ascii="宋体" w:hAnsi="宋体" w:cs="宋体"/>
                <w:kern w:val="0"/>
                <w:sz w:val="21"/>
                <w:szCs w:val="21"/>
                <w:highlight w:val="black"/>
              </w:rPr>
              <w:t>第3.0.12条</w:t>
            </w:r>
          </w:p>
        </w:tc>
        <w:tc>
          <w:tcPr>
            <w:tcW w:w="2838" w:type="dxa"/>
            <w:tcBorders>
              <w:tl2br w:val="nil"/>
              <w:tr2bl w:val="nil"/>
            </w:tcBorders>
            <w:vAlign w:val="center"/>
          </w:tcPr>
          <w:p w14:paraId="7AC8D315">
            <w:pPr>
              <w:spacing w:before="62" w:beforeLines="20" w:after="62" w:afterLines="20"/>
              <w:ind w:firstLine="0" w:firstLineChars="0"/>
              <w:rPr>
                <w:sz w:val="21"/>
                <w:szCs w:val="21"/>
                <w:highlight w:val="black"/>
              </w:rPr>
            </w:pPr>
            <w:r>
              <w:rPr>
                <w:rFonts w:hint="eastAsia"/>
                <w:sz w:val="21"/>
                <w:szCs w:val="21"/>
                <w:highlight w:val="black"/>
              </w:rPr>
              <w:t>《可研报告》确定，该项目不受洪水、潮水或内涝及江、河、潮、海洪水、潮水或山洪威胁。</w:t>
            </w:r>
          </w:p>
        </w:tc>
        <w:tc>
          <w:tcPr>
            <w:tcW w:w="661" w:type="dxa"/>
            <w:tcBorders>
              <w:tl2br w:val="nil"/>
              <w:tr2bl w:val="nil"/>
            </w:tcBorders>
            <w:vAlign w:val="center"/>
          </w:tcPr>
          <w:p w14:paraId="0556BD8D">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06CA6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tcBorders>
              <w:tl2br w:val="nil"/>
              <w:tr2bl w:val="nil"/>
            </w:tcBorders>
            <w:vAlign w:val="center"/>
          </w:tcPr>
          <w:p w14:paraId="38061F4A">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5</w:t>
            </w:r>
          </w:p>
        </w:tc>
        <w:tc>
          <w:tcPr>
            <w:tcW w:w="3134" w:type="dxa"/>
            <w:tcBorders>
              <w:tl2br w:val="nil"/>
              <w:tr2bl w:val="nil"/>
            </w:tcBorders>
            <w:vAlign w:val="center"/>
          </w:tcPr>
          <w:p w14:paraId="5DEB246F">
            <w:pPr>
              <w:spacing w:before="62" w:beforeLines="20" w:after="62" w:afterLines="20"/>
              <w:ind w:firstLine="0" w:firstLineChars="0"/>
              <w:rPr>
                <w:sz w:val="21"/>
                <w:szCs w:val="21"/>
                <w:highlight w:val="black"/>
              </w:rPr>
            </w:pPr>
            <w:r>
              <w:rPr>
                <w:rFonts w:hint="eastAsia"/>
                <w:sz w:val="21"/>
                <w:szCs w:val="21"/>
                <w:highlight w:val="black"/>
              </w:rPr>
              <w:t>产生高噪声的生产设施，总图宜符合下列要求：</w:t>
            </w:r>
          </w:p>
          <w:p w14:paraId="20E1AC43">
            <w:pPr>
              <w:spacing w:before="62" w:beforeLines="20" w:after="62" w:afterLines="20"/>
              <w:ind w:firstLine="0" w:firstLineChars="0"/>
              <w:rPr>
                <w:sz w:val="21"/>
                <w:szCs w:val="21"/>
                <w:highlight w:val="black"/>
              </w:rPr>
            </w:pPr>
            <w:r>
              <w:rPr>
                <w:rFonts w:hint="eastAsia"/>
                <w:sz w:val="21"/>
                <w:szCs w:val="21"/>
                <w:highlight w:val="black"/>
              </w:rPr>
              <w:t>1）宜相对集中布置在远离人员集中和有安静要求的场所；</w:t>
            </w:r>
          </w:p>
          <w:p w14:paraId="0C9A5C70">
            <w:pPr>
              <w:spacing w:before="62" w:beforeLines="20" w:after="62" w:afterLines="20"/>
              <w:ind w:firstLine="0" w:firstLineChars="0"/>
              <w:rPr>
                <w:sz w:val="21"/>
                <w:szCs w:val="21"/>
                <w:highlight w:val="black"/>
              </w:rPr>
            </w:pPr>
            <w:r>
              <w:rPr>
                <w:rFonts w:hint="eastAsia"/>
                <w:sz w:val="21"/>
                <w:szCs w:val="21"/>
                <w:highlight w:val="black"/>
              </w:rPr>
              <w:t>2）产生高噪声的车间应与低噪声的车间分开布置；</w:t>
            </w:r>
          </w:p>
          <w:p w14:paraId="18D8DCDA">
            <w:pPr>
              <w:spacing w:before="62" w:beforeLines="20" w:after="62" w:afterLines="20"/>
              <w:ind w:firstLine="0" w:firstLineChars="0"/>
              <w:rPr>
                <w:sz w:val="21"/>
                <w:szCs w:val="21"/>
                <w:highlight w:val="black"/>
              </w:rPr>
            </w:pPr>
            <w:r>
              <w:rPr>
                <w:rFonts w:hint="eastAsia"/>
                <w:sz w:val="21"/>
                <w:szCs w:val="21"/>
                <w:highlight w:val="black"/>
              </w:rPr>
              <w:t>3）产生声生产设施的周围宜布置对噪声较不敏感、高大、朝向有利于隔声的 建筑物、构筑物和堆场等；</w:t>
            </w:r>
          </w:p>
          <w:p w14:paraId="529D5875">
            <w:pPr>
              <w:spacing w:before="62" w:beforeLines="20" w:after="62" w:afterLines="20"/>
              <w:ind w:firstLine="0" w:firstLineChars="0"/>
              <w:rPr>
                <w:sz w:val="21"/>
                <w:szCs w:val="21"/>
                <w:highlight w:val="black"/>
              </w:rPr>
            </w:pPr>
            <w:r>
              <w:rPr>
                <w:rFonts w:hint="eastAsia"/>
                <w:sz w:val="21"/>
                <w:szCs w:val="21"/>
                <w:highlight w:val="black"/>
              </w:rPr>
              <w:t>4）产生高噪声的生产设施与相邻设施的防噪声间距，应符合国家现行的有关 噪声卫生防护距离的规定；</w:t>
            </w:r>
          </w:p>
          <w:p w14:paraId="7957625B">
            <w:pPr>
              <w:spacing w:before="62" w:beforeLines="20" w:after="62" w:afterLines="20"/>
              <w:ind w:firstLine="0" w:firstLineChars="0"/>
              <w:rPr>
                <w:sz w:val="21"/>
                <w:szCs w:val="21"/>
                <w:highlight w:val="black"/>
              </w:rPr>
            </w:pPr>
            <w:r>
              <w:rPr>
                <w:rFonts w:hint="eastAsia"/>
                <w:sz w:val="21"/>
                <w:szCs w:val="21"/>
                <w:highlight w:val="black"/>
              </w:rPr>
              <w:t>5）厂区内各类地点及厂界处的噪声限制值和总平面布置中的噪声控制，尚应 符合现行国家标准《工业企业噪声控制设计规范》GBJ 87 的有关规定。</w:t>
            </w:r>
          </w:p>
        </w:tc>
        <w:tc>
          <w:tcPr>
            <w:tcW w:w="2224" w:type="dxa"/>
            <w:tcBorders>
              <w:tl2br w:val="nil"/>
              <w:tr2bl w:val="nil"/>
            </w:tcBorders>
            <w:vAlign w:val="center"/>
          </w:tcPr>
          <w:p w14:paraId="286545CE">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《工业企业总平面设计规范》</w:t>
            </w:r>
          </w:p>
          <w:p w14:paraId="5033B658">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(GB50187-2012)</w:t>
            </w:r>
          </w:p>
          <w:p w14:paraId="6AE724E2">
            <w:pPr>
              <w:ind w:firstLine="0" w:firstLineChars="0"/>
              <w:jc w:val="center"/>
              <w:rPr>
                <w:rFonts w:ascii="宋体" w:hAnsi="宋体" w:cs="宋体"/>
                <w:color w:val="000000"/>
                <w:sz w:val="21"/>
                <w:szCs w:val="21"/>
                <w:highlight w:val="black"/>
              </w:rPr>
            </w:pPr>
            <w:r>
              <w:rPr>
                <w:rFonts w:hint="eastAsia" w:ascii="宋体" w:hAnsi="宋体" w:cs="宋体"/>
                <w:sz w:val="21"/>
                <w:szCs w:val="21"/>
                <w:highlight w:val="black"/>
              </w:rPr>
              <w:t>第5.2.5条</w:t>
            </w:r>
          </w:p>
        </w:tc>
        <w:tc>
          <w:tcPr>
            <w:tcW w:w="2838" w:type="dxa"/>
            <w:tcBorders>
              <w:tl2br w:val="nil"/>
              <w:tr2bl w:val="nil"/>
            </w:tcBorders>
            <w:vAlign w:val="center"/>
          </w:tcPr>
          <w:p w14:paraId="407EE6EA">
            <w:pPr>
              <w:spacing w:before="62" w:beforeLines="20" w:after="62" w:afterLines="20"/>
              <w:ind w:firstLine="0" w:firstLineChars="0"/>
              <w:rPr>
                <w:sz w:val="21"/>
                <w:szCs w:val="21"/>
                <w:highlight w:val="black"/>
              </w:rPr>
            </w:pPr>
            <w:r>
              <w:rPr>
                <w:rFonts w:hint="eastAsia"/>
                <w:sz w:val="21"/>
                <w:szCs w:val="21"/>
                <w:highlight w:val="black"/>
              </w:rPr>
              <w:t>《可研报告》确定，矿山施工、生产运营期噪声源主要为主扇风机、空压机和井下穿孔、爆破、装载、破碎作业。穿孔、爆破、装载、破碎等设备大多在井下较深处作业，其噪声对周围居民基本无影响。</w:t>
            </w:r>
          </w:p>
        </w:tc>
        <w:tc>
          <w:tcPr>
            <w:tcW w:w="661" w:type="dxa"/>
            <w:tcBorders>
              <w:tl2br w:val="nil"/>
              <w:tr2bl w:val="nil"/>
            </w:tcBorders>
            <w:vAlign w:val="center"/>
          </w:tcPr>
          <w:p w14:paraId="5F6D7FBD">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1D583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tcBorders>
              <w:tl2br w:val="nil"/>
              <w:tr2bl w:val="nil"/>
            </w:tcBorders>
            <w:vAlign w:val="center"/>
          </w:tcPr>
          <w:p w14:paraId="1D35B23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6</w:t>
            </w:r>
          </w:p>
        </w:tc>
        <w:tc>
          <w:tcPr>
            <w:tcW w:w="3134" w:type="dxa"/>
            <w:tcBorders>
              <w:tl2br w:val="nil"/>
              <w:tr2bl w:val="nil"/>
            </w:tcBorders>
            <w:vAlign w:val="center"/>
          </w:tcPr>
          <w:p w14:paraId="3001F27F">
            <w:pPr>
              <w:spacing w:before="62" w:beforeLines="20" w:after="62" w:afterLines="20"/>
              <w:ind w:firstLine="0" w:firstLineChars="0"/>
              <w:rPr>
                <w:sz w:val="21"/>
                <w:szCs w:val="21"/>
                <w:highlight w:val="black"/>
              </w:rPr>
            </w:pPr>
            <w:r>
              <w:rPr>
                <w:rFonts w:hint="eastAsia"/>
                <w:sz w:val="21"/>
                <w:szCs w:val="21"/>
                <w:highlight w:val="black"/>
              </w:rPr>
              <w:t>矿山企业的办公区、生活区、工业场地、地面建筑等，不应设在危崖、塌陷区、崩落区，不应设在受 尘毒、污风影响区域内。不应受洪水、泥石流、爆破威胁。</w:t>
            </w:r>
          </w:p>
        </w:tc>
        <w:tc>
          <w:tcPr>
            <w:tcW w:w="2224" w:type="dxa"/>
            <w:tcBorders>
              <w:tl2br w:val="nil"/>
              <w:tr2bl w:val="nil"/>
            </w:tcBorders>
            <w:vAlign w:val="center"/>
          </w:tcPr>
          <w:p w14:paraId="55C0ACCE">
            <w:pPr>
              <w:ind w:firstLine="0" w:firstLineChars="0"/>
              <w:jc w:val="center"/>
              <w:rPr>
                <w:rFonts w:ascii="宋体" w:hAnsi="宋体" w:cs="宋体"/>
                <w:color w:val="000000"/>
                <w:sz w:val="21"/>
                <w:szCs w:val="21"/>
                <w:highlight w:val="black"/>
              </w:rPr>
            </w:pPr>
            <w:r>
              <w:rPr>
                <w:rFonts w:hint="eastAsia" w:ascii="宋体" w:hAnsi="宋体" w:cs="宋体"/>
                <w:sz w:val="21"/>
                <w:szCs w:val="21"/>
                <w:highlight w:val="black"/>
              </w:rPr>
              <w:t>GB16423-2020《金属非金属矿山安全规程》4.6.1</w:t>
            </w:r>
          </w:p>
        </w:tc>
        <w:tc>
          <w:tcPr>
            <w:tcW w:w="2838" w:type="dxa"/>
            <w:tcBorders>
              <w:tl2br w:val="nil"/>
              <w:tr2bl w:val="nil"/>
            </w:tcBorders>
            <w:vAlign w:val="center"/>
          </w:tcPr>
          <w:p w14:paraId="5BB23D4A">
            <w:pPr>
              <w:spacing w:before="62" w:beforeLines="20" w:after="62" w:afterLines="20"/>
              <w:ind w:firstLine="0" w:firstLineChars="0"/>
              <w:rPr>
                <w:sz w:val="21"/>
                <w:szCs w:val="21"/>
                <w:highlight w:val="black"/>
              </w:rPr>
            </w:pPr>
            <w:r>
              <w:rPr>
                <w:rFonts w:hint="eastAsia"/>
                <w:sz w:val="21"/>
                <w:szCs w:val="21"/>
                <w:highlight w:val="black"/>
              </w:rPr>
              <w:t>《可研报告》确定企业的办公区、工业场地、生活区等地面建筑，远离危崖、塌陷、洪水、泥石流、崩落区、尘毒、污风影响范围和爆破危险区。</w:t>
            </w:r>
          </w:p>
        </w:tc>
        <w:tc>
          <w:tcPr>
            <w:tcW w:w="661" w:type="dxa"/>
            <w:tcBorders>
              <w:tl2br w:val="nil"/>
              <w:tr2bl w:val="nil"/>
            </w:tcBorders>
            <w:vAlign w:val="center"/>
          </w:tcPr>
          <w:p w14:paraId="5FE633A5">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bookmarkEnd w:id="252"/>
      <w:bookmarkEnd w:id="253"/>
    </w:tbl>
    <w:p w14:paraId="5BAE724C">
      <w:pPr>
        <w:ind w:firstLine="560"/>
        <w:rPr>
          <w:highlight w:val="black"/>
        </w:rPr>
      </w:pPr>
      <w:bookmarkStart w:id="254" w:name="_Toc194557908"/>
      <w:bookmarkStart w:id="255" w:name="_Toc180734303"/>
      <w:bookmarkStart w:id="256" w:name="_Toc178849952"/>
      <w:bookmarkStart w:id="257" w:name="_Toc169854401"/>
      <w:r>
        <w:rPr>
          <w:highlight w:val="black"/>
        </w:rPr>
        <w:t>由以上检查表分析可知：</w:t>
      </w:r>
      <w:r>
        <w:rPr>
          <w:rFonts w:hint="eastAsia"/>
          <w:highlight w:val="black"/>
        </w:rPr>
        <w:t>《可研报告》已</w:t>
      </w:r>
      <w:r>
        <w:rPr>
          <w:highlight w:val="black"/>
        </w:rPr>
        <w:t>对总平面布置单元中的地表建筑物的布置进行了必要的论证，充分考虑了总平面布置方面潜在的危险有害因素，通过上述检查表检查，</w:t>
      </w:r>
      <w:r>
        <w:rPr>
          <w:rFonts w:hint="eastAsia"/>
          <w:highlight w:val="black"/>
        </w:rPr>
        <w:t>该矿山</w:t>
      </w:r>
      <w:r>
        <w:rPr>
          <w:highlight w:val="black"/>
        </w:rPr>
        <w:t>总平面布置单元符合《工业企业总平面设计规范</w:t>
      </w:r>
      <w:r>
        <w:rPr>
          <w:rFonts w:hint="eastAsia"/>
          <w:highlight w:val="black"/>
        </w:rPr>
        <w:t>》《金属非金属矿山安全规程》</w:t>
      </w:r>
      <w:r>
        <w:rPr>
          <w:highlight w:val="black"/>
        </w:rPr>
        <w:t>等标准的有关规定。</w:t>
      </w:r>
    </w:p>
    <w:bookmarkEnd w:id="254"/>
    <w:bookmarkEnd w:id="255"/>
    <w:bookmarkEnd w:id="256"/>
    <w:bookmarkEnd w:id="257"/>
    <w:p w14:paraId="4E63AA5F">
      <w:pPr>
        <w:pStyle w:val="4"/>
        <w:ind w:firstLine="0" w:firstLineChars="0"/>
        <w:rPr>
          <w:rFonts w:cs="宋体"/>
          <w:color w:val="000000"/>
          <w:kern w:val="0"/>
          <w:szCs w:val="28"/>
        </w:rPr>
      </w:pPr>
      <w:r>
        <w:rPr>
          <w:rFonts w:hint="eastAsia"/>
        </w:rPr>
        <w:t xml:space="preserve">3.1.2 </w:t>
      </w:r>
      <w:r>
        <w:rPr>
          <w:rFonts w:hint="eastAsia" w:cs="宋体"/>
          <w:color w:val="000000"/>
          <w:kern w:val="0"/>
          <w:szCs w:val="28"/>
        </w:rPr>
        <w:t>矿山开采与周边环境的相互影响</w:t>
      </w:r>
    </w:p>
    <w:p w14:paraId="608BD367">
      <w:pPr>
        <w:ind w:firstLine="560"/>
        <w:rPr>
          <w:highlight w:val="black"/>
        </w:rPr>
      </w:pPr>
      <w:r>
        <w:rPr>
          <w:rFonts w:hint="eastAsia"/>
          <w:highlight w:val="black"/>
        </w:rPr>
        <w:t>矿山位于低山丘陵区，根据现场踏勘并参考“天地图”影像资料，矿区周边环境较为简单，矿区东侧、西侧以及北侧均为山地，无任何构筑物，在矿区南侧有S304省道、大柳峪村以及河流。</w:t>
      </w:r>
    </w:p>
    <w:p w14:paraId="6F3A0EE6">
      <w:pPr>
        <w:ind w:firstLine="560"/>
        <w:rPr>
          <w:highlight w:val="black"/>
        </w:rPr>
      </w:pPr>
      <w:r>
        <w:rPr>
          <w:rFonts w:hint="eastAsia"/>
          <w:highlight w:val="black"/>
        </w:rPr>
        <w:t>（1）S304省道</w:t>
      </w:r>
    </w:p>
    <w:p w14:paraId="215A90C2">
      <w:pPr>
        <w:ind w:firstLine="560"/>
        <w:rPr>
          <w:highlight w:val="black"/>
        </w:rPr>
      </w:pPr>
      <w:r>
        <w:rPr>
          <w:rFonts w:hint="eastAsia"/>
          <w:highlight w:val="black"/>
        </w:rPr>
        <w:t>矿区范围南侧外部有S304省道经过，根据《中华人民共和国公路法》《公路安全保护条例》第十七条禁止在下列范围内从事采矿、采石、取土、爆破作业等危及公路、公路桥梁、公路隧道、公路渡口安全的活动。第一小节国道、省道、县道的公路用地外缘起向外100m。因此本次设计省级公路两侧用地外缘起向外100m范围内矿岩留作保护矿柱，本次设计地表岩石移动范围距离S304省道最小距离104m。</w:t>
      </w:r>
    </w:p>
    <w:p w14:paraId="2A70180D">
      <w:pPr>
        <w:ind w:firstLine="560"/>
        <w:rPr>
          <w:highlight w:val="black"/>
        </w:rPr>
      </w:pPr>
      <w:r>
        <w:rPr>
          <w:rFonts w:hint="eastAsia"/>
          <w:highlight w:val="black"/>
        </w:rPr>
        <w:t>在矿区内部有一条已经废弃的“小小线”国道，该道路自矿区西南部进入矿区然后自东北部驶出矿界，该道路目前已经废弃，在废弃道路两端设置有废弃公告已经警示牌。矿山在后期开采过程中应将道路两端进行封闭，并在废弃公路沿线设置警示牌。</w:t>
      </w:r>
    </w:p>
    <w:p w14:paraId="29577FB1">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（2）大柳峪村</w:t>
      </w:r>
    </w:p>
    <w:p w14:paraId="1CCA8265">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对于南侧大柳峪村内民房，均按照地表Ⅰ级保护进行保护，即地表所有建构筑物均位于地表岩石移动界限20m以外。另外通过井下爆破时地表建构筑物的质点运动速度论证矿山开采对其影响。</w:t>
      </w:r>
    </w:p>
    <w:p w14:paraId="1FF90F0C">
      <w:pPr>
        <w:pStyle w:val="7"/>
        <w:ind w:firstLine="0" w:firstLineChars="0"/>
        <w:jc w:val="center"/>
        <w:rPr>
          <w:highlight w:val="black"/>
        </w:rPr>
      </w:pPr>
      <w:r>
        <w:rPr>
          <w:rFonts w:hint="eastAsia"/>
          <w:highlight w:val="black"/>
        </w:rPr>
        <w:drawing>
          <wp:inline distT="0" distB="0" distL="114300" distR="114300">
            <wp:extent cx="5219700" cy="3886200"/>
            <wp:effectExtent l="0" t="0" r="7620" b="0"/>
            <wp:docPr id="14" name="图片 14" descr="174225869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2258692918"/>
                    <pic:cNvPicPr>
                      <a:picLocks noChangeAspect="1"/>
                    </pic:cNvPicPr>
                  </pic:nvPicPr>
                  <pic:blipFill>
                    <a:blip r:embed="rId18"/>
                    <a:stretch>
                      <a:fillRect/>
                    </a:stretch>
                  </pic:blipFill>
                  <pic:spPr>
                    <a:xfrm>
                      <a:off x="0" y="0"/>
                      <a:ext cx="5219700" cy="3886200"/>
                    </a:xfrm>
                    <a:prstGeom prst="rect">
                      <a:avLst/>
                    </a:prstGeom>
                  </pic:spPr>
                </pic:pic>
              </a:graphicData>
            </a:graphic>
          </wp:inline>
        </w:drawing>
      </w:r>
    </w:p>
    <w:p w14:paraId="30C2F53C">
      <w:pPr>
        <w:spacing w:after="120" w:line="240" w:lineRule="auto"/>
        <w:ind w:firstLine="0" w:firstLineChars="0"/>
        <w:jc w:val="center"/>
        <w:rPr>
          <w:b/>
          <w:bCs/>
          <w:sz w:val="21"/>
          <w:szCs w:val="21"/>
          <w:highlight w:val="black"/>
        </w:rPr>
      </w:pPr>
      <w:r>
        <w:rPr>
          <w:b/>
          <w:bCs/>
          <w:sz w:val="21"/>
          <w:szCs w:val="21"/>
          <w:highlight w:val="black"/>
        </w:rPr>
        <w:t>图</w:t>
      </w:r>
      <w:r>
        <w:rPr>
          <w:rFonts w:hint="eastAsia"/>
          <w:b/>
          <w:bCs/>
          <w:sz w:val="21"/>
          <w:szCs w:val="21"/>
          <w:highlight w:val="black"/>
        </w:rPr>
        <w:t>3</w:t>
      </w:r>
      <w:r>
        <w:rPr>
          <w:b/>
          <w:bCs/>
          <w:sz w:val="21"/>
          <w:szCs w:val="21"/>
          <w:highlight w:val="black"/>
        </w:rPr>
        <w:t>-</w:t>
      </w:r>
      <w:r>
        <w:rPr>
          <w:rFonts w:hint="eastAsia"/>
          <w:b/>
          <w:bCs/>
          <w:sz w:val="21"/>
          <w:szCs w:val="21"/>
          <w:highlight w:val="black"/>
        </w:rPr>
        <w:t>1</w:t>
      </w:r>
      <w:r>
        <w:rPr>
          <w:b/>
          <w:bCs/>
          <w:sz w:val="21"/>
          <w:szCs w:val="21"/>
          <w:highlight w:val="black"/>
        </w:rPr>
        <w:t xml:space="preserve"> 矿区范围、</w:t>
      </w:r>
      <w:r>
        <w:rPr>
          <w:rFonts w:hint="eastAsia"/>
          <w:b/>
          <w:bCs/>
          <w:sz w:val="21"/>
          <w:szCs w:val="21"/>
          <w:highlight w:val="black"/>
        </w:rPr>
        <w:t>岩移监测范围</w:t>
      </w:r>
      <w:r>
        <w:rPr>
          <w:b/>
          <w:bCs/>
          <w:sz w:val="21"/>
          <w:szCs w:val="21"/>
          <w:highlight w:val="black"/>
        </w:rPr>
        <w:t>与公路</w:t>
      </w:r>
      <w:r>
        <w:rPr>
          <w:rFonts w:hint="eastAsia"/>
          <w:b/>
          <w:bCs/>
          <w:sz w:val="21"/>
          <w:szCs w:val="21"/>
          <w:highlight w:val="black"/>
        </w:rPr>
        <w:t>、村庄、河流</w:t>
      </w:r>
      <w:r>
        <w:rPr>
          <w:b/>
          <w:bCs/>
          <w:sz w:val="21"/>
          <w:szCs w:val="21"/>
          <w:highlight w:val="black"/>
        </w:rPr>
        <w:t>位置关系示意图</w:t>
      </w:r>
    </w:p>
    <w:p w14:paraId="4246C947">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井下爆破作业最小安全允许距离计算：</w:t>
      </w:r>
    </w:p>
    <w:p w14:paraId="30A47166">
      <w:pPr>
        <w:ind w:firstLine="1680" w:firstLineChars="6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R=(k/v)1/a×q1/m=</w:t>
      </w:r>
      <w:r>
        <w:rPr>
          <w:rFonts w:hint="eastAsia" w:asciiTheme="minorEastAsia" w:hAnsiTheme="minorEastAsia" w:eastAsiaTheme="minorEastAsia" w:cstheme="minorEastAsia"/>
          <w:highlight w:val="black"/>
        </w:rPr>
        <w:object>
          <v:shape id="_x0000_i1059" o:spt="75" type="#_x0000_t75" style="height:37.65pt;width:106.35pt;" o:ole="t" filled="f" o:preferrelative="t" stroked="f" coordsize="21600,21600">
            <v:path/>
            <v:fill on="f" focussize="0,0"/>
            <v:stroke on="f" joinstyle="miter"/>
            <v:imagedata r:id="rId20" o:title=""/>
            <o:lock v:ext="edit" aspectratio="t"/>
            <w10:wrap type="none"/>
            <w10:anchorlock/>
          </v:shape>
          <o:OLEObject Type="Embed" ProgID="Equation.DSMT4" ShapeID="_x0000_i1059" DrawAspect="Content" ObjectID="_1468075758" r:id="rId101">
            <o:LockedField>false</o:LockedField>
          </o:OLEObject>
        </w:object>
      </w:r>
      <w:r>
        <w:rPr>
          <w:rFonts w:hint="eastAsia" w:asciiTheme="minorEastAsia" w:hAnsiTheme="minorEastAsia" w:eastAsiaTheme="minorEastAsia" w:cstheme="minorEastAsia"/>
          <w:highlight w:val="black"/>
        </w:rPr>
        <w:t>m</w:t>
      </w:r>
    </w:p>
    <w:p w14:paraId="2F9F3045">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式中：R—爆破振动安全距离，m；</w:t>
      </w:r>
    </w:p>
    <w:p w14:paraId="090B9538">
      <w:pPr>
        <w:ind w:firstLine="1400"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q—炸药量，延时爆破取最大一段药量，45kg；</w:t>
      </w:r>
    </w:p>
    <w:p w14:paraId="1C684A21">
      <w:pPr>
        <w:ind w:firstLine="1400"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v—保护对象所在地质点振动安全允许速度，按照表2-1中一般民用建筑物2cm/s计算；</w:t>
      </w:r>
    </w:p>
    <w:p w14:paraId="67F0A416">
      <w:pPr>
        <w:ind w:firstLine="1400"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m—炸药系数，取3；</w:t>
      </w:r>
    </w:p>
    <w:p w14:paraId="15D3C081">
      <w:pPr>
        <w:ind w:firstLine="1400" w:firstLineChars="50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k、a—爆破点地形、地质等条件相关系数和衰减系数，按照表2-2选取中硬岩石k取150，a取1.5。</w:t>
      </w:r>
    </w:p>
    <w:p w14:paraId="778CC68A">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设计本矿山井下最大单段爆破药量不超过45kg，此时对于普通民用建构筑物的安全允许距离为63.3m，而井下爆破点距离地表民用建构筑物最近直线距离为110m，故本方案的采爆破对周边民用建构筑物无影响。</w:t>
      </w:r>
    </w:p>
    <w:p w14:paraId="6EA98661">
      <w:pPr>
        <w:spacing w:line="240" w:lineRule="auto"/>
        <w:ind w:firstLine="0" w:firstLineChars="0"/>
        <w:jc w:val="center"/>
        <w:rPr>
          <w:rFonts w:hAnsi="宋体"/>
          <w:b/>
          <w:sz w:val="21"/>
          <w:szCs w:val="21"/>
          <w:highlight w:val="black"/>
        </w:rPr>
      </w:pPr>
      <w:r>
        <w:rPr>
          <w:rFonts w:hint="eastAsia" w:hAnsi="宋体"/>
          <w:b/>
          <w:sz w:val="21"/>
          <w:szCs w:val="21"/>
          <w:highlight w:val="black"/>
        </w:rPr>
        <w:t>表3-2 爆破振动安全允许标准</w:t>
      </w:r>
    </w:p>
    <w:tbl>
      <w:tblPr>
        <w:tblStyle w:val="2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84"/>
        <w:gridCol w:w="3743"/>
        <w:gridCol w:w="1379"/>
        <w:gridCol w:w="1555"/>
        <w:gridCol w:w="1075"/>
      </w:tblGrid>
      <w:tr w14:paraId="5B3EF5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50" w:type="pct"/>
            <w:vMerge w:val="restart"/>
            <w:tcBorders>
              <w:tl2br w:val="nil"/>
              <w:tr2bl w:val="nil"/>
            </w:tcBorders>
            <w:vAlign w:val="center"/>
          </w:tcPr>
          <w:p w14:paraId="789526F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序号</w:t>
            </w:r>
          </w:p>
        </w:tc>
        <w:tc>
          <w:tcPr>
            <w:tcW w:w="2245" w:type="pct"/>
            <w:vMerge w:val="restart"/>
            <w:tcBorders>
              <w:tl2br w:val="nil"/>
              <w:tr2bl w:val="nil"/>
            </w:tcBorders>
            <w:vAlign w:val="center"/>
          </w:tcPr>
          <w:p w14:paraId="0D04584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保护对象类别</w:t>
            </w:r>
          </w:p>
        </w:tc>
        <w:tc>
          <w:tcPr>
            <w:tcW w:w="2405" w:type="pct"/>
            <w:gridSpan w:val="3"/>
            <w:tcBorders>
              <w:tl2br w:val="nil"/>
              <w:tr2bl w:val="nil"/>
            </w:tcBorders>
            <w:vAlign w:val="center"/>
          </w:tcPr>
          <w:p w14:paraId="7ABA619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安全允许质点振动速度V/(cm/s)</w:t>
            </w:r>
          </w:p>
        </w:tc>
      </w:tr>
      <w:tr w14:paraId="6AD5D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50" w:type="pct"/>
            <w:vMerge w:val="continue"/>
            <w:tcBorders>
              <w:tl2br w:val="nil"/>
              <w:tr2bl w:val="nil"/>
            </w:tcBorders>
            <w:vAlign w:val="center"/>
          </w:tcPr>
          <w:p w14:paraId="196EAE05">
            <w:pPr>
              <w:spacing w:line="240" w:lineRule="atLeast"/>
              <w:ind w:firstLine="0" w:firstLineChars="0"/>
              <w:jc w:val="center"/>
              <w:rPr>
                <w:rFonts w:ascii="宋体" w:hAnsi="宋体" w:cs="宋体"/>
                <w:sz w:val="21"/>
                <w:szCs w:val="21"/>
                <w:highlight w:val="black"/>
              </w:rPr>
            </w:pPr>
          </w:p>
        </w:tc>
        <w:tc>
          <w:tcPr>
            <w:tcW w:w="2245" w:type="pct"/>
            <w:vMerge w:val="continue"/>
            <w:tcBorders>
              <w:tl2br w:val="nil"/>
              <w:tr2bl w:val="nil"/>
            </w:tcBorders>
            <w:vAlign w:val="center"/>
          </w:tcPr>
          <w:p w14:paraId="4616AC84">
            <w:pPr>
              <w:spacing w:line="240" w:lineRule="atLeast"/>
              <w:ind w:firstLine="0" w:firstLineChars="0"/>
              <w:jc w:val="center"/>
              <w:rPr>
                <w:rFonts w:ascii="宋体" w:hAnsi="宋体" w:cs="宋体"/>
                <w:sz w:val="21"/>
                <w:szCs w:val="21"/>
                <w:highlight w:val="black"/>
              </w:rPr>
            </w:pPr>
          </w:p>
        </w:tc>
        <w:tc>
          <w:tcPr>
            <w:tcW w:w="827" w:type="pct"/>
            <w:tcBorders>
              <w:tl2br w:val="nil"/>
              <w:tr2bl w:val="nil"/>
            </w:tcBorders>
            <w:vAlign w:val="center"/>
          </w:tcPr>
          <w:p w14:paraId="6EE50E5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f≤10 Hz</w:t>
            </w:r>
          </w:p>
        </w:tc>
        <w:tc>
          <w:tcPr>
            <w:tcW w:w="933" w:type="pct"/>
            <w:tcBorders>
              <w:tl2br w:val="nil"/>
              <w:tr2bl w:val="nil"/>
            </w:tcBorders>
            <w:vAlign w:val="center"/>
          </w:tcPr>
          <w:p w14:paraId="6464A10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10Hz&lt;f≤50Hz</w:t>
            </w:r>
          </w:p>
        </w:tc>
        <w:tc>
          <w:tcPr>
            <w:tcW w:w="645" w:type="pct"/>
            <w:tcBorders>
              <w:tl2br w:val="nil"/>
              <w:tr2bl w:val="nil"/>
            </w:tcBorders>
            <w:vAlign w:val="center"/>
          </w:tcPr>
          <w:p w14:paraId="03839AC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f&gt;50 Hz</w:t>
            </w:r>
          </w:p>
        </w:tc>
      </w:tr>
      <w:tr w14:paraId="5C69B6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29D1006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w:t>
            </w:r>
          </w:p>
        </w:tc>
        <w:tc>
          <w:tcPr>
            <w:tcW w:w="2245" w:type="pct"/>
            <w:tcBorders>
              <w:tl2br w:val="nil"/>
              <w:tr2bl w:val="nil"/>
            </w:tcBorders>
            <w:vAlign w:val="center"/>
          </w:tcPr>
          <w:p w14:paraId="5209C74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土窑洞、土坯房、毛石房屋</w:t>
            </w:r>
          </w:p>
        </w:tc>
        <w:tc>
          <w:tcPr>
            <w:tcW w:w="827" w:type="pct"/>
            <w:tcBorders>
              <w:tl2br w:val="nil"/>
              <w:tr2bl w:val="nil"/>
            </w:tcBorders>
            <w:vAlign w:val="center"/>
          </w:tcPr>
          <w:p w14:paraId="5C2F211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0.15～0.45</w:t>
            </w:r>
          </w:p>
        </w:tc>
        <w:tc>
          <w:tcPr>
            <w:tcW w:w="933" w:type="pct"/>
            <w:tcBorders>
              <w:tl2br w:val="nil"/>
              <w:tr2bl w:val="nil"/>
            </w:tcBorders>
            <w:vAlign w:val="center"/>
          </w:tcPr>
          <w:p w14:paraId="171687C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0.45～0.9</w:t>
            </w:r>
          </w:p>
        </w:tc>
        <w:tc>
          <w:tcPr>
            <w:tcW w:w="645" w:type="pct"/>
            <w:tcBorders>
              <w:tl2br w:val="nil"/>
              <w:tr2bl w:val="nil"/>
            </w:tcBorders>
            <w:vAlign w:val="center"/>
          </w:tcPr>
          <w:p w14:paraId="56642EF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0.9～1.5</w:t>
            </w:r>
          </w:p>
        </w:tc>
      </w:tr>
      <w:tr w14:paraId="0F8AC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5E80D7BD">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w:t>
            </w:r>
          </w:p>
        </w:tc>
        <w:tc>
          <w:tcPr>
            <w:tcW w:w="2245" w:type="pct"/>
            <w:tcBorders>
              <w:tl2br w:val="nil"/>
              <w:tr2bl w:val="nil"/>
            </w:tcBorders>
            <w:vAlign w:val="center"/>
          </w:tcPr>
          <w:p w14:paraId="0FE1537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一般民用建筑物</w:t>
            </w:r>
          </w:p>
        </w:tc>
        <w:tc>
          <w:tcPr>
            <w:tcW w:w="827" w:type="pct"/>
            <w:tcBorders>
              <w:tl2br w:val="nil"/>
              <w:tr2bl w:val="nil"/>
            </w:tcBorders>
            <w:vAlign w:val="center"/>
          </w:tcPr>
          <w:p w14:paraId="524CB67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1.5～2.0</w:t>
            </w:r>
          </w:p>
        </w:tc>
        <w:tc>
          <w:tcPr>
            <w:tcW w:w="933" w:type="pct"/>
            <w:tcBorders>
              <w:tl2br w:val="nil"/>
              <w:tr2bl w:val="nil"/>
            </w:tcBorders>
            <w:vAlign w:val="center"/>
          </w:tcPr>
          <w:p w14:paraId="64015EE1">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2.0～2.5</w:t>
            </w:r>
          </w:p>
        </w:tc>
        <w:tc>
          <w:tcPr>
            <w:tcW w:w="645" w:type="pct"/>
            <w:tcBorders>
              <w:tl2br w:val="nil"/>
              <w:tr2bl w:val="nil"/>
            </w:tcBorders>
            <w:vAlign w:val="center"/>
          </w:tcPr>
          <w:p w14:paraId="23A1C18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2.5～3.0</w:t>
            </w:r>
          </w:p>
        </w:tc>
      </w:tr>
      <w:tr w14:paraId="2AFFB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5A56F78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w:t>
            </w:r>
          </w:p>
        </w:tc>
        <w:tc>
          <w:tcPr>
            <w:tcW w:w="2245" w:type="pct"/>
            <w:tcBorders>
              <w:tl2br w:val="nil"/>
              <w:tr2bl w:val="nil"/>
            </w:tcBorders>
            <w:vAlign w:val="center"/>
          </w:tcPr>
          <w:p w14:paraId="55631C7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工业和商业建筑物</w:t>
            </w:r>
          </w:p>
        </w:tc>
        <w:tc>
          <w:tcPr>
            <w:tcW w:w="827" w:type="pct"/>
            <w:tcBorders>
              <w:tl2br w:val="nil"/>
              <w:tr2bl w:val="nil"/>
            </w:tcBorders>
            <w:vAlign w:val="center"/>
          </w:tcPr>
          <w:p w14:paraId="56479E9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2.5～3.5</w:t>
            </w:r>
          </w:p>
        </w:tc>
        <w:tc>
          <w:tcPr>
            <w:tcW w:w="933" w:type="pct"/>
            <w:tcBorders>
              <w:tl2br w:val="nil"/>
              <w:tr2bl w:val="nil"/>
            </w:tcBorders>
            <w:vAlign w:val="center"/>
          </w:tcPr>
          <w:p w14:paraId="149C5B9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3.5～4.5</w:t>
            </w:r>
          </w:p>
        </w:tc>
        <w:tc>
          <w:tcPr>
            <w:tcW w:w="645" w:type="pct"/>
            <w:tcBorders>
              <w:tl2br w:val="nil"/>
              <w:tr2bl w:val="nil"/>
            </w:tcBorders>
            <w:vAlign w:val="center"/>
          </w:tcPr>
          <w:p w14:paraId="4D720A3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4.2～5.0</w:t>
            </w:r>
          </w:p>
        </w:tc>
      </w:tr>
      <w:tr w14:paraId="28AB6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305B7B9D">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2245" w:type="pct"/>
            <w:tcBorders>
              <w:tl2br w:val="nil"/>
              <w:tr2bl w:val="nil"/>
            </w:tcBorders>
            <w:vAlign w:val="center"/>
          </w:tcPr>
          <w:p w14:paraId="40A2132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一般古建筑与古迹</w:t>
            </w:r>
          </w:p>
        </w:tc>
        <w:tc>
          <w:tcPr>
            <w:tcW w:w="827" w:type="pct"/>
            <w:tcBorders>
              <w:tl2br w:val="nil"/>
              <w:tr2bl w:val="nil"/>
            </w:tcBorders>
            <w:vAlign w:val="center"/>
          </w:tcPr>
          <w:p w14:paraId="24C6505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0.1～0.2</w:t>
            </w:r>
          </w:p>
        </w:tc>
        <w:tc>
          <w:tcPr>
            <w:tcW w:w="933" w:type="pct"/>
            <w:tcBorders>
              <w:tl2br w:val="nil"/>
              <w:tr2bl w:val="nil"/>
            </w:tcBorders>
            <w:vAlign w:val="center"/>
          </w:tcPr>
          <w:p w14:paraId="670596F0">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0.2～0.3</w:t>
            </w:r>
          </w:p>
        </w:tc>
        <w:tc>
          <w:tcPr>
            <w:tcW w:w="645" w:type="pct"/>
            <w:tcBorders>
              <w:tl2br w:val="nil"/>
              <w:tr2bl w:val="nil"/>
            </w:tcBorders>
            <w:vAlign w:val="center"/>
          </w:tcPr>
          <w:p w14:paraId="5C7C53E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0.3～0.5</w:t>
            </w:r>
          </w:p>
        </w:tc>
      </w:tr>
      <w:tr w14:paraId="7E00B9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52E0A74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w:t>
            </w:r>
          </w:p>
        </w:tc>
        <w:tc>
          <w:tcPr>
            <w:tcW w:w="2245" w:type="pct"/>
            <w:tcBorders>
              <w:tl2br w:val="nil"/>
              <w:tr2bl w:val="nil"/>
            </w:tcBorders>
            <w:vAlign w:val="center"/>
          </w:tcPr>
          <w:p w14:paraId="0F7D9BE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运行中的水电站及发电厂中心控制室设备</w:t>
            </w:r>
          </w:p>
        </w:tc>
        <w:tc>
          <w:tcPr>
            <w:tcW w:w="827" w:type="pct"/>
            <w:tcBorders>
              <w:tl2br w:val="nil"/>
              <w:tr2bl w:val="nil"/>
            </w:tcBorders>
            <w:vAlign w:val="center"/>
          </w:tcPr>
          <w:p w14:paraId="60D3536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0.5～0.6</w:t>
            </w:r>
          </w:p>
        </w:tc>
        <w:tc>
          <w:tcPr>
            <w:tcW w:w="933" w:type="pct"/>
            <w:tcBorders>
              <w:tl2br w:val="nil"/>
              <w:tr2bl w:val="nil"/>
            </w:tcBorders>
            <w:vAlign w:val="center"/>
          </w:tcPr>
          <w:p w14:paraId="26333F6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0.6～0.7</w:t>
            </w:r>
          </w:p>
        </w:tc>
        <w:tc>
          <w:tcPr>
            <w:tcW w:w="645" w:type="pct"/>
            <w:tcBorders>
              <w:tl2br w:val="nil"/>
              <w:tr2bl w:val="nil"/>
            </w:tcBorders>
            <w:vAlign w:val="center"/>
          </w:tcPr>
          <w:p w14:paraId="171439F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0.7～0.9</w:t>
            </w:r>
          </w:p>
        </w:tc>
      </w:tr>
      <w:tr w14:paraId="450783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7CEBB8A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6</w:t>
            </w:r>
          </w:p>
        </w:tc>
        <w:tc>
          <w:tcPr>
            <w:tcW w:w="2245" w:type="pct"/>
            <w:tcBorders>
              <w:tl2br w:val="nil"/>
              <w:tr2bl w:val="nil"/>
            </w:tcBorders>
            <w:vAlign w:val="center"/>
          </w:tcPr>
          <w:p w14:paraId="7A18FDF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水工隧洞</w:t>
            </w:r>
          </w:p>
        </w:tc>
        <w:tc>
          <w:tcPr>
            <w:tcW w:w="827" w:type="pct"/>
            <w:tcBorders>
              <w:tl2br w:val="nil"/>
              <w:tr2bl w:val="nil"/>
            </w:tcBorders>
            <w:vAlign w:val="center"/>
          </w:tcPr>
          <w:p w14:paraId="2BD4F32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7～8</w:t>
            </w:r>
          </w:p>
        </w:tc>
        <w:tc>
          <w:tcPr>
            <w:tcW w:w="933" w:type="pct"/>
            <w:tcBorders>
              <w:tl2br w:val="nil"/>
              <w:tr2bl w:val="nil"/>
            </w:tcBorders>
            <w:vAlign w:val="center"/>
          </w:tcPr>
          <w:p w14:paraId="238219E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8～10</w:t>
            </w:r>
          </w:p>
        </w:tc>
        <w:tc>
          <w:tcPr>
            <w:tcW w:w="645" w:type="pct"/>
            <w:tcBorders>
              <w:tl2br w:val="nil"/>
              <w:tr2bl w:val="nil"/>
            </w:tcBorders>
            <w:vAlign w:val="center"/>
          </w:tcPr>
          <w:p w14:paraId="5129A0B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10～15</w:t>
            </w:r>
          </w:p>
        </w:tc>
      </w:tr>
      <w:tr w14:paraId="5B3863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4C59B68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w:t>
            </w:r>
          </w:p>
        </w:tc>
        <w:tc>
          <w:tcPr>
            <w:tcW w:w="2245" w:type="pct"/>
            <w:tcBorders>
              <w:tl2br w:val="nil"/>
              <w:tr2bl w:val="nil"/>
            </w:tcBorders>
            <w:vAlign w:val="center"/>
          </w:tcPr>
          <w:p w14:paraId="28BB662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交通隧道</w:t>
            </w:r>
          </w:p>
        </w:tc>
        <w:tc>
          <w:tcPr>
            <w:tcW w:w="827" w:type="pct"/>
            <w:tcBorders>
              <w:tl2br w:val="nil"/>
              <w:tr2bl w:val="nil"/>
            </w:tcBorders>
            <w:vAlign w:val="center"/>
          </w:tcPr>
          <w:p w14:paraId="384BBB1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10～12</w:t>
            </w:r>
          </w:p>
        </w:tc>
        <w:tc>
          <w:tcPr>
            <w:tcW w:w="933" w:type="pct"/>
            <w:tcBorders>
              <w:tl2br w:val="nil"/>
              <w:tr2bl w:val="nil"/>
            </w:tcBorders>
            <w:vAlign w:val="center"/>
          </w:tcPr>
          <w:p w14:paraId="4C554D0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12～15</w:t>
            </w:r>
          </w:p>
        </w:tc>
        <w:tc>
          <w:tcPr>
            <w:tcW w:w="645" w:type="pct"/>
            <w:tcBorders>
              <w:tl2br w:val="nil"/>
              <w:tr2bl w:val="nil"/>
            </w:tcBorders>
            <w:vAlign w:val="center"/>
          </w:tcPr>
          <w:p w14:paraId="7F78E00E">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15～20</w:t>
            </w:r>
          </w:p>
        </w:tc>
      </w:tr>
      <w:tr w14:paraId="6ABD1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1D3F03EA">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w:t>
            </w:r>
          </w:p>
        </w:tc>
        <w:tc>
          <w:tcPr>
            <w:tcW w:w="2245" w:type="pct"/>
            <w:tcBorders>
              <w:tl2br w:val="nil"/>
              <w:tr2bl w:val="nil"/>
            </w:tcBorders>
            <w:vAlign w:val="center"/>
          </w:tcPr>
          <w:p w14:paraId="1585DA36">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矿山巷道</w:t>
            </w:r>
          </w:p>
        </w:tc>
        <w:tc>
          <w:tcPr>
            <w:tcW w:w="827" w:type="pct"/>
            <w:tcBorders>
              <w:tl2br w:val="nil"/>
              <w:tr2bl w:val="nil"/>
            </w:tcBorders>
            <w:vAlign w:val="center"/>
          </w:tcPr>
          <w:p w14:paraId="4B1117E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15～18</w:t>
            </w:r>
          </w:p>
        </w:tc>
        <w:tc>
          <w:tcPr>
            <w:tcW w:w="933" w:type="pct"/>
            <w:tcBorders>
              <w:tl2br w:val="nil"/>
              <w:tr2bl w:val="nil"/>
            </w:tcBorders>
            <w:vAlign w:val="center"/>
          </w:tcPr>
          <w:p w14:paraId="69CF651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18～25</w:t>
            </w:r>
          </w:p>
        </w:tc>
        <w:tc>
          <w:tcPr>
            <w:tcW w:w="645" w:type="pct"/>
            <w:tcBorders>
              <w:tl2br w:val="nil"/>
              <w:tr2bl w:val="nil"/>
            </w:tcBorders>
            <w:vAlign w:val="center"/>
          </w:tcPr>
          <w:p w14:paraId="5466119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20～30</w:t>
            </w:r>
          </w:p>
        </w:tc>
      </w:tr>
      <w:tr w14:paraId="1B181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72F4C56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9</w:t>
            </w:r>
          </w:p>
        </w:tc>
        <w:tc>
          <w:tcPr>
            <w:tcW w:w="2245" w:type="pct"/>
            <w:tcBorders>
              <w:tl2br w:val="nil"/>
              <w:tr2bl w:val="nil"/>
            </w:tcBorders>
            <w:vAlign w:val="center"/>
          </w:tcPr>
          <w:p w14:paraId="334574B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永久性岩石高边坡</w:t>
            </w:r>
          </w:p>
        </w:tc>
        <w:tc>
          <w:tcPr>
            <w:tcW w:w="827" w:type="pct"/>
            <w:tcBorders>
              <w:tl2br w:val="nil"/>
              <w:tr2bl w:val="nil"/>
            </w:tcBorders>
            <w:vAlign w:val="center"/>
          </w:tcPr>
          <w:p w14:paraId="0A9BF6E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5～9</w:t>
            </w:r>
          </w:p>
        </w:tc>
        <w:tc>
          <w:tcPr>
            <w:tcW w:w="933" w:type="pct"/>
            <w:tcBorders>
              <w:tl2br w:val="nil"/>
              <w:tr2bl w:val="nil"/>
            </w:tcBorders>
            <w:vAlign w:val="center"/>
          </w:tcPr>
          <w:p w14:paraId="1C5B2AD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8～12</w:t>
            </w:r>
          </w:p>
        </w:tc>
        <w:tc>
          <w:tcPr>
            <w:tcW w:w="645" w:type="pct"/>
            <w:tcBorders>
              <w:tl2br w:val="nil"/>
              <w:tr2bl w:val="nil"/>
            </w:tcBorders>
            <w:vAlign w:val="center"/>
          </w:tcPr>
          <w:p w14:paraId="70878C23">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10～15</w:t>
            </w:r>
          </w:p>
        </w:tc>
      </w:tr>
      <w:tr w14:paraId="0B258F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0" w:type="pct"/>
            <w:tcBorders>
              <w:tl2br w:val="nil"/>
              <w:tr2bl w:val="nil"/>
            </w:tcBorders>
            <w:vAlign w:val="center"/>
          </w:tcPr>
          <w:p w14:paraId="06E759E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w:t>
            </w:r>
          </w:p>
        </w:tc>
        <w:tc>
          <w:tcPr>
            <w:tcW w:w="2245" w:type="pct"/>
            <w:tcBorders>
              <w:tl2br w:val="nil"/>
              <w:tr2bl w:val="nil"/>
            </w:tcBorders>
            <w:vAlign w:val="center"/>
          </w:tcPr>
          <w:p w14:paraId="746FE766">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新浇大体积混凝土（C20）：</w:t>
            </w:r>
          </w:p>
          <w:p w14:paraId="040D2C0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 xml:space="preserve">龄期：初凝～3d </w:t>
            </w:r>
          </w:p>
          <w:p w14:paraId="085E67F4">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龄期：3 d～7 d</w:t>
            </w:r>
          </w:p>
          <w:p w14:paraId="28C6AE98">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 xml:space="preserve"> 龄期：7d～28d</w:t>
            </w:r>
          </w:p>
        </w:tc>
        <w:tc>
          <w:tcPr>
            <w:tcW w:w="827" w:type="pct"/>
            <w:tcBorders>
              <w:tl2br w:val="nil"/>
              <w:tr2bl w:val="nil"/>
            </w:tcBorders>
            <w:vAlign w:val="center"/>
          </w:tcPr>
          <w:p w14:paraId="6924C479">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1.5～2.0</w:t>
            </w:r>
          </w:p>
          <w:p w14:paraId="42924C3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3.0～4.0</w:t>
            </w:r>
          </w:p>
          <w:p w14:paraId="0181E5C5">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7.0～8.0</w:t>
            </w:r>
          </w:p>
        </w:tc>
        <w:tc>
          <w:tcPr>
            <w:tcW w:w="933" w:type="pct"/>
            <w:tcBorders>
              <w:tl2br w:val="nil"/>
              <w:tr2bl w:val="nil"/>
            </w:tcBorders>
            <w:vAlign w:val="center"/>
          </w:tcPr>
          <w:p w14:paraId="6F58749B">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2.0～2.5</w:t>
            </w:r>
          </w:p>
          <w:p w14:paraId="2F7E476F">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4.0～5.0</w:t>
            </w:r>
          </w:p>
          <w:p w14:paraId="1A874CB6">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8.0～10.0</w:t>
            </w:r>
          </w:p>
        </w:tc>
        <w:tc>
          <w:tcPr>
            <w:tcW w:w="645" w:type="pct"/>
            <w:tcBorders>
              <w:tl2br w:val="nil"/>
              <w:tr2bl w:val="nil"/>
            </w:tcBorders>
            <w:vAlign w:val="center"/>
          </w:tcPr>
          <w:p w14:paraId="53969E5C">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2.5～3.0</w:t>
            </w:r>
          </w:p>
          <w:p w14:paraId="54460AC2">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5.0～7.0</w:t>
            </w:r>
          </w:p>
          <w:p w14:paraId="1E179E6D">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10.0～12</w:t>
            </w:r>
          </w:p>
        </w:tc>
      </w:tr>
      <w:tr w14:paraId="31ACA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vAlign w:val="center"/>
          </w:tcPr>
          <w:p w14:paraId="3AF705F7">
            <w:pPr>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爆破振动监测应同时测定质点振动相互垂直的三个分量。</w:t>
            </w:r>
          </w:p>
        </w:tc>
      </w:tr>
      <w:tr w14:paraId="1A441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vAlign w:val="center"/>
          </w:tcPr>
          <w:p w14:paraId="4786F629">
            <w:pPr>
              <w:spacing w:line="240" w:lineRule="atLeast"/>
              <w:ind w:firstLine="0" w:firstLineChars="0"/>
              <w:jc w:val="left"/>
              <w:rPr>
                <w:rFonts w:ascii="宋体" w:hAnsi="宋体" w:cs="宋体"/>
                <w:sz w:val="21"/>
                <w:szCs w:val="21"/>
                <w:highlight w:val="black"/>
              </w:rPr>
            </w:pPr>
            <w:r>
              <w:rPr>
                <w:rFonts w:hint="eastAsia" w:ascii="宋体" w:hAnsi="宋体" w:cs="宋体"/>
                <w:sz w:val="21"/>
                <w:szCs w:val="21"/>
                <w:highlight w:val="black"/>
              </w:rPr>
              <w:t>注1：表中质点振动速度为三个分量中的最大值，振动频率为主振频率；</w:t>
            </w:r>
          </w:p>
          <w:p w14:paraId="1F9E62E1">
            <w:pPr>
              <w:spacing w:line="240" w:lineRule="atLeast"/>
              <w:ind w:firstLine="0" w:firstLineChars="0"/>
              <w:jc w:val="left"/>
              <w:rPr>
                <w:rFonts w:ascii="宋体" w:hAnsi="宋体" w:cs="宋体"/>
                <w:sz w:val="21"/>
                <w:szCs w:val="21"/>
                <w:highlight w:val="black"/>
              </w:rPr>
            </w:pPr>
            <w:r>
              <w:rPr>
                <w:rFonts w:hint="eastAsia" w:ascii="宋体" w:hAnsi="宋体" w:cs="宋体"/>
                <w:sz w:val="21"/>
                <w:szCs w:val="21"/>
                <w:highlight w:val="black"/>
              </w:rPr>
              <w:t>注2：频率范围根据现场实测波形确定或按如下数据选取：硐室爆破f小于20Hz，露天深孔爆破f在10Hz～60Hz之间，露天浅孔爆破f在40Hz～100Hz之间；地下深孔爆破f在30Hz～100Hz之间，地下浅孔爆破f在60Hz～300Hz之间。</w:t>
            </w:r>
          </w:p>
        </w:tc>
      </w:tr>
    </w:tbl>
    <w:p w14:paraId="42741385">
      <w:pPr>
        <w:spacing w:line="240" w:lineRule="auto"/>
        <w:ind w:firstLine="0" w:firstLineChars="0"/>
        <w:jc w:val="center"/>
        <w:rPr>
          <w:rFonts w:hAnsi="宋体"/>
          <w:b/>
          <w:sz w:val="21"/>
          <w:szCs w:val="21"/>
          <w:highlight w:val="black"/>
        </w:rPr>
      </w:pPr>
    </w:p>
    <w:p w14:paraId="7A1D9BE5">
      <w:pPr>
        <w:spacing w:line="240" w:lineRule="auto"/>
        <w:ind w:firstLine="0" w:firstLineChars="0"/>
        <w:jc w:val="center"/>
        <w:rPr>
          <w:rFonts w:hAnsi="宋体"/>
          <w:b/>
          <w:sz w:val="21"/>
          <w:szCs w:val="21"/>
          <w:highlight w:val="black"/>
        </w:rPr>
      </w:pPr>
      <w:r>
        <w:rPr>
          <w:rFonts w:hint="eastAsia" w:hAnsi="宋体"/>
          <w:b/>
          <w:sz w:val="21"/>
          <w:szCs w:val="21"/>
          <w:highlight w:val="black"/>
        </w:rPr>
        <w:t>表3-3 爆区不同岩性的K、a值</w:t>
      </w:r>
    </w:p>
    <w:tbl>
      <w:tblPr>
        <w:tblStyle w:val="2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779"/>
        <w:gridCol w:w="2779"/>
        <w:gridCol w:w="2778"/>
      </w:tblGrid>
      <w:tr w14:paraId="43D79A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5CF2A470">
            <w:pPr>
              <w:spacing w:line="240" w:lineRule="atLeast"/>
              <w:ind w:firstLine="0" w:firstLineChars="0"/>
              <w:jc w:val="center"/>
              <w:rPr>
                <w:sz w:val="21"/>
                <w:szCs w:val="21"/>
                <w:highlight w:val="black"/>
              </w:rPr>
            </w:pPr>
            <w:r>
              <w:rPr>
                <w:sz w:val="21"/>
                <w:szCs w:val="21"/>
                <w:highlight w:val="black"/>
              </w:rPr>
              <w:t>岩性</w:t>
            </w:r>
          </w:p>
        </w:tc>
        <w:tc>
          <w:tcPr>
            <w:tcW w:w="1667" w:type="pct"/>
            <w:tcBorders>
              <w:tl2br w:val="nil"/>
              <w:tr2bl w:val="nil"/>
            </w:tcBorders>
            <w:vAlign w:val="center"/>
          </w:tcPr>
          <w:p w14:paraId="639B4D74">
            <w:pPr>
              <w:spacing w:line="240" w:lineRule="atLeast"/>
              <w:ind w:firstLine="0" w:firstLineChars="0"/>
              <w:jc w:val="center"/>
              <w:rPr>
                <w:sz w:val="21"/>
                <w:szCs w:val="21"/>
                <w:highlight w:val="black"/>
              </w:rPr>
            </w:pPr>
            <w:r>
              <w:rPr>
                <w:sz w:val="21"/>
                <w:szCs w:val="21"/>
                <w:highlight w:val="black"/>
              </w:rPr>
              <w:t>K</w:t>
            </w:r>
          </w:p>
        </w:tc>
        <w:tc>
          <w:tcPr>
            <w:tcW w:w="1666" w:type="pct"/>
            <w:tcBorders>
              <w:tl2br w:val="nil"/>
              <w:tr2bl w:val="nil"/>
            </w:tcBorders>
            <w:vAlign w:val="center"/>
          </w:tcPr>
          <w:p w14:paraId="57F74324">
            <w:pPr>
              <w:spacing w:line="240" w:lineRule="atLeast"/>
              <w:ind w:firstLine="0" w:firstLineChars="0"/>
              <w:jc w:val="center"/>
              <w:rPr>
                <w:sz w:val="21"/>
                <w:szCs w:val="21"/>
                <w:highlight w:val="black"/>
              </w:rPr>
            </w:pPr>
            <w:r>
              <w:rPr>
                <w:sz w:val="21"/>
                <w:szCs w:val="21"/>
                <w:highlight w:val="black"/>
              </w:rPr>
              <w:t>a</w:t>
            </w:r>
          </w:p>
        </w:tc>
      </w:tr>
      <w:tr w14:paraId="0939BA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414BA249">
            <w:pPr>
              <w:spacing w:line="240" w:lineRule="atLeast"/>
              <w:ind w:firstLine="0" w:firstLineChars="0"/>
              <w:jc w:val="center"/>
              <w:rPr>
                <w:sz w:val="21"/>
                <w:szCs w:val="21"/>
                <w:highlight w:val="black"/>
              </w:rPr>
            </w:pPr>
            <w:r>
              <w:rPr>
                <w:sz w:val="21"/>
                <w:szCs w:val="21"/>
                <w:highlight w:val="black"/>
              </w:rPr>
              <w:t>坚硬岩石</w:t>
            </w:r>
          </w:p>
        </w:tc>
        <w:tc>
          <w:tcPr>
            <w:tcW w:w="1667" w:type="pct"/>
            <w:tcBorders>
              <w:tl2br w:val="nil"/>
              <w:tr2bl w:val="nil"/>
            </w:tcBorders>
            <w:vAlign w:val="center"/>
          </w:tcPr>
          <w:p w14:paraId="0D9D92D4">
            <w:pPr>
              <w:spacing w:line="240" w:lineRule="atLeast"/>
              <w:ind w:firstLine="0" w:firstLineChars="0"/>
              <w:jc w:val="center"/>
              <w:rPr>
                <w:sz w:val="21"/>
                <w:szCs w:val="21"/>
                <w:highlight w:val="black"/>
              </w:rPr>
            </w:pPr>
            <w:r>
              <w:rPr>
                <w:sz w:val="21"/>
                <w:szCs w:val="21"/>
                <w:highlight w:val="black"/>
              </w:rPr>
              <w:t>50～150</w:t>
            </w:r>
          </w:p>
        </w:tc>
        <w:tc>
          <w:tcPr>
            <w:tcW w:w="1666" w:type="pct"/>
            <w:tcBorders>
              <w:tl2br w:val="nil"/>
              <w:tr2bl w:val="nil"/>
            </w:tcBorders>
            <w:vAlign w:val="center"/>
          </w:tcPr>
          <w:p w14:paraId="71168D5A">
            <w:pPr>
              <w:spacing w:line="240" w:lineRule="atLeast"/>
              <w:ind w:firstLine="0" w:firstLineChars="0"/>
              <w:jc w:val="center"/>
              <w:rPr>
                <w:sz w:val="21"/>
                <w:szCs w:val="21"/>
                <w:highlight w:val="black"/>
              </w:rPr>
            </w:pPr>
            <w:r>
              <w:rPr>
                <w:sz w:val="21"/>
                <w:szCs w:val="21"/>
                <w:highlight w:val="black"/>
              </w:rPr>
              <w:t>1.3～1.5</w:t>
            </w:r>
          </w:p>
        </w:tc>
      </w:tr>
      <w:tr w14:paraId="4BE38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06BC0207">
            <w:pPr>
              <w:spacing w:line="240" w:lineRule="atLeast"/>
              <w:ind w:firstLine="0" w:firstLineChars="0"/>
              <w:jc w:val="center"/>
              <w:rPr>
                <w:sz w:val="21"/>
                <w:szCs w:val="21"/>
                <w:highlight w:val="black"/>
              </w:rPr>
            </w:pPr>
            <w:r>
              <w:rPr>
                <w:sz w:val="21"/>
                <w:szCs w:val="21"/>
                <w:highlight w:val="black"/>
              </w:rPr>
              <w:t>中硬岩石</w:t>
            </w:r>
          </w:p>
        </w:tc>
        <w:tc>
          <w:tcPr>
            <w:tcW w:w="1667" w:type="pct"/>
            <w:tcBorders>
              <w:tl2br w:val="nil"/>
              <w:tr2bl w:val="nil"/>
            </w:tcBorders>
            <w:vAlign w:val="center"/>
          </w:tcPr>
          <w:p w14:paraId="75A68554">
            <w:pPr>
              <w:spacing w:line="240" w:lineRule="atLeast"/>
              <w:ind w:firstLine="0" w:firstLineChars="0"/>
              <w:jc w:val="center"/>
              <w:rPr>
                <w:sz w:val="21"/>
                <w:szCs w:val="21"/>
                <w:highlight w:val="black"/>
              </w:rPr>
            </w:pPr>
            <w:r>
              <w:rPr>
                <w:sz w:val="21"/>
                <w:szCs w:val="21"/>
                <w:highlight w:val="black"/>
              </w:rPr>
              <w:t>150～250</w:t>
            </w:r>
          </w:p>
        </w:tc>
        <w:tc>
          <w:tcPr>
            <w:tcW w:w="1666" w:type="pct"/>
            <w:tcBorders>
              <w:tl2br w:val="nil"/>
              <w:tr2bl w:val="nil"/>
            </w:tcBorders>
            <w:vAlign w:val="center"/>
          </w:tcPr>
          <w:p w14:paraId="1055EFF7">
            <w:pPr>
              <w:spacing w:line="240" w:lineRule="atLeast"/>
              <w:ind w:firstLine="0" w:firstLineChars="0"/>
              <w:jc w:val="center"/>
              <w:rPr>
                <w:sz w:val="21"/>
                <w:szCs w:val="21"/>
                <w:highlight w:val="black"/>
              </w:rPr>
            </w:pPr>
            <w:r>
              <w:rPr>
                <w:sz w:val="21"/>
                <w:szCs w:val="21"/>
                <w:highlight w:val="black"/>
              </w:rPr>
              <w:t>1.5～1.8</w:t>
            </w:r>
          </w:p>
        </w:tc>
      </w:tr>
      <w:tr w14:paraId="6CB311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67" w:type="pct"/>
            <w:tcBorders>
              <w:tl2br w:val="nil"/>
              <w:tr2bl w:val="nil"/>
            </w:tcBorders>
            <w:vAlign w:val="center"/>
          </w:tcPr>
          <w:p w14:paraId="71E6B42F">
            <w:pPr>
              <w:spacing w:line="240" w:lineRule="atLeast"/>
              <w:ind w:firstLine="0" w:firstLineChars="0"/>
              <w:jc w:val="center"/>
              <w:rPr>
                <w:sz w:val="21"/>
                <w:szCs w:val="21"/>
                <w:highlight w:val="black"/>
              </w:rPr>
            </w:pPr>
            <w:r>
              <w:rPr>
                <w:sz w:val="21"/>
                <w:szCs w:val="21"/>
                <w:highlight w:val="black"/>
              </w:rPr>
              <w:t>软岩石</w:t>
            </w:r>
          </w:p>
        </w:tc>
        <w:tc>
          <w:tcPr>
            <w:tcW w:w="1667" w:type="pct"/>
            <w:tcBorders>
              <w:tl2br w:val="nil"/>
              <w:tr2bl w:val="nil"/>
            </w:tcBorders>
            <w:vAlign w:val="center"/>
          </w:tcPr>
          <w:p w14:paraId="3A9B6264">
            <w:pPr>
              <w:spacing w:line="240" w:lineRule="atLeast"/>
              <w:ind w:firstLine="0" w:firstLineChars="0"/>
              <w:jc w:val="center"/>
              <w:rPr>
                <w:sz w:val="21"/>
                <w:szCs w:val="21"/>
                <w:highlight w:val="black"/>
              </w:rPr>
            </w:pPr>
            <w:r>
              <w:rPr>
                <w:sz w:val="21"/>
                <w:szCs w:val="21"/>
                <w:highlight w:val="black"/>
              </w:rPr>
              <w:t>250～350</w:t>
            </w:r>
          </w:p>
        </w:tc>
        <w:tc>
          <w:tcPr>
            <w:tcW w:w="1666" w:type="pct"/>
            <w:tcBorders>
              <w:tl2br w:val="nil"/>
              <w:tr2bl w:val="nil"/>
            </w:tcBorders>
            <w:vAlign w:val="center"/>
          </w:tcPr>
          <w:p w14:paraId="761A5EC8">
            <w:pPr>
              <w:spacing w:line="240" w:lineRule="atLeast"/>
              <w:ind w:firstLine="0" w:firstLineChars="0"/>
              <w:jc w:val="center"/>
              <w:rPr>
                <w:sz w:val="21"/>
                <w:szCs w:val="21"/>
                <w:highlight w:val="black"/>
              </w:rPr>
            </w:pPr>
            <w:r>
              <w:rPr>
                <w:sz w:val="21"/>
                <w:szCs w:val="21"/>
                <w:highlight w:val="black"/>
              </w:rPr>
              <w:t>1.8～2.0</w:t>
            </w:r>
          </w:p>
        </w:tc>
      </w:tr>
    </w:tbl>
    <w:p w14:paraId="2CAB6727">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 xml:space="preserve"> （3）河流</w:t>
      </w:r>
    </w:p>
    <w:p w14:paraId="46A11537">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矿区南侧有1条地表浑河支流，水面高程136m，距离3到4号矿界拐点85m，距离地表岩石移动界线最近距离196m。由东北向南西流过，常年流水，平常河水深0.2～0.5m，雨季河水暴涨，最高河水深能达1m，干旱季节河水水位下降。除河流外，各沟谷中有季节性水流。</w:t>
      </w:r>
    </w:p>
    <w:p w14:paraId="2CB7B4DA">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隐蔽致灾因素普查报告》明确，通过实地调查走访，河水未见断流、水位陡降、流量骤减现象，河床底部为砂卵石，局部基岩出露，岩性为斜长角闪岩，岩体完整，裂隙不发育，地表河流与深部矿床无构造联系，河水通过基岩风化裂隙渗入补给地下水水量极小，对矿床充水条件影响微弱。不会对下一步地下生产系统产生影响。</w:t>
      </w:r>
    </w:p>
    <w:p w14:paraId="1EA1C8D1">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（4）周边矿权</w:t>
      </w:r>
    </w:p>
    <w:p w14:paraId="3FA1C78D">
      <w:pPr>
        <w:ind w:firstLine="560"/>
        <w:rPr>
          <w:rFonts w:hint="eastAsia" w:asciiTheme="minorEastAsia" w:hAnsiTheme="minorEastAsia" w:eastAsiaTheme="minorEastAsia" w:cstheme="minorEastAsia"/>
          <w:highlight w:val="black"/>
          <w:lang w:val="en-US" w:eastAsia="zh-CN"/>
        </w:rPr>
      </w:pPr>
      <w:r>
        <w:rPr>
          <w:rFonts w:hint="eastAsia" w:asciiTheme="minorEastAsia" w:hAnsiTheme="minorEastAsia" w:eastAsiaTheme="minorEastAsia" w:cstheme="minorEastAsia"/>
          <w:highlight w:val="black"/>
        </w:rPr>
        <w:t>1）南采区</w:t>
      </w:r>
      <w:r>
        <w:rPr>
          <w:rFonts w:hint="eastAsia" w:asciiTheme="minorEastAsia" w:hAnsiTheme="minorEastAsia" w:eastAsiaTheme="minorEastAsia" w:cstheme="minorEastAsia"/>
          <w:highlight w:val="black"/>
          <w:lang w:val="en-US" w:eastAsia="zh-CN"/>
        </w:rPr>
        <w:t>探矿权</w:t>
      </w:r>
    </w:p>
    <w:p w14:paraId="3C714CF5">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根据《辽宁省本溪市歪头山大柳峪铁矿详查报告》，该矿探矿证（证号：T2100002008122010019565）面积为2.7107km</w:t>
      </w:r>
      <w:r>
        <w:rPr>
          <w:rFonts w:hint="eastAsia" w:asciiTheme="minorEastAsia" w:hAnsiTheme="minorEastAsia" w:eastAsiaTheme="minorEastAsia" w:cstheme="minorEastAsia"/>
          <w:highlight w:val="black"/>
          <w:vertAlign w:val="superscript"/>
        </w:rPr>
        <w:t>2</w:t>
      </w:r>
      <w:r>
        <w:rPr>
          <w:rFonts w:hint="eastAsia" w:asciiTheme="minorEastAsia" w:hAnsiTheme="minorEastAsia" w:eastAsiaTheme="minorEastAsia" w:cstheme="minorEastAsia"/>
          <w:highlight w:val="black"/>
        </w:rPr>
        <w:t>，分布于S304省道南北两侧，共发现50条矿体，其中主矿体位于勘查区北部，矿体比较集中，符合转采矿权条件，故《开发利用方案》阶段仅对北采区进行了探转采设计，并取得北采区采矿许可证。而南采区按相关程序保留探矿权，由于勘察程度较低，继续开展勘查工作，待增储且具备条件后再进行转采矿权。</w:t>
      </w:r>
    </w:p>
    <w:p w14:paraId="61A21996">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因为南北采区中间有S304省道通过，两采区均应按照相关要求在省道两侧留设不小于100m的安全矿柱，未来即使南采区取得采矿许可证后，两采区之间至少留有不小于200m的安全矿柱，且两采区均采用地下开采，故两采区之间无相互影响。</w:t>
      </w:r>
    </w:p>
    <w:p w14:paraId="22BC6D61">
      <w:pPr>
        <w:ind w:firstLine="560"/>
        <w:rPr>
          <w:rFonts w:hint="eastAsia" w:asciiTheme="minorEastAsia" w:hAnsiTheme="minorEastAsia" w:eastAsiaTheme="minorEastAsia" w:cstheme="minorEastAsia"/>
          <w:highlight w:val="black"/>
          <w:lang w:val="en-US" w:eastAsia="zh-CN"/>
        </w:rPr>
      </w:pPr>
      <w:r>
        <w:rPr>
          <w:rFonts w:hint="eastAsia" w:asciiTheme="minorEastAsia" w:hAnsiTheme="minorEastAsia" w:eastAsiaTheme="minorEastAsia" w:cstheme="minorEastAsia"/>
          <w:highlight w:val="black"/>
        </w:rPr>
        <w:t>2）辽宁省本溪市歪头山镇小柳峪铁矿普查</w:t>
      </w:r>
      <w:r>
        <w:rPr>
          <w:rFonts w:hint="eastAsia" w:asciiTheme="minorEastAsia" w:hAnsiTheme="minorEastAsia" w:eastAsiaTheme="minorEastAsia" w:cstheme="minorEastAsia"/>
          <w:highlight w:val="black"/>
          <w:lang w:val="en-US" w:eastAsia="zh-CN"/>
        </w:rPr>
        <w:t>区</w:t>
      </w:r>
    </w:p>
    <w:p w14:paraId="31BCEC91">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在本矿山西北侧有辽宁省本溪市歪头山镇小柳峪铁矿普查范围，该铁矿目前处于普查阶段，并未取得采矿许可证，矿体赋存形态及位置并未明确，故无法确定其岩石移动范围或者爆破警戒范围。但是本矿山地表岩石移动范围距离该普查范围最小距离超过210m，该铁矿未来若采用地下开采，两矿山的岩石移动界限不会发生重叠；若该矿山未来采用露天开采，因为本矿山所有井筒及工业场地均位于矿区东侧或者南侧，距离该普查范围远超过300m，其露天爆破警戒范围不会对本矿山产生影响。综上分析，本矿山与该铁矿之间不会产生相互影响。</w:t>
      </w:r>
    </w:p>
    <w:p w14:paraId="37CC57B5">
      <w:pPr>
        <w:ind w:firstLine="560"/>
        <w:rPr>
          <w:rFonts w:hint="eastAsia" w:asciiTheme="minorEastAsia" w:hAnsiTheme="minorEastAsia" w:eastAsiaTheme="minorEastAsia" w:cstheme="minorEastAsia"/>
          <w:highlight w:val="black"/>
          <w:lang w:val="en-US" w:eastAsia="zh-CN"/>
        </w:rPr>
      </w:pPr>
      <w:r>
        <w:rPr>
          <w:rFonts w:hint="eastAsia" w:asciiTheme="minorEastAsia" w:hAnsiTheme="minorEastAsia" w:eastAsiaTheme="minorEastAsia" w:cstheme="minorEastAsia"/>
          <w:highlight w:val="black"/>
        </w:rPr>
        <w:t>3）本溪通程矿业有限公司（铁矿）</w:t>
      </w:r>
      <w:r>
        <w:rPr>
          <w:rFonts w:hint="eastAsia" w:asciiTheme="minorEastAsia" w:hAnsiTheme="minorEastAsia" w:eastAsiaTheme="minorEastAsia" w:cstheme="minorEastAsia"/>
          <w:highlight w:val="black"/>
          <w:lang w:val="en-US" w:eastAsia="zh-CN"/>
        </w:rPr>
        <w:t>采矿权</w:t>
      </w:r>
    </w:p>
    <w:p w14:paraId="354D9D36">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在本矿山北侧有本溪通程矿业有限公司（铁矿）一采区，两矿区矿界最近距离13m。根据《本溪通程矿业有限公司（铁矿）矿产资源开发利用方案》，未来该采区将采用地采方式开采，其赋存矿体主要位于该采区北侧，形成地表岩石移动界线距离本矿山地表岩石移动界线最近距离407m，无重叠，且地表井筒以及工业场地均位于对方岩石移动界线20m以外，故相互之间无影响。</w:t>
      </w:r>
    </w:p>
    <w:p w14:paraId="7D94EE04">
      <w:pPr>
        <w:snapToGrid w:val="0"/>
        <w:spacing w:line="520" w:lineRule="atLeast"/>
        <w:ind w:firstLine="420"/>
        <w:rPr>
          <w:color w:val="FF0000"/>
          <w:sz w:val="26"/>
          <w:szCs w:val="26"/>
          <w:highlight w:val="black"/>
        </w:rPr>
      </w:pPr>
      <w:r>
        <w:rPr>
          <w:color w:val="FF0000"/>
          <w:sz w:val="21"/>
          <w:highlight w:val="black"/>
        </w:rPr>
        <w:drawing>
          <wp:anchor distT="0" distB="0" distL="114300" distR="114300" simplePos="0" relativeHeight="251668480" behindDoc="0" locked="0" layoutInCell="1" allowOverlap="1">
            <wp:simplePos x="0" y="0"/>
            <wp:positionH relativeFrom="column">
              <wp:posOffset>600075</wp:posOffset>
            </wp:positionH>
            <wp:positionV relativeFrom="paragraph">
              <wp:posOffset>144780</wp:posOffset>
            </wp:positionV>
            <wp:extent cx="4319270" cy="4865370"/>
            <wp:effectExtent l="19050" t="19050" r="20320" b="2286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l="22934" t="7114" r="21312" b="4114"/>
                    <a:stretch>
                      <a:fillRect/>
                    </a:stretch>
                  </pic:blipFill>
                  <pic:spPr>
                    <a:xfrm>
                      <a:off x="0" y="0"/>
                      <a:ext cx="4319270" cy="4865370"/>
                    </a:xfrm>
                    <a:prstGeom prst="rect">
                      <a:avLst/>
                    </a:prstGeom>
                    <a:noFill/>
                    <a:ln w="19050">
                      <a:solidFill>
                        <a:schemeClr val="tx1"/>
                      </a:solidFill>
                    </a:ln>
                  </pic:spPr>
                </pic:pic>
              </a:graphicData>
            </a:graphic>
          </wp:anchor>
        </w:drawing>
      </w:r>
    </w:p>
    <w:p w14:paraId="557C01A5">
      <w:pPr>
        <w:snapToGrid w:val="0"/>
        <w:spacing w:line="520" w:lineRule="atLeast"/>
        <w:ind w:firstLine="520"/>
        <w:rPr>
          <w:color w:val="FF0000"/>
          <w:sz w:val="26"/>
          <w:szCs w:val="26"/>
          <w:highlight w:val="black"/>
        </w:rPr>
      </w:pPr>
    </w:p>
    <w:p w14:paraId="1157E9E4">
      <w:pPr>
        <w:snapToGrid w:val="0"/>
        <w:spacing w:line="520" w:lineRule="atLeast"/>
        <w:ind w:firstLine="520"/>
        <w:rPr>
          <w:color w:val="FF0000"/>
          <w:sz w:val="26"/>
          <w:szCs w:val="26"/>
          <w:highlight w:val="black"/>
        </w:rPr>
      </w:pPr>
    </w:p>
    <w:p w14:paraId="74B48639">
      <w:pPr>
        <w:snapToGrid w:val="0"/>
        <w:spacing w:line="520" w:lineRule="atLeast"/>
        <w:ind w:firstLine="520"/>
        <w:rPr>
          <w:color w:val="FF0000"/>
          <w:sz w:val="26"/>
          <w:szCs w:val="26"/>
          <w:highlight w:val="black"/>
        </w:rPr>
      </w:pPr>
    </w:p>
    <w:p w14:paraId="4C8E33F7">
      <w:pPr>
        <w:snapToGrid w:val="0"/>
        <w:spacing w:line="520" w:lineRule="atLeast"/>
        <w:ind w:firstLine="520"/>
        <w:rPr>
          <w:color w:val="FF0000"/>
          <w:sz w:val="26"/>
          <w:szCs w:val="26"/>
          <w:highlight w:val="black"/>
        </w:rPr>
      </w:pPr>
    </w:p>
    <w:p w14:paraId="066C5CEE">
      <w:pPr>
        <w:snapToGrid w:val="0"/>
        <w:spacing w:line="520" w:lineRule="atLeast"/>
        <w:ind w:firstLine="0" w:firstLineChars="0"/>
        <w:rPr>
          <w:color w:val="FF0000"/>
          <w:sz w:val="26"/>
          <w:szCs w:val="26"/>
          <w:highlight w:val="black"/>
        </w:rPr>
      </w:pPr>
    </w:p>
    <w:p w14:paraId="0635D3E8">
      <w:pPr>
        <w:snapToGrid w:val="0"/>
        <w:spacing w:line="520" w:lineRule="atLeast"/>
        <w:ind w:firstLine="520"/>
        <w:rPr>
          <w:color w:val="FF0000"/>
          <w:sz w:val="26"/>
          <w:szCs w:val="26"/>
          <w:highlight w:val="black"/>
        </w:rPr>
      </w:pPr>
    </w:p>
    <w:p w14:paraId="5A0F1CA8">
      <w:pPr>
        <w:snapToGrid w:val="0"/>
        <w:spacing w:line="520" w:lineRule="atLeast"/>
        <w:ind w:firstLine="520"/>
        <w:rPr>
          <w:color w:val="FF0000"/>
          <w:sz w:val="26"/>
          <w:szCs w:val="26"/>
          <w:highlight w:val="black"/>
        </w:rPr>
      </w:pPr>
    </w:p>
    <w:p w14:paraId="10CB4DC6">
      <w:pPr>
        <w:snapToGrid w:val="0"/>
        <w:spacing w:line="520" w:lineRule="atLeast"/>
        <w:ind w:firstLine="520"/>
        <w:rPr>
          <w:color w:val="FF0000"/>
          <w:sz w:val="26"/>
          <w:szCs w:val="26"/>
          <w:highlight w:val="black"/>
        </w:rPr>
      </w:pPr>
    </w:p>
    <w:p w14:paraId="62735841">
      <w:pPr>
        <w:snapToGrid w:val="0"/>
        <w:spacing w:line="520" w:lineRule="atLeast"/>
        <w:ind w:firstLine="520"/>
        <w:rPr>
          <w:color w:val="FF0000"/>
          <w:sz w:val="26"/>
          <w:szCs w:val="26"/>
          <w:highlight w:val="black"/>
        </w:rPr>
      </w:pPr>
    </w:p>
    <w:p w14:paraId="7E0D9FB5">
      <w:pPr>
        <w:snapToGrid w:val="0"/>
        <w:spacing w:line="520" w:lineRule="atLeast"/>
        <w:ind w:firstLine="520"/>
        <w:rPr>
          <w:color w:val="FF0000"/>
          <w:sz w:val="26"/>
          <w:szCs w:val="26"/>
          <w:highlight w:val="black"/>
        </w:rPr>
      </w:pPr>
    </w:p>
    <w:p w14:paraId="6BB4EABF">
      <w:pPr>
        <w:snapToGrid w:val="0"/>
        <w:spacing w:line="520" w:lineRule="atLeast"/>
        <w:ind w:firstLine="520"/>
        <w:rPr>
          <w:color w:val="FF0000"/>
          <w:sz w:val="26"/>
          <w:szCs w:val="26"/>
          <w:highlight w:val="black"/>
        </w:rPr>
      </w:pPr>
    </w:p>
    <w:p w14:paraId="169E954E">
      <w:pPr>
        <w:pStyle w:val="24"/>
        <w:ind w:firstLine="560"/>
        <w:rPr>
          <w:highlight w:val="black"/>
        </w:rPr>
      </w:pPr>
    </w:p>
    <w:p w14:paraId="5CD284CF">
      <w:pPr>
        <w:snapToGrid w:val="0"/>
        <w:spacing w:line="520" w:lineRule="atLeast"/>
        <w:ind w:firstLine="520"/>
        <w:rPr>
          <w:color w:val="FF0000"/>
          <w:sz w:val="26"/>
          <w:szCs w:val="26"/>
          <w:highlight w:val="black"/>
        </w:rPr>
      </w:pPr>
    </w:p>
    <w:p w14:paraId="133DF13D">
      <w:pPr>
        <w:snapToGrid w:val="0"/>
        <w:spacing w:line="520" w:lineRule="atLeast"/>
        <w:ind w:firstLine="0" w:firstLineChars="0"/>
        <w:rPr>
          <w:color w:val="FF0000"/>
          <w:sz w:val="26"/>
          <w:szCs w:val="26"/>
          <w:highlight w:val="black"/>
        </w:rPr>
      </w:pPr>
    </w:p>
    <w:p w14:paraId="4A5C6430">
      <w:pPr>
        <w:snapToGrid w:val="0"/>
        <w:spacing w:line="240" w:lineRule="auto"/>
        <w:ind w:firstLine="0" w:firstLineChars="0"/>
        <w:rPr>
          <w:color w:val="FF0000"/>
          <w:sz w:val="26"/>
          <w:szCs w:val="26"/>
          <w:highlight w:val="black"/>
        </w:rPr>
      </w:pPr>
    </w:p>
    <w:p w14:paraId="557C53A9">
      <w:pPr>
        <w:spacing w:after="120" w:line="240" w:lineRule="auto"/>
        <w:ind w:firstLine="0" w:firstLineChars="0"/>
        <w:jc w:val="center"/>
        <w:rPr>
          <w:b/>
          <w:bCs/>
          <w:sz w:val="21"/>
          <w:szCs w:val="21"/>
          <w:highlight w:val="black"/>
        </w:rPr>
      </w:pPr>
      <w:r>
        <w:rPr>
          <w:rFonts w:hint="eastAsia"/>
          <w:b/>
          <w:bCs/>
          <w:sz w:val="21"/>
          <w:szCs w:val="21"/>
          <w:highlight w:val="black"/>
        </w:rPr>
        <w:t>图3-2 本溪通程矿业有限公司与本矿山位置关系图</w:t>
      </w:r>
    </w:p>
    <w:p w14:paraId="1DA26C83">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5) 基本农田</w:t>
      </w:r>
    </w:p>
    <w:p w14:paraId="7B29A990">
      <w:pPr>
        <w:ind w:firstLine="560"/>
        <w:rPr>
          <w:rFonts w:asciiTheme="minorEastAsia" w:hAnsiTheme="minorEastAsia" w:eastAsiaTheme="minorEastAsia" w:cstheme="minorEastAsia"/>
          <w:highlight w:val="black"/>
        </w:rPr>
      </w:pPr>
      <w:r>
        <w:rPr>
          <w:rFonts w:hint="eastAsia" w:asciiTheme="minorEastAsia" w:hAnsiTheme="minorEastAsia" w:eastAsiaTheme="minorEastAsia" w:cstheme="minorEastAsia"/>
          <w:highlight w:val="black"/>
        </w:rPr>
        <w:t>在本矿区范围以及地表岩石移动监测范围内存在部分基本农田，主要分布于中部沟谷地带。本矿山未来将采用全尾砂胶结充填工艺处理采空区，根据东北大学资源与土木工程学院于2024年11月编制的《本溪市昱蕴铁选有限公司大柳峪铁矿北采区充填实验与充填采场稳定性分析及结构参数优化研究项目研究报告》对地表沉降进行了研究，研究结论为：当采用全尾砂胶结充填使充填率达到90%时，地表农田最大倾斜i=-0.06mm/m，最大曲率k=0.002×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/m，最大水平变形ε=-0.034mm/m；S304省道最大倾斜i=-0.009mm/m，最大曲率k=0.0005×10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/m，最大水平变形ε=0.007mm/m；地表最大位移处最大倾斜i=-0.08mm/m，最大曲率k=0.0025×10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/m，最大水平变形ε=0.026mm/m；地表最大位移处最大倾斜i=-0.05mm/m，最大曲率k=0.002×10</w:t>
      </w:r>
      <w:r>
        <w:rPr>
          <w:rFonts w:hint="eastAsia" w:asciiTheme="minorEastAsia" w:hAnsiTheme="minorEastAsia" w:eastAsiaTheme="minorEastAsia" w:cstheme="minorEastAsia"/>
          <w:highlight w:val="black"/>
          <w:vertAlign w:val="superscript"/>
        </w:rPr>
        <w:t>-3</w:t>
      </w:r>
      <w:r>
        <w:rPr>
          <w:rFonts w:hint="eastAsia" w:asciiTheme="minorEastAsia" w:hAnsiTheme="minorEastAsia" w:eastAsiaTheme="minorEastAsia" w:cstheme="minorEastAsia"/>
          <w:highlight w:val="black"/>
        </w:rPr>
        <w:t>/m，最大水平变形ε=-0.05mm/m。符合相关规范要求，整体地表移动值未超过其安全规范极限值，即本矿山井下开采时不会对地表基本农田产生影响。</w:t>
      </w:r>
    </w:p>
    <w:p w14:paraId="085B0090">
      <w:pPr>
        <w:spacing w:after="120" w:line="240" w:lineRule="auto"/>
        <w:ind w:firstLine="0" w:firstLineChars="0"/>
        <w:jc w:val="center"/>
        <w:rPr>
          <w:b/>
          <w:bCs/>
          <w:sz w:val="21"/>
          <w:szCs w:val="21"/>
          <w:highlight w:val="black"/>
        </w:rPr>
      </w:pPr>
      <w:r>
        <w:rPr>
          <w:rFonts w:hint="eastAsia"/>
          <w:b/>
          <w:bCs/>
          <w:sz w:val="21"/>
          <w:szCs w:val="21"/>
          <w:highlight w:val="black"/>
        </w:rPr>
        <w:drawing>
          <wp:inline distT="0" distB="0" distL="114300" distR="114300">
            <wp:extent cx="5360670" cy="4025900"/>
            <wp:effectExtent l="0" t="0" r="3810" b="12700"/>
            <wp:docPr id="20" name="图片 20" descr="174225996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2259966118"/>
                    <pic:cNvPicPr>
                      <a:picLocks noChangeAspect="1"/>
                    </pic:cNvPicPr>
                  </pic:nvPicPr>
                  <pic:blipFill>
                    <a:blip r:embed="rId22"/>
                    <a:stretch>
                      <a:fillRect/>
                    </a:stretch>
                  </pic:blipFill>
                  <pic:spPr>
                    <a:xfrm>
                      <a:off x="0" y="0"/>
                      <a:ext cx="5360670" cy="4025900"/>
                    </a:xfrm>
                    <a:prstGeom prst="rect">
                      <a:avLst/>
                    </a:prstGeom>
                  </pic:spPr>
                </pic:pic>
              </a:graphicData>
            </a:graphic>
          </wp:inline>
        </w:drawing>
      </w:r>
    </w:p>
    <w:p w14:paraId="2631428C">
      <w:pPr>
        <w:spacing w:after="120" w:line="240" w:lineRule="auto"/>
        <w:ind w:firstLine="0" w:firstLineChars="0"/>
        <w:jc w:val="center"/>
        <w:rPr>
          <w:b/>
          <w:bCs/>
          <w:sz w:val="21"/>
          <w:szCs w:val="21"/>
          <w:highlight w:val="black"/>
        </w:rPr>
      </w:pPr>
      <w:r>
        <w:rPr>
          <w:rFonts w:hint="eastAsia"/>
          <w:b/>
          <w:bCs/>
          <w:sz w:val="21"/>
          <w:szCs w:val="21"/>
          <w:highlight w:val="black"/>
        </w:rPr>
        <w:t>图3-3 地表基本农田分布图</w:t>
      </w:r>
    </w:p>
    <w:p w14:paraId="4AD2AB1B">
      <w:pPr>
        <w:ind w:firstLine="560"/>
        <w:rPr>
          <w:rFonts w:asciiTheme="minorEastAsia" w:hAnsiTheme="minorEastAsia" w:eastAsiaTheme="minorEastAsia" w:cstheme="minorEastAsia"/>
          <w:highlight w:val="black"/>
          <w:lang w:val="zh-CN"/>
        </w:rPr>
      </w:pPr>
      <w:r>
        <w:rPr>
          <w:rFonts w:hint="eastAsia" w:asciiTheme="minorEastAsia" w:hAnsiTheme="minorEastAsia" w:eastAsiaTheme="minorEastAsia" w:cstheme="minorEastAsia"/>
          <w:highlight w:val="black"/>
        </w:rPr>
        <w:t>除此以外，周边300m范围内再无其他采矿权、学校、旅游、文物保护及自然保护区等其他需要保护的构（建）筑物，1km范围内无其他公路、输油气管道、无铁路和水利水电等重要工程设施。</w:t>
      </w:r>
    </w:p>
    <w:p w14:paraId="0EFB1822">
      <w:pPr>
        <w:ind w:firstLine="560"/>
      </w:pPr>
    </w:p>
    <w:p w14:paraId="51D9845A">
      <w:pPr>
        <w:pStyle w:val="3"/>
        <w:ind w:firstLine="0" w:firstLineChars="0"/>
      </w:pPr>
      <w:bookmarkStart w:id="258" w:name="_Toc23320"/>
      <w:bookmarkStart w:id="259" w:name="_Toc422418772"/>
      <w:r>
        <w:t>3.2</w:t>
      </w:r>
      <w:r>
        <w:rPr>
          <w:rFonts w:hint="eastAsia"/>
        </w:rPr>
        <w:t xml:space="preserve"> </w:t>
      </w:r>
      <w:r>
        <w:t>开拓单元</w:t>
      </w:r>
      <w:bookmarkEnd w:id="258"/>
      <w:bookmarkEnd w:id="259"/>
    </w:p>
    <w:p w14:paraId="20B74CC9">
      <w:pPr>
        <w:pStyle w:val="4"/>
        <w:ind w:firstLine="0" w:firstLineChars="0"/>
      </w:pPr>
      <w:r>
        <w:rPr>
          <w:rFonts w:hint="eastAsia"/>
        </w:rPr>
        <w:t>3</w:t>
      </w:r>
      <w:r>
        <w:t>.2.1危险、有害因素辨识</w:t>
      </w:r>
    </w:p>
    <w:p w14:paraId="33097790">
      <w:pPr>
        <w:ind w:firstLine="560"/>
        <w:rPr>
          <w:highlight w:val="black"/>
        </w:rPr>
      </w:pPr>
      <w:bookmarkStart w:id="260" w:name="_Toc502929545"/>
      <w:bookmarkStart w:id="261" w:name="_Toc502928902"/>
      <w:bookmarkStart w:id="262" w:name="_Toc505723205"/>
      <w:r>
        <w:rPr>
          <w:rFonts w:hint="eastAsia"/>
          <w:highlight w:val="black"/>
        </w:rPr>
        <w:t>该单元存在的主要危险有害因素有“冒顶片帮”“高处坠落”“物体打击”。</w:t>
      </w:r>
    </w:p>
    <w:p w14:paraId="0D3CA02A">
      <w:pPr>
        <w:pStyle w:val="4"/>
        <w:ind w:firstLine="0" w:firstLineChars="0"/>
      </w:pPr>
      <w:r>
        <w:rPr>
          <w:rFonts w:hint="eastAsia"/>
        </w:rPr>
        <w:t>3.2.2开拓单元安全检查表法评价</w:t>
      </w:r>
    </w:p>
    <w:bookmarkEnd w:id="260"/>
    <w:bookmarkEnd w:id="261"/>
    <w:bookmarkEnd w:id="262"/>
    <w:p w14:paraId="69D91E5B">
      <w:pPr>
        <w:ind w:firstLine="560"/>
        <w:rPr>
          <w:lang w:val="zh-CN"/>
        </w:rPr>
      </w:pPr>
      <w:bookmarkStart w:id="263" w:name="_Toc502929547"/>
      <w:bookmarkStart w:id="264" w:name="_Toc505723206"/>
      <w:bookmarkStart w:id="265" w:name="_Toc502928904"/>
      <w:r>
        <w:rPr>
          <w:rFonts w:hint="eastAsia"/>
          <w:lang w:val="zh-CN"/>
        </w:rPr>
        <w:t>用</w:t>
      </w:r>
      <w:r>
        <w:t>采用预先危险性分析法对</w:t>
      </w:r>
      <w:r>
        <w:rPr>
          <w:rFonts w:hint="eastAsia"/>
        </w:rPr>
        <w:t>开拓</w:t>
      </w:r>
      <w:r>
        <w:t>单元进行评价，见下表3</w:t>
      </w:r>
      <w:r>
        <w:rPr>
          <w:rFonts w:hint="eastAsia"/>
        </w:rPr>
        <w:t>-4。</w:t>
      </w:r>
    </w:p>
    <w:p w14:paraId="496E849D">
      <w:pPr>
        <w:spacing w:line="240" w:lineRule="auto"/>
        <w:ind w:firstLine="422"/>
        <w:jc w:val="center"/>
        <w:outlineLvl w:val="5"/>
        <w:rPr>
          <w:rFonts w:ascii="宋体" w:hAnsi="宋体" w:cs="宋体"/>
          <w:b/>
          <w:bCs/>
          <w:color w:val="000000"/>
          <w:sz w:val="21"/>
          <w:szCs w:val="21"/>
        </w:rPr>
      </w:pPr>
      <w:r>
        <w:rPr>
          <w:rFonts w:hint="eastAsia" w:ascii="宋体" w:hAnsi="宋体" w:cs="宋体"/>
          <w:b/>
          <w:bCs/>
          <w:color w:val="000000"/>
          <w:sz w:val="21"/>
          <w:szCs w:val="21"/>
        </w:rPr>
        <w:t>表3-4 开拓单元预先危险性分析法检查表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348"/>
        <w:gridCol w:w="809"/>
        <w:gridCol w:w="622"/>
        <w:gridCol w:w="4984"/>
      </w:tblGrid>
      <w:tr w14:paraId="0BED5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0" w:type="auto"/>
            <w:tcBorders>
              <w:tl2br w:val="nil"/>
              <w:tr2bl w:val="nil"/>
            </w:tcBorders>
            <w:vAlign w:val="center"/>
          </w:tcPr>
          <w:p w14:paraId="2FE26908">
            <w:pPr>
              <w:spacing w:line="240" w:lineRule="auto"/>
              <w:ind w:firstLine="0" w:firstLineChars="0"/>
              <w:jc w:val="center"/>
              <w:rPr>
                <w:rFonts w:ascii="宋体" w:hAnsi="宋体"/>
                <w:b/>
                <w:bCs/>
                <w:spacing w:val="16"/>
                <w:sz w:val="21"/>
                <w:szCs w:val="21"/>
                <w:highlight w:val="black"/>
              </w:rPr>
            </w:pPr>
            <w:r>
              <w:rPr>
                <w:rFonts w:ascii="宋体" w:hAnsi="宋体"/>
                <w:b/>
                <w:bCs/>
                <w:spacing w:val="16"/>
                <w:sz w:val="21"/>
                <w:szCs w:val="21"/>
                <w:highlight w:val="black"/>
              </w:rPr>
              <w:t>危险有害因素</w:t>
            </w:r>
          </w:p>
        </w:tc>
        <w:tc>
          <w:tcPr>
            <w:tcW w:w="0" w:type="auto"/>
            <w:tcBorders>
              <w:tl2br w:val="nil"/>
              <w:tr2bl w:val="nil"/>
            </w:tcBorders>
            <w:vAlign w:val="center"/>
          </w:tcPr>
          <w:p w14:paraId="1BE42443">
            <w:pPr>
              <w:spacing w:line="240" w:lineRule="auto"/>
              <w:ind w:firstLine="0" w:firstLineChars="0"/>
              <w:jc w:val="center"/>
              <w:rPr>
                <w:rFonts w:ascii="宋体" w:hAnsi="宋体"/>
                <w:b/>
                <w:bCs/>
                <w:spacing w:val="16"/>
                <w:sz w:val="21"/>
                <w:szCs w:val="21"/>
                <w:highlight w:val="black"/>
              </w:rPr>
            </w:pPr>
            <w:r>
              <w:rPr>
                <w:rFonts w:ascii="宋体" w:hAnsi="宋体"/>
                <w:b/>
                <w:bCs/>
                <w:spacing w:val="16"/>
                <w:sz w:val="21"/>
                <w:szCs w:val="21"/>
                <w:highlight w:val="black"/>
              </w:rPr>
              <w:t>致因因素</w:t>
            </w:r>
          </w:p>
        </w:tc>
        <w:tc>
          <w:tcPr>
            <w:tcW w:w="0" w:type="auto"/>
            <w:tcBorders>
              <w:tl2br w:val="nil"/>
              <w:tr2bl w:val="nil"/>
            </w:tcBorders>
            <w:vAlign w:val="center"/>
          </w:tcPr>
          <w:p w14:paraId="1A4FD557">
            <w:pPr>
              <w:spacing w:line="240" w:lineRule="auto"/>
              <w:ind w:firstLine="0" w:firstLineChars="0"/>
              <w:jc w:val="center"/>
              <w:rPr>
                <w:rFonts w:ascii="宋体" w:hAnsi="宋体"/>
                <w:b/>
                <w:bCs/>
                <w:spacing w:val="16"/>
                <w:sz w:val="21"/>
                <w:szCs w:val="21"/>
                <w:highlight w:val="black"/>
              </w:rPr>
            </w:pPr>
            <w:r>
              <w:rPr>
                <w:rFonts w:ascii="宋体" w:hAnsi="宋体"/>
                <w:b/>
                <w:bCs/>
                <w:spacing w:val="16"/>
                <w:sz w:val="21"/>
                <w:szCs w:val="21"/>
                <w:highlight w:val="black"/>
              </w:rPr>
              <w:t>事故后果</w:t>
            </w:r>
          </w:p>
        </w:tc>
        <w:tc>
          <w:tcPr>
            <w:tcW w:w="0" w:type="auto"/>
            <w:tcBorders>
              <w:tl2br w:val="nil"/>
              <w:tr2bl w:val="nil"/>
            </w:tcBorders>
            <w:vAlign w:val="center"/>
          </w:tcPr>
          <w:p w14:paraId="03B82A86">
            <w:pPr>
              <w:spacing w:line="240" w:lineRule="auto"/>
              <w:ind w:left="53" w:leftChars="19" w:firstLine="0" w:firstLineChars="0"/>
              <w:jc w:val="center"/>
              <w:rPr>
                <w:rFonts w:ascii="宋体" w:hAnsi="宋体"/>
                <w:b/>
                <w:bCs/>
                <w:spacing w:val="16"/>
                <w:sz w:val="21"/>
                <w:szCs w:val="21"/>
                <w:highlight w:val="black"/>
              </w:rPr>
            </w:pPr>
            <w:r>
              <w:rPr>
                <w:rFonts w:ascii="宋体" w:hAnsi="宋体"/>
                <w:b/>
                <w:bCs/>
                <w:spacing w:val="16"/>
                <w:sz w:val="21"/>
                <w:szCs w:val="21"/>
                <w:highlight w:val="black"/>
              </w:rPr>
              <w:t>危险等级</w:t>
            </w:r>
          </w:p>
        </w:tc>
        <w:tc>
          <w:tcPr>
            <w:tcW w:w="0" w:type="auto"/>
            <w:tcBorders>
              <w:tl2br w:val="nil"/>
              <w:tr2bl w:val="nil"/>
            </w:tcBorders>
            <w:vAlign w:val="center"/>
          </w:tcPr>
          <w:p w14:paraId="4B4407D5">
            <w:pPr>
              <w:spacing w:line="240" w:lineRule="auto"/>
              <w:ind w:firstLine="0" w:firstLineChars="0"/>
              <w:jc w:val="center"/>
              <w:rPr>
                <w:rFonts w:ascii="宋体" w:hAnsi="宋体"/>
                <w:b/>
                <w:bCs/>
                <w:spacing w:val="16"/>
                <w:sz w:val="21"/>
                <w:szCs w:val="21"/>
                <w:highlight w:val="black"/>
              </w:rPr>
            </w:pPr>
            <w:r>
              <w:rPr>
                <w:rFonts w:ascii="宋体" w:hAnsi="宋体"/>
                <w:b/>
                <w:bCs/>
                <w:spacing w:val="16"/>
                <w:sz w:val="21"/>
                <w:szCs w:val="21"/>
                <w:highlight w:val="black"/>
              </w:rPr>
              <w:t>预防措施</w:t>
            </w:r>
          </w:p>
        </w:tc>
      </w:tr>
      <w:tr w14:paraId="03077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0" w:type="auto"/>
            <w:tcBorders>
              <w:tl2br w:val="nil"/>
              <w:tr2bl w:val="nil"/>
            </w:tcBorders>
            <w:textDirection w:val="tbRlV"/>
            <w:vAlign w:val="center"/>
          </w:tcPr>
          <w:p w14:paraId="2B113BAC">
            <w:pPr>
              <w:autoSpaceDE w:val="0"/>
              <w:autoSpaceDN w:val="0"/>
              <w:adjustRightInd w:val="0"/>
              <w:spacing w:line="240" w:lineRule="atLeast"/>
              <w:ind w:firstLine="560"/>
              <w:jc w:val="center"/>
              <w:rPr>
                <w:rFonts w:ascii="宋体" w:hAnsi="宋体"/>
                <w:spacing w:val="16"/>
                <w:szCs w:val="28"/>
                <w:highlight w:val="black"/>
              </w:rPr>
            </w:pPr>
            <w:r>
              <w:rPr>
                <w:color w:val="000000"/>
                <w:szCs w:val="28"/>
                <w:highlight w:val="black"/>
                <w:lang w:val="zh-CN"/>
              </w:rPr>
              <w:t>冒顶片帮</w:t>
            </w:r>
          </w:p>
        </w:tc>
        <w:tc>
          <w:tcPr>
            <w:tcW w:w="0" w:type="auto"/>
            <w:tcBorders>
              <w:tl2br w:val="nil"/>
              <w:tr2bl w:val="nil"/>
            </w:tcBorders>
            <w:vAlign w:val="center"/>
          </w:tcPr>
          <w:p w14:paraId="4F2AF818">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val="zh-CN" w:eastAsia="zh-CN"/>
              </w:rPr>
              <w:t>1.井壁有松动岩石。</w:t>
            </w:r>
          </w:p>
          <w:p w14:paraId="3E7C9CEA">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eastAsia="zh-CN"/>
              </w:rPr>
              <w:t>2.</w:t>
            </w:r>
            <w:r>
              <w:rPr>
                <w:rFonts w:hint="eastAsia" w:ascii="宋体" w:hAnsi="宋体" w:eastAsia="宋体"/>
                <w:spacing w:val="16"/>
                <w:sz w:val="21"/>
                <w:szCs w:val="21"/>
                <w:highlight w:val="black"/>
                <w:lang w:val="zh-CN" w:eastAsia="zh-CN"/>
              </w:rPr>
              <w:t>矿井中段、采区安全出口少于两个。</w:t>
            </w:r>
          </w:p>
          <w:p w14:paraId="4D9CA1F0">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eastAsia="zh-CN"/>
              </w:rPr>
              <w:t>3.</w:t>
            </w:r>
            <w:r>
              <w:rPr>
                <w:rFonts w:hint="eastAsia" w:ascii="宋体" w:hAnsi="宋体" w:eastAsia="宋体"/>
                <w:spacing w:val="16"/>
                <w:sz w:val="21"/>
                <w:szCs w:val="21"/>
                <w:highlight w:val="black"/>
                <w:lang w:val="zh-CN" w:eastAsia="zh-CN"/>
              </w:rPr>
              <w:t>安全出口不畅、照明不良。</w:t>
            </w:r>
          </w:p>
          <w:p w14:paraId="0CFD415E">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eastAsia="zh-CN"/>
              </w:rPr>
              <w:t>4.</w:t>
            </w:r>
            <w:r>
              <w:rPr>
                <w:rFonts w:hint="eastAsia" w:ascii="宋体" w:hAnsi="宋体" w:eastAsia="宋体"/>
                <w:spacing w:val="16"/>
                <w:sz w:val="21"/>
                <w:szCs w:val="21"/>
                <w:highlight w:val="black"/>
                <w:lang w:val="zh-CN" w:eastAsia="zh-CN"/>
              </w:rPr>
              <w:t>安全标志缺失。</w:t>
            </w:r>
          </w:p>
          <w:p w14:paraId="6AC16A12">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val="zh-CN" w:eastAsia="zh-CN"/>
              </w:rPr>
              <w:t>5.顶板或两帮有松动岩石。</w:t>
            </w:r>
          </w:p>
          <w:p w14:paraId="190F13DA">
            <w:pPr>
              <w:pStyle w:val="54"/>
              <w:spacing w:before="22" w:line="246" w:lineRule="auto"/>
              <w:ind w:right="102" w:firstLine="0" w:firstLineChars="0"/>
              <w:jc w:val="left"/>
              <w:rPr>
                <w:rFonts w:ascii="宋体" w:hAnsi="宋体" w:eastAsia="宋体" w:cs="宋体"/>
                <w:spacing w:val="6"/>
                <w:highlight w:val="black"/>
                <w:lang w:eastAsia="zh-CN"/>
              </w:rPr>
            </w:pPr>
            <w:r>
              <w:rPr>
                <w:rFonts w:hint="eastAsia" w:ascii="宋体" w:hAnsi="宋体" w:eastAsia="宋体"/>
                <w:spacing w:val="16"/>
                <w:sz w:val="21"/>
                <w:szCs w:val="21"/>
                <w:highlight w:val="black"/>
                <w:lang w:val="zh-CN" w:eastAsia="zh-CN"/>
              </w:rPr>
              <w:t>6.支护不符合要求、支护间距过长</w:t>
            </w:r>
            <w:r>
              <w:rPr>
                <w:rFonts w:hint="eastAsia" w:ascii="宋体" w:hAnsi="宋体" w:eastAsia="宋体"/>
                <w:spacing w:val="16"/>
                <w:sz w:val="21"/>
                <w:szCs w:val="21"/>
                <w:highlight w:val="black"/>
                <w:lang w:eastAsia="zh-CN"/>
              </w:rPr>
              <w:t>。</w:t>
            </w:r>
          </w:p>
        </w:tc>
        <w:tc>
          <w:tcPr>
            <w:tcW w:w="0" w:type="auto"/>
            <w:tcBorders>
              <w:tl2br w:val="nil"/>
              <w:tr2bl w:val="nil"/>
            </w:tcBorders>
            <w:vAlign w:val="center"/>
          </w:tcPr>
          <w:p w14:paraId="72794777">
            <w:pPr>
              <w:spacing w:line="240" w:lineRule="auto"/>
              <w:ind w:firstLine="0" w:firstLineChars="0"/>
              <w:jc w:val="center"/>
              <w:rPr>
                <w:rFonts w:ascii="宋体" w:hAnsi="宋体"/>
                <w:spacing w:val="16"/>
                <w:sz w:val="21"/>
                <w:szCs w:val="21"/>
                <w:highlight w:val="black"/>
              </w:rPr>
            </w:pPr>
            <w:r>
              <w:rPr>
                <w:rFonts w:ascii="宋体" w:hAnsi="宋体"/>
                <w:spacing w:val="16"/>
                <w:sz w:val="21"/>
                <w:szCs w:val="21"/>
                <w:highlight w:val="black"/>
              </w:rPr>
              <w:t>人员伤亡。</w:t>
            </w:r>
          </w:p>
        </w:tc>
        <w:tc>
          <w:tcPr>
            <w:tcW w:w="0" w:type="auto"/>
            <w:tcBorders>
              <w:tl2br w:val="nil"/>
              <w:tr2bl w:val="nil"/>
            </w:tcBorders>
            <w:vAlign w:val="center"/>
          </w:tcPr>
          <w:p w14:paraId="31B7A60E">
            <w:pPr>
              <w:spacing w:line="240" w:lineRule="auto"/>
              <w:ind w:firstLine="0" w:firstLineChars="0"/>
              <w:jc w:val="center"/>
              <w:rPr>
                <w:rFonts w:ascii="宋体" w:hAnsi="宋体"/>
                <w:spacing w:val="16"/>
                <w:sz w:val="21"/>
                <w:szCs w:val="21"/>
                <w:highlight w:val="black"/>
              </w:rPr>
            </w:pPr>
            <w:r>
              <w:rPr>
                <w:rFonts w:ascii="宋体" w:hAnsi="宋体" w:cs="宋体"/>
                <w:spacing w:val="6"/>
                <w:sz w:val="20"/>
                <w:szCs w:val="20"/>
                <w:highlight w:val="black"/>
              </w:rPr>
              <w:t>Ⅲ</w:t>
            </w:r>
          </w:p>
        </w:tc>
        <w:tc>
          <w:tcPr>
            <w:tcW w:w="0" w:type="auto"/>
            <w:tcBorders>
              <w:tl2br w:val="nil"/>
              <w:tr2bl w:val="nil"/>
            </w:tcBorders>
            <w:vAlign w:val="center"/>
          </w:tcPr>
          <w:p w14:paraId="6D6A2A72">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1.矿山井巷工程施工应由有资质的施工队按设计要求进行施工，保证施工质量。</w:t>
            </w:r>
          </w:p>
          <w:p w14:paraId="1CEB3C92">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2.井巷工程的施工组织设计，基建期应由施工单位编制，报施工单位领导批准。</w:t>
            </w:r>
          </w:p>
          <w:p w14:paraId="077F68E9">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3.出渣前，应检查和处理工作面顶、帮浮石。</w:t>
            </w:r>
          </w:p>
          <w:p w14:paraId="3DE86B24">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4.在不稳固岩层中掘进井巷，最大控顶距要保持在作业规程规定的范围内，并经常检查巷道支护情况，如有损坏，应及时修理和维护。</w:t>
            </w:r>
          </w:p>
          <w:p w14:paraId="18631C45">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5.井巷的分道口应有路标，注明其所在地点及通往地面出口的方向。所有井下作业人员，均应熟悉安全出口。通往安全出口的道路应畅通。</w:t>
            </w:r>
          </w:p>
          <w:p w14:paraId="2D4054E4">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6.保持安全出口的照明及安全出口畅通。</w:t>
            </w:r>
          </w:p>
          <w:p w14:paraId="18056FCB">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7.人行道宽度、高度应满足规程要求。</w:t>
            </w:r>
          </w:p>
          <w:p w14:paraId="239E84BB">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8.人行天井作为安全出口，应有行人的梯子并保证照明良好。</w:t>
            </w:r>
          </w:p>
          <w:p w14:paraId="1356C670">
            <w:pPr>
              <w:autoSpaceDE w:val="0"/>
              <w:autoSpaceDN w:val="0"/>
              <w:adjustRightInd w:val="0"/>
              <w:spacing w:line="240" w:lineRule="auto"/>
              <w:ind w:firstLine="0" w:firstLineChars="0"/>
              <w:rPr>
                <w:rFonts w:ascii="宋体" w:hAnsi="宋体"/>
                <w:spacing w:val="16"/>
                <w:sz w:val="21"/>
                <w:szCs w:val="21"/>
                <w:highlight w:val="black"/>
              </w:rPr>
            </w:pPr>
            <w:r>
              <w:rPr>
                <w:rFonts w:hint="eastAsia" w:ascii="宋体" w:hAnsi="宋体"/>
                <w:spacing w:val="16"/>
                <w:sz w:val="21"/>
                <w:szCs w:val="21"/>
                <w:highlight w:val="black"/>
                <w:lang w:val="zh-CN"/>
              </w:rPr>
              <w:t>9. 在不稳固岩层中掘进井巷，应及时支护，并经常检查巷道支护情况，如有损坏，应及时修理和维护。</w:t>
            </w:r>
          </w:p>
        </w:tc>
      </w:tr>
      <w:tr w14:paraId="1B96F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0" w:type="auto"/>
            <w:tcBorders>
              <w:tl2br w:val="nil"/>
              <w:tr2bl w:val="nil"/>
            </w:tcBorders>
            <w:textDirection w:val="tbRlV"/>
            <w:vAlign w:val="center"/>
          </w:tcPr>
          <w:p w14:paraId="511E60CC">
            <w:pPr>
              <w:autoSpaceDE w:val="0"/>
              <w:autoSpaceDN w:val="0"/>
              <w:adjustRightInd w:val="0"/>
              <w:spacing w:line="240" w:lineRule="atLeast"/>
              <w:ind w:firstLine="560"/>
              <w:jc w:val="center"/>
              <w:rPr>
                <w:color w:val="000000"/>
                <w:szCs w:val="28"/>
                <w:highlight w:val="black"/>
              </w:rPr>
            </w:pPr>
            <w:r>
              <w:rPr>
                <w:rFonts w:hint="eastAsia"/>
                <w:color w:val="000000"/>
                <w:szCs w:val="28"/>
                <w:highlight w:val="black"/>
              </w:rPr>
              <w:t>高处坠落、物体打击</w:t>
            </w:r>
          </w:p>
        </w:tc>
        <w:tc>
          <w:tcPr>
            <w:tcW w:w="0" w:type="auto"/>
            <w:tcBorders>
              <w:tl2br w:val="nil"/>
              <w:tr2bl w:val="nil"/>
            </w:tcBorders>
            <w:vAlign w:val="center"/>
          </w:tcPr>
          <w:p w14:paraId="15744A61">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val="zh-CN" w:eastAsia="zh-CN"/>
              </w:rPr>
              <w:t>1. 安全防护措施缺陷</w:t>
            </w:r>
          </w:p>
          <w:p w14:paraId="295634AB">
            <w:pPr>
              <w:pStyle w:val="54"/>
              <w:spacing w:before="22" w:line="246" w:lineRule="auto"/>
              <w:ind w:right="102" w:firstLine="0" w:firstLineChars="0"/>
              <w:jc w:val="left"/>
              <w:rPr>
                <w:rFonts w:ascii="宋体" w:hAnsi="宋体" w:eastAsia="宋体"/>
                <w:spacing w:val="16"/>
                <w:sz w:val="21"/>
                <w:szCs w:val="21"/>
                <w:highlight w:val="black"/>
                <w:lang w:val="zh-CN" w:eastAsia="zh-CN"/>
              </w:rPr>
            </w:pPr>
            <w:r>
              <w:rPr>
                <w:rFonts w:hint="eastAsia" w:ascii="宋体" w:hAnsi="宋体" w:eastAsia="宋体"/>
                <w:spacing w:val="16"/>
                <w:sz w:val="21"/>
                <w:szCs w:val="21"/>
                <w:highlight w:val="black"/>
                <w:lang w:val="zh-CN" w:eastAsia="zh-CN"/>
              </w:rPr>
              <w:t>2. 违章作业等</w:t>
            </w:r>
          </w:p>
          <w:p w14:paraId="6B2F5E42">
            <w:pPr>
              <w:pStyle w:val="54"/>
              <w:spacing w:before="22" w:line="246"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val="zh-CN" w:eastAsia="zh-CN"/>
              </w:rPr>
              <w:t>3. 管理不到位</w:t>
            </w:r>
          </w:p>
        </w:tc>
        <w:tc>
          <w:tcPr>
            <w:tcW w:w="0" w:type="auto"/>
            <w:tcBorders>
              <w:tl2br w:val="nil"/>
              <w:tr2bl w:val="nil"/>
            </w:tcBorders>
            <w:vAlign w:val="center"/>
          </w:tcPr>
          <w:p w14:paraId="133FF786">
            <w:pPr>
              <w:spacing w:line="240" w:lineRule="auto"/>
              <w:ind w:firstLine="0" w:firstLineChars="0"/>
              <w:jc w:val="center"/>
              <w:rPr>
                <w:rFonts w:ascii="宋体" w:hAnsi="宋体"/>
                <w:spacing w:val="16"/>
                <w:sz w:val="21"/>
                <w:szCs w:val="21"/>
                <w:highlight w:val="black"/>
              </w:rPr>
            </w:pPr>
            <w:r>
              <w:rPr>
                <w:rFonts w:hint="eastAsia" w:ascii="宋体" w:hAnsi="宋体"/>
                <w:spacing w:val="16"/>
                <w:sz w:val="21"/>
                <w:szCs w:val="21"/>
                <w:highlight w:val="black"/>
              </w:rPr>
              <w:t>人员</w:t>
            </w:r>
          </w:p>
          <w:p w14:paraId="180798BD">
            <w:pPr>
              <w:spacing w:line="240" w:lineRule="auto"/>
              <w:ind w:firstLine="0" w:firstLineChars="0"/>
              <w:jc w:val="center"/>
              <w:rPr>
                <w:rFonts w:ascii="宋体" w:hAnsi="宋体"/>
                <w:spacing w:val="16"/>
                <w:sz w:val="21"/>
                <w:szCs w:val="21"/>
                <w:highlight w:val="black"/>
              </w:rPr>
            </w:pPr>
            <w:r>
              <w:rPr>
                <w:rFonts w:hint="eastAsia" w:ascii="宋体" w:hAnsi="宋体"/>
                <w:spacing w:val="16"/>
                <w:sz w:val="21"/>
                <w:szCs w:val="21"/>
                <w:highlight w:val="black"/>
              </w:rPr>
              <w:t>伤亡</w:t>
            </w:r>
          </w:p>
        </w:tc>
        <w:tc>
          <w:tcPr>
            <w:tcW w:w="0" w:type="auto"/>
            <w:tcBorders>
              <w:tl2br w:val="nil"/>
              <w:tr2bl w:val="nil"/>
            </w:tcBorders>
            <w:vAlign w:val="center"/>
          </w:tcPr>
          <w:p w14:paraId="767B41F4">
            <w:pPr>
              <w:spacing w:line="240" w:lineRule="auto"/>
              <w:ind w:firstLine="0" w:firstLineChars="0"/>
              <w:jc w:val="center"/>
              <w:rPr>
                <w:rFonts w:ascii="宋体" w:hAnsi="宋体" w:cs="宋体"/>
                <w:spacing w:val="6"/>
                <w:sz w:val="20"/>
                <w:szCs w:val="20"/>
                <w:highlight w:val="black"/>
              </w:rPr>
            </w:pPr>
            <w:r>
              <w:rPr>
                <w:rFonts w:ascii="宋体" w:hAnsi="宋体" w:cs="宋体"/>
                <w:spacing w:val="6"/>
                <w:sz w:val="20"/>
                <w:szCs w:val="20"/>
                <w:highlight w:val="black"/>
              </w:rPr>
              <w:t>Ⅲ</w:t>
            </w:r>
          </w:p>
        </w:tc>
        <w:tc>
          <w:tcPr>
            <w:tcW w:w="0" w:type="auto"/>
            <w:tcBorders>
              <w:tl2br w:val="nil"/>
              <w:tr2bl w:val="nil"/>
            </w:tcBorders>
            <w:vAlign w:val="center"/>
          </w:tcPr>
          <w:p w14:paraId="719E2FCA">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1.凿岩、出渣及砌筑等工作应在工作盘保护下进行。</w:t>
            </w:r>
          </w:p>
          <w:p w14:paraId="5C9C45DA">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2.作业前应派有经验的工人进入工作面进行“敲帮问顶”，检查清理顶板和两帮的松动岩石，然后再进行下一道工序的作业。处理作面空间有无松动浮石时，要从安全地点由外向里逐步进行，处理时人员要站在安全地点，使用长柄工具。</w:t>
            </w:r>
          </w:p>
          <w:p w14:paraId="7230A491">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3.井下所有作业地点、安全通道和通往作业地点的人行道，都应有照明。天井和漏斗口必须设有标志、照明。</w:t>
            </w:r>
          </w:p>
          <w:p w14:paraId="4F264FDA">
            <w:pPr>
              <w:autoSpaceDE w:val="0"/>
              <w:autoSpaceDN w:val="0"/>
              <w:adjustRightInd w:val="0"/>
              <w:spacing w:line="240" w:lineRule="auto"/>
              <w:ind w:firstLine="0" w:firstLineChars="0"/>
              <w:rPr>
                <w:rFonts w:ascii="宋体" w:hAnsi="宋体"/>
                <w:spacing w:val="16"/>
                <w:sz w:val="21"/>
                <w:szCs w:val="21"/>
                <w:highlight w:val="black"/>
                <w:lang w:val="zh-CN"/>
              </w:rPr>
            </w:pPr>
            <w:r>
              <w:rPr>
                <w:rFonts w:hint="eastAsia" w:ascii="宋体" w:hAnsi="宋体"/>
                <w:spacing w:val="16"/>
                <w:sz w:val="21"/>
                <w:szCs w:val="21"/>
                <w:highlight w:val="black"/>
                <w:lang w:val="zh-CN"/>
              </w:rPr>
              <w:t>4.上、下人员梯子或横撑的支持点应位于井框横梁上，梯子的倾角不得大于80º，平台出口要保证在0.6×0.7m</w:t>
            </w:r>
            <w:r>
              <w:rPr>
                <w:rFonts w:hint="eastAsia" w:ascii="宋体" w:hAnsi="宋体"/>
                <w:spacing w:val="16"/>
                <w:sz w:val="21"/>
                <w:szCs w:val="21"/>
                <w:highlight w:val="black"/>
                <w:vertAlign w:val="superscript"/>
                <w:lang w:val="zh-CN"/>
              </w:rPr>
              <w:t>2</w:t>
            </w:r>
            <w:r>
              <w:rPr>
                <w:rFonts w:hint="eastAsia" w:ascii="宋体" w:hAnsi="宋体"/>
                <w:spacing w:val="16"/>
                <w:sz w:val="21"/>
                <w:szCs w:val="21"/>
                <w:highlight w:val="black"/>
                <w:lang w:val="zh-CN"/>
              </w:rPr>
              <w:t>以上。</w:t>
            </w:r>
          </w:p>
          <w:p w14:paraId="0BD23DBB">
            <w:pPr>
              <w:pStyle w:val="54"/>
              <w:spacing w:before="22" w:line="240"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5</w:t>
            </w:r>
            <w:r>
              <w:rPr>
                <w:rFonts w:hint="eastAsia" w:ascii="宋体" w:hAnsi="宋体" w:eastAsia="宋体"/>
                <w:spacing w:val="16"/>
                <w:sz w:val="21"/>
                <w:szCs w:val="21"/>
                <w:highlight w:val="black"/>
                <w:lang w:val="zh-CN" w:eastAsia="zh-CN"/>
              </w:rPr>
              <w:t>.建立完善的安全操作规程并执行。</w:t>
            </w:r>
          </w:p>
        </w:tc>
      </w:tr>
    </w:tbl>
    <w:p w14:paraId="09DFA0A2">
      <w:pPr>
        <w:pStyle w:val="4"/>
        <w:ind w:firstLine="0" w:firstLineChars="0"/>
      </w:pPr>
      <w:r>
        <w:rPr>
          <w:rFonts w:hint="eastAsia"/>
        </w:rPr>
        <w:t>3</w:t>
      </w:r>
      <w:r>
        <w:t>.2.</w:t>
      </w:r>
      <w:r>
        <w:rPr>
          <w:rFonts w:hint="eastAsia"/>
        </w:rPr>
        <w:t>5</w:t>
      </w:r>
      <w:r>
        <w:t>评价结果</w:t>
      </w:r>
      <w:bookmarkEnd w:id="263"/>
      <w:bookmarkEnd w:id="264"/>
      <w:bookmarkEnd w:id="265"/>
    </w:p>
    <w:p w14:paraId="1D33F9B3">
      <w:pPr>
        <w:ind w:firstLine="560"/>
        <w:rPr>
          <w:highlight w:val="black"/>
        </w:rPr>
      </w:pPr>
      <w:r>
        <w:rPr>
          <w:rFonts w:hint="eastAsia"/>
          <w:highlight w:val="black"/>
        </w:rPr>
        <w:t>“冒顶片帮”“高处坠落”“物体打击”</w:t>
      </w:r>
      <w:r>
        <w:rPr>
          <w:highlight w:val="black"/>
        </w:rPr>
        <w:t>事故结果较为严重，因此，本项目</w:t>
      </w:r>
      <w:r>
        <w:rPr>
          <w:rFonts w:hint="eastAsia"/>
          <w:highlight w:val="black"/>
          <w:lang w:val="en-US" w:eastAsia="zh-CN"/>
        </w:rPr>
        <w:t>开拓系统</w:t>
      </w:r>
      <w:r>
        <w:rPr>
          <w:highlight w:val="black"/>
        </w:rPr>
        <w:t>中造成的伤害危险等级定为Ⅲ级。</w:t>
      </w:r>
    </w:p>
    <w:p w14:paraId="63222B2F">
      <w:pPr>
        <w:ind w:firstLine="560"/>
        <w:rPr>
          <w:highlight w:val="black"/>
        </w:rPr>
      </w:pPr>
      <w:r>
        <w:rPr>
          <w:highlight w:val="black"/>
        </w:rPr>
        <w:t>通过对地下矿山开拓单元的评价，建设单位只要严格按照设计要求及本预评价单位提出的安全对策措施对开拓系统进行施工，合理布置井巷、及时支护，并保证安全出口畅通，则</w:t>
      </w:r>
      <w:r>
        <w:rPr>
          <w:rFonts w:hint="eastAsia"/>
          <w:highlight w:val="black"/>
        </w:rPr>
        <w:t>《可研报告》</w:t>
      </w:r>
      <w:r>
        <w:rPr>
          <w:highlight w:val="black"/>
        </w:rPr>
        <w:t>设计的开拓系统是安全可靠的。</w:t>
      </w:r>
    </w:p>
    <w:p w14:paraId="30DF9D17">
      <w:pPr>
        <w:pStyle w:val="3"/>
        <w:ind w:firstLine="0" w:firstLineChars="0"/>
      </w:pPr>
      <w:bookmarkStart w:id="266" w:name="_Toc7256"/>
      <w:r>
        <w:t>3.3</w:t>
      </w:r>
      <w:r>
        <w:rPr>
          <w:rFonts w:hint="eastAsia"/>
        </w:rPr>
        <w:t xml:space="preserve"> 运输</w:t>
      </w:r>
      <w:r>
        <w:t>单元</w:t>
      </w:r>
      <w:bookmarkEnd w:id="266"/>
    </w:p>
    <w:p w14:paraId="0D9A4E3B">
      <w:pPr>
        <w:pStyle w:val="4"/>
        <w:ind w:firstLine="0" w:firstLineChars="0"/>
      </w:pPr>
      <w:bookmarkStart w:id="267" w:name="_Toc13359"/>
      <w:bookmarkStart w:id="268" w:name="_Toc8970"/>
      <w:r>
        <w:rPr>
          <w:rFonts w:hint="eastAsia"/>
        </w:rPr>
        <w:t>3.3.1</w:t>
      </w:r>
      <w:bookmarkEnd w:id="267"/>
      <w:bookmarkEnd w:id="268"/>
      <w:r>
        <w:rPr>
          <w:rFonts w:hint="eastAsia"/>
        </w:rPr>
        <w:t>可能存在的主要危险有害因素</w:t>
      </w:r>
    </w:p>
    <w:p w14:paraId="73B7DCDC">
      <w:pPr>
        <w:ind w:firstLine="560"/>
        <w:rPr>
          <w:highlight w:val="black"/>
          <w:lang w:val="zh-CN"/>
        </w:rPr>
      </w:pPr>
      <w:r>
        <w:rPr>
          <w:rFonts w:hint="eastAsia"/>
          <w:highlight w:val="black"/>
        </w:rPr>
        <w:t>该单元存在的主要危险有害因素有“车辆伤害”“物体打击”。</w:t>
      </w:r>
    </w:p>
    <w:p w14:paraId="6FA0E34C">
      <w:pPr>
        <w:pStyle w:val="4"/>
        <w:ind w:firstLine="0" w:firstLineChars="0"/>
      </w:pPr>
      <w:r>
        <w:rPr>
          <w:rFonts w:hint="eastAsia"/>
        </w:rPr>
        <w:t>3.3.2 运输单元评价</w:t>
      </w:r>
    </w:p>
    <w:p w14:paraId="0A3CD2B9">
      <w:pPr>
        <w:ind w:firstLine="560"/>
        <w:rPr>
          <w:highlight w:val="black"/>
        </w:rPr>
      </w:pPr>
      <w:r>
        <w:rPr>
          <w:highlight w:val="black"/>
        </w:rPr>
        <w:t>采用预先危险性分析法对</w:t>
      </w:r>
      <w:r>
        <w:rPr>
          <w:rFonts w:hint="eastAsia"/>
          <w:highlight w:val="black"/>
        </w:rPr>
        <w:t>运输</w:t>
      </w:r>
      <w:r>
        <w:rPr>
          <w:highlight w:val="black"/>
        </w:rPr>
        <w:t>单元进行评价，见下表3</w:t>
      </w:r>
      <w:r>
        <w:rPr>
          <w:rFonts w:hint="eastAsia"/>
          <w:highlight w:val="black"/>
        </w:rPr>
        <w:t>-5。</w:t>
      </w:r>
    </w:p>
    <w:p w14:paraId="5A6CBD46">
      <w:pPr>
        <w:pStyle w:val="7"/>
        <w:ind w:firstLine="0" w:firstLineChars="0"/>
        <w:jc w:val="center"/>
        <w:rPr>
          <w:rFonts w:hAnsi="宋体"/>
          <w:b/>
          <w:bCs/>
          <w:sz w:val="21"/>
          <w:szCs w:val="21"/>
        </w:rPr>
      </w:pPr>
    </w:p>
    <w:p w14:paraId="18A61DDE">
      <w:pPr>
        <w:pStyle w:val="7"/>
        <w:ind w:firstLine="0" w:firstLineChars="0"/>
        <w:jc w:val="center"/>
        <w:rPr>
          <w:rFonts w:hAnsi="宋体"/>
          <w:b/>
          <w:bCs/>
          <w:sz w:val="21"/>
          <w:szCs w:val="21"/>
        </w:rPr>
      </w:pPr>
    </w:p>
    <w:p w14:paraId="37D495A8">
      <w:pPr>
        <w:pStyle w:val="7"/>
        <w:ind w:firstLine="0" w:firstLineChars="0"/>
        <w:jc w:val="center"/>
        <w:rPr>
          <w:rFonts w:hAnsi="宋体"/>
          <w:b/>
          <w:bCs/>
          <w:sz w:val="21"/>
          <w:szCs w:val="21"/>
        </w:rPr>
      </w:pPr>
    </w:p>
    <w:p w14:paraId="00EEFCCD">
      <w:pPr>
        <w:pStyle w:val="7"/>
        <w:ind w:firstLine="0" w:firstLineChars="0"/>
        <w:jc w:val="center"/>
      </w:pPr>
      <w:r>
        <w:rPr>
          <w:rFonts w:hint="eastAsia" w:hAnsi="宋体"/>
          <w:b/>
          <w:bCs/>
          <w:sz w:val="21"/>
          <w:szCs w:val="21"/>
        </w:rPr>
        <w:t>表3-5 运输单元</w:t>
      </w:r>
      <w:r>
        <w:rPr>
          <w:rFonts w:hAnsi="宋体"/>
          <w:b/>
          <w:bCs/>
          <w:sz w:val="21"/>
          <w:szCs w:val="21"/>
        </w:rPr>
        <w:t>预先危险性分析</w:t>
      </w:r>
      <w:r>
        <w:rPr>
          <w:rFonts w:hint="eastAsia" w:hAnsi="宋体"/>
          <w:b/>
          <w:bCs/>
          <w:sz w:val="21"/>
          <w:szCs w:val="21"/>
        </w:rPr>
        <w:t>检查表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2800"/>
        <w:gridCol w:w="1213"/>
        <w:gridCol w:w="757"/>
        <w:gridCol w:w="2705"/>
      </w:tblGrid>
      <w:tr w14:paraId="404AD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14" w:type="pct"/>
            <w:tcBorders>
              <w:tl2br w:val="nil"/>
              <w:tr2bl w:val="nil"/>
            </w:tcBorders>
            <w:vAlign w:val="center"/>
          </w:tcPr>
          <w:p w14:paraId="6B6505E2">
            <w:pPr>
              <w:spacing w:line="240" w:lineRule="auto"/>
              <w:ind w:firstLine="0" w:firstLineChars="0"/>
              <w:jc w:val="center"/>
              <w:rPr>
                <w:rFonts w:ascii="宋体" w:hAnsi="宋体"/>
                <w:spacing w:val="16"/>
                <w:sz w:val="21"/>
                <w:szCs w:val="21"/>
                <w:highlight w:val="black"/>
              </w:rPr>
            </w:pPr>
            <w:r>
              <w:rPr>
                <w:rFonts w:ascii="宋体" w:hAnsi="宋体"/>
                <w:spacing w:val="16"/>
                <w:sz w:val="21"/>
                <w:szCs w:val="21"/>
                <w:highlight w:val="black"/>
              </w:rPr>
              <w:t>危险有害因素</w:t>
            </w:r>
          </w:p>
        </w:tc>
        <w:tc>
          <w:tcPr>
            <w:tcW w:w="1642" w:type="pct"/>
            <w:tcBorders>
              <w:tl2br w:val="nil"/>
              <w:tr2bl w:val="nil"/>
            </w:tcBorders>
            <w:vAlign w:val="center"/>
          </w:tcPr>
          <w:p w14:paraId="1D9F9EE6">
            <w:pPr>
              <w:spacing w:line="240" w:lineRule="auto"/>
              <w:ind w:firstLine="0" w:firstLineChars="0"/>
              <w:jc w:val="center"/>
              <w:rPr>
                <w:rFonts w:ascii="宋体" w:hAnsi="宋体"/>
                <w:spacing w:val="16"/>
                <w:sz w:val="21"/>
                <w:szCs w:val="21"/>
                <w:highlight w:val="black"/>
              </w:rPr>
            </w:pPr>
            <w:r>
              <w:rPr>
                <w:rFonts w:ascii="宋体" w:hAnsi="宋体"/>
                <w:spacing w:val="16"/>
                <w:sz w:val="21"/>
                <w:szCs w:val="21"/>
                <w:highlight w:val="black"/>
              </w:rPr>
              <w:t>致因因素</w:t>
            </w:r>
          </w:p>
        </w:tc>
        <w:tc>
          <w:tcPr>
            <w:tcW w:w="711" w:type="pct"/>
            <w:tcBorders>
              <w:tl2br w:val="nil"/>
              <w:tr2bl w:val="nil"/>
            </w:tcBorders>
            <w:vAlign w:val="center"/>
          </w:tcPr>
          <w:p w14:paraId="0F9F9CDF">
            <w:pPr>
              <w:spacing w:line="240" w:lineRule="auto"/>
              <w:ind w:firstLine="0" w:firstLineChars="0"/>
              <w:jc w:val="center"/>
              <w:rPr>
                <w:rFonts w:ascii="宋体" w:hAnsi="宋体"/>
                <w:spacing w:val="16"/>
                <w:sz w:val="21"/>
                <w:szCs w:val="21"/>
                <w:highlight w:val="black"/>
              </w:rPr>
            </w:pPr>
            <w:r>
              <w:rPr>
                <w:rFonts w:ascii="宋体" w:hAnsi="宋体"/>
                <w:spacing w:val="16"/>
                <w:sz w:val="21"/>
                <w:szCs w:val="21"/>
                <w:highlight w:val="black"/>
              </w:rPr>
              <w:t>事故后果</w:t>
            </w:r>
          </w:p>
        </w:tc>
        <w:tc>
          <w:tcPr>
            <w:tcW w:w="444" w:type="pct"/>
            <w:tcBorders>
              <w:tl2br w:val="nil"/>
              <w:tr2bl w:val="nil"/>
            </w:tcBorders>
            <w:vAlign w:val="center"/>
          </w:tcPr>
          <w:p w14:paraId="7951DD24">
            <w:pPr>
              <w:spacing w:line="240" w:lineRule="auto"/>
              <w:ind w:left="53" w:leftChars="19" w:firstLine="0" w:firstLineChars="0"/>
              <w:jc w:val="center"/>
              <w:rPr>
                <w:rFonts w:ascii="宋体" w:hAnsi="宋体"/>
                <w:spacing w:val="16"/>
                <w:sz w:val="21"/>
                <w:szCs w:val="21"/>
                <w:highlight w:val="black"/>
              </w:rPr>
            </w:pPr>
            <w:r>
              <w:rPr>
                <w:rFonts w:ascii="宋体" w:hAnsi="宋体"/>
                <w:spacing w:val="16"/>
                <w:sz w:val="21"/>
                <w:szCs w:val="21"/>
                <w:highlight w:val="black"/>
              </w:rPr>
              <w:t>危险等级</w:t>
            </w:r>
          </w:p>
        </w:tc>
        <w:tc>
          <w:tcPr>
            <w:tcW w:w="1586" w:type="pct"/>
            <w:tcBorders>
              <w:tl2br w:val="nil"/>
              <w:tr2bl w:val="nil"/>
            </w:tcBorders>
            <w:vAlign w:val="center"/>
          </w:tcPr>
          <w:p w14:paraId="549DAEE1">
            <w:pPr>
              <w:spacing w:line="240" w:lineRule="auto"/>
              <w:ind w:firstLine="0" w:firstLineChars="0"/>
              <w:jc w:val="center"/>
              <w:rPr>
                <w:rFonts w:ascii="宋体" w:hAnsi="宋体"/>
                <w:spacing w:val="16"/>
                <w:sz w:val="21"/>
                <w:szCs w:val="21"/>
                <w:highlight w:val="black"/>
              </w:rPr>
            </w:pPr>
            <w:r>
              <w:rPr>
                <w:rFonts w:ascii="宋体" w:hAnsi="宋体"/>
                <w:spacing w:val="16"/>
                <w:sz w:val="21"/>
                <w:szCs w:val="21"/>
                <w:highlight w:val="black"/>
              </w:rPr>
              <w:t>预防措施</w:t>
            </w:r>
          </w:p>
        </w:tc>
      </w:tr>
      <w:tr w14:paraId="6B3FC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614" w:type="pct"/>
            <w:tcBorders>
              <w:tl2br w:val="nil"/>
              <w:tr2bl w:val="nil"/>
            </w:tcBorders>
            <w:textDirection w:val="tbRlV"/>
            <w:vAlign w:val="center"/>
          </w:tcPr>
          <w:p w14:paraId="113BBA67">
            <w:pPr>
              <w:spacing w:line="240" w:lineRule="auto"/>
              <w:ind w:left="113" w:right="113" w:firstLine="0" w:firstLineChars="0"/>
              <w:jc w:val="center"/>
              <w:rPr>
                <w:rFonts w:ascii="宋体" w:hAnsi="宋体"/>
                <w:spacing w:val="16"/>
                <w:sz w:val="21"/>
                <w:szCs w:val="21"/>
                <w:highlight w:val="black"/>
              </w:rPr>
            </w:pPr>
            <w:r>
              <w:rPr>
                <w:rFonts w:hint="eastAsia" w:ascii="宋体" w:hAnsi="宋体"/>
                <w:spacing w:val="16"/>
                <w:sz w:val="21"/>
                <w:szCs w:val="21"/>
                <w:highlight w:val="black"/>
              </w:rPr>
              <w:t>车辆伤害、物体打击</w:t>
            </w:r>
          </w:p>
        </w:tc>
        <w:tc>
          <w:tcPr>
            <w:tcW w:w="1642" w:type="pct"/>
            <w:tcBorders>
              <w:tl2br w:val="nil"/>
              <w:tr2bl w:val="nil"/>
            </w:tcBorders>
            <w:vAlign w:val="center"/>
          </w:tcPr>
          <w:p w14:paraId="3B6ACE85">
            <w:pPr>
              <w:pStyle w:val="54"/>
              <w:spacing w:before="168" w:line="237" w:lineRule="auto"/>
              <w:ind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1.</w:t>
            </w:r>
            <w:r>
              <w:rPr>
                <w:rFonts w:ascii="宋体" w:hAnsi="宋体" w:eastAsia="宋体"/>
                <w:spacing w:val="16"/>
                <w:sz w:val="21"/>
                <w:szCs w:val="21"/>
                <w:highlight w:val="black"/>
                <w:lang w:eastAsia="zh-CN"/>
              </w:rPr>
              <w:t>运行矿车前后间距不够</w:t>
            </w:r>
            <w:r>
              <w:rPr>
                <w:rFonts w:hint="eastAsia" w:ascii="宋体" w:hAnsi="宋体" w:eastAsia="宋体"/>
                <w:spacing w:val="16"/>
                <w:sz w:val="21"/>
                <w:szCs w:val="21"/>
                <w:highlight w:val="black"/>
                <w:lang w:eastAsia="zh-CN"/>
              </w:rPr>
              <w:t>；</w:t>
            </w:r>
          </w:p>
          <w:p w14:paraId="0B819AA3">
            <w:pPr>
              <w:pStyle w:val="54"/>
              <w:spacing w:before="23" w:line="236" w:lineRule="auto"/>
              <w:ind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2.</w:t>
            </w:r>
            <w:r>
              <w:rPr>
                <w:rFonts w:ascii="宋体" w:hAnsi="宋体" w:eastAsia="宋体"/>
                <w:spacing w:val="16"/>
                <w:sz w:val="21"/>
                <w:szCs w:val="21"/>
                <w:highlight w:val="black"/>
                <w:lang w:eastAsia="zh-CN"/>
              </w:rPr>
              <w:t>巷道内无人行道、无躲避硐室</w:t>
            </w:r>
            <w:r>
              <w:rPr>
                <w:rFonts w:hint="eastAsia" w:ascii="宋体" w:hAnsi="宋体" w:eastAsia="宋体"/>
                <w:spacing w:val="16"/>
                <w:sz w:val="21"/>
                <w:szCs w:val="21"/>
                <w:highlight w:val="black"/>
                <w:lang w:eastAsia="zh-CN"/>
              </w:rPr>
              <w:t>；</w:t>
            </w:r>
          </w:p>
          <w:p w14:paraId="06161C49">
            <w:pPr>
              <w:pStyle w:val="54"/>
              <w:spacing w:before="23" w:line="236" w:lineRule="auto"/>
              <w:ind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3.</w:t>
            </w:r>
            <w:r>
              <w:rPr>
                <w:rFonts w:ascii="宋体" w:hAnsi="宋体" w:eastAsia="宋体"/>
                <w:spacing w:val="16"/>
                <w:sz w:val="21"/>
                <w:szCs w:val="21"/>
                <w:highlight w:val="black"/>
                <w:lang w:eastAsia="zh-CN"/>
              </w:rPr>
              <w:t>巷道照明不够，行车视线不良</w:t>
            </w:r>
            <w:r>
              <w:rPr>
                <w:rFonts w:hint="eastAsia" w:ascii="宋体" w:hAnsi="宋体" w:eastAsia="宋体"/>
                <w:spacing w:val="16"/>
                <w:sz w:val="21"/>
                <w:szCs w:val="21"/>
                <w:highlight w:val="black"/>
                <w:lang w:eastAsia="zh-CN"/>
              </w:rPr>
              <w:t>；</w:t>
            </w:r>
          </w:p>
          <w:p w14:paraId="1947D16C">
            <w:pPr>
              <w:pStyle w:val="54"/>
              <w:spacing w:before="29" w:line="244"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4.</w:t>
            </w:r>
            <w:r>
              <w:rPr>
                <w:rFonts w:ascii="宋体" w:hAnsi="宋体" w:eastAsia="宋体"/>
                <w:spacing w:val="16"/>
                <w:sz w:val="21"/>
                <w:szCs w:val="21"/>
                <w:highlight w:val="black"/>
                <w:lang w:eastAsia="zh-CN"/>
              </w:rPr>
              <w:t>行人在巷道非人行侧行走</w:t>
            </w:r>
            <w:r>
              <w:rPr>
                <w:rFonts w:hint="eastAsia" w:ascii="宋体" w:hAnsi="宋体" w:eastAsia="宋体"/>
                <w:spacing w:val="16"/>
                <w:sz w:val="21"/>
                <w:szCs w:val="21"/>
                <w:highlight w:val="black"/>
                <w:lang w:eastAsia="zh-CN"/>
              </w:rPr>
              <w:t>；</w:t>
            </w:r>
          </w:p>
          <w:p w14:paraId="7339D8D9">
            <w:pPr>
              <w:pStyle w:val="54"/>
              <w:spacing w:before="22" w:line="246"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5.</w:t>
            </w:r>
            <w:r>
              <w:rPr>
                <w:rFonts w:ascii="宋体" w:hAnsi="宋体" w:eastAsia="宋体"/>
                <w:spacing w:val="16"/>
                <w:sz w:val="21"/>
                <w:szCs w:val="21"/>
                <w:highlight w:val="black"/>
                <w:lang w:eastAsia="zh-CN"/>
              </w:rPr>
              <w:t>行人安全意识差或精神 不</w:t>
            </w:r>
            <w:r>
              <w:rPr>
                <w:rFonts w:hint="eastAsia" w:ascii="宋体" w:hAnsi="宋体" w:eastAsia="宋体"/>
                <w:spacing w:val="16"/>
                <w:sz w:val="21"/>
                <w:szCs w:val="21"/>
                <w:highlight w:val="black"/>
                <w:lang w:eastAsia="zh-CN"/>
              </w:rPr>
              <w:t>集</w:t>
            </w:r>
            <w:r>
              <w:rPr>
                <w:rFonts w:ascii="宋体" w:hAnsi="宋体" w:eastAsia="宋体"/>
                <w:spacing w:val="16"/>
                <w:sz w:val="21"/>
                <w:szCs w:val="21"/>
                <w:highlight w:val="black"/>
                <w:lang w:eastAsia="zh-CN"/>
              </w:rPr>
              <w:t>中</w:t>
            </w:r>
            <w:r>
              <w:rPr>
                <w:rFonts w:hint="eastAsia" w:ascii="宋体" w:hAnsi="宋体" w:eastAsia="宋体"/>
                <w:spacing w:val="16"/>
                <w:sz w:val="21"/>
                <w:szCs w:val="21"/>
                <w:highlight w:val="black"/>
                <w:lang w:eastAsia="zh-CN"/>
              </w:rPr>
              <w:t>；</w:t>
            </w:r>
          </w:p>
          <w:p w14:paraId="0D40FB04">
            <w:pPr>
              <w:pStyle w:val="54"/>
              <w:spacing w:before="23" w:line="236" w:lineRule="auto"/>
              <w:ind w:firstLine="0" w:firstLineChars="0"/>
              <w:jc w:val="left"/>
              <w:rPr>
                <w:rFonts w:ascii="宋体" w:hAnsi="宋体" w:eastAsia="宋体" w:cs="宋体"/>
                <w:spacing w:val="6"/>
                <w:highlight w:val="black"/>
                <w:lang w:eastAsia="zh-CN"/>
              </w:rPr>
            </w:pPr>
            <w:r>
              <w:rPr>
                <w:rFonts w:hint="eastAsia" w:ascii="宋体" w:hAnsi="宋体" w:eastAsia="宋体"/>
                <w:spacing w:val="16"/>
                <w:sz w:val="21"/>
                <w:szCs w:val="21"/>
                <w:highlight w:val="black"/>
                <w:lang w:eastAsia="zh-CN"/>
              </w:rPr>
              <w:t>6.</w:t>
            </w:r>
            <w:r>
              <w:rPr>
                <w:rFonts w:ascii="宋体" w:hAnsi="宋体" w:eastAsia="宋体"/>
                <w:spacing w:val="16"/>
                <w:sz w:val="21"/>
                <w:szCs w:val="21"/>
                <w:highlight w:val="black"/>
                <w:lang w:eastAsia="zh-CN"/>
              </w:rPr>
              <w:t>驾驶人员违章操作、判断 失误、操作失控等</w:t>
            </w:r>
            <w:r>
              <w:rPr>
                <w:rFonts w:hint="eastAsia" w:ascii="宋体" w:hAnsi="宋体" w:eastAsia="宋体"/>
                <w:spacing w:val="16"/>
                <w:sz w:val="21"/>
                <w:szCs w:val="21"/>
                <w:highlight w:val="black"/>
                <w:lang w:eastAsia="zh-CN"/>
              </w:rPr>
              <w:t>。</w:t>
            </w:r>
          </w:p>
        </w:tc>
        <w:tc>
          <w:tcPr>
            <w:tcW w:w="711" w:type="pct"/>
            <w:tcBorders>
              <w:tl2br w:val="nil"/>
              <w:tr2bl w:val="nil"/>
            </w:tcBorders>
            <w:vAlign w:val="center"/>
          </w:tcPr>
          <w:p w14:paraId="10EA7770">
            <w:pPr>
              <w:spacing w:line="240" w:lineRule="auto"/>
              <w:ind w:firstLine="0" w:firstLineChars="0"/>
              <w:jc w:val="center"/>
              <w:rPr>
                <w:rFonts w:ascii="宋体" w:hAnsi="宋体"/>
                <w:spacing w:val="16"/>
                <w:sz w:val="21"/>
                <w:szCs w:val="21"/>
                <w:highlight w:val="black"/>
              </w:rPr>
            </w:pPr>
            <w:r>
              <w:rPr>
                <w:rFonts w:ascii="宋体" w:hAnsi="宋体"/>
                <w:spacing w:val="16"/>
                <w:sz w:val="21"/>
                <w:szCs w:val="21"/>
                <w:highlight w:val="black"/>
              </w:rPr>
              <w:t>人员伤亡。</w:t>
            </w:r>
          </w:p>
        </w:tc>
        <w:tc>
          <w:tcPr>
            <w:tcW w:w="444" w:type="pct"/>
            <w:tcBorders>
              <w:tl2br w:val="nil"/>
              <w:tr2bl w:val="nil"/>
            </w:tcBorders>
            <w:vAlign w:val="center"/>
          </w:tcPr>
          <w:p w14:paraId="0DF4B2E5">
            <w:pPr>
              <w:spacing w:line="240" w:lineRule="auto"/>
              <w:ind w:firstLine="0" w:firstLineChars="0"/>
              <w:jc w:val="center"/>
              <w:rPr>
                <w:rFonts w:ascii="宋体" w:hAnsi="宋体"/>
                <w:spacing w:val="16"/>
                <w:sz w:val="21"/>
                <w:szCs w:val="21"/>
                <w:highlight w:val="black"/>
              </w:rPr>
            </w:pPr>
            <w:r>
              <w:rPr>
                <w:rFonts w:ascii="宋体" w:hAnsi="宋体" w:cs="宋体"/>
                <w:spacing w:val="6"/>
                <w:sz w:val="20"/>
                <w:szCs w:val="20"/>
                <w:highlight w:val="black"/>
              </w:rPr>
              <w:t>Ⅲ</w:t>
            </w:r>
          </w:p>
        </w:tc>
        <w:tc>
          <w:tcPr>
            <w:tcW w:w="1586" w:type="pct"/>
            <w:tcBorders>
              <w:tl2br w:val="nil"/>
              <w:tr2bl w:val="nil"/>
            </w:tcBorders>
            <w:vAlign w:val="center"/>
          </w:tcPr>
          <w:p w14:paraId="7F7FBF4C">
            <w:pPr>
              <w:pStyle w:val="54"/>
              <w:spacing w:before="22" w:line="246"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1.防止人员在危险区行走；</w:t>
            </w:r>
          </w:p>
          <w:p w14:paraId="62DACB15">
            <w:pPr>
              <w:pStyle w:val="54"/>
              <w:spacing w:before="22" w:line="246"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2.司机必须经培训考核，持证上岗；</w:t>
            </w:r>
          </w:p>
          <w:p w14:paraId="7EADC3DC">
            <w:pPr>
              <w:pStyle w:val="54"/>
              <w:spacing w:before="22" w:line="246" w:lineRule="auto"/>
              <w:ind w:right="102" w:firstLine="0" w:firstLineChars="0"/>
              <w:jc w:val="left"/>
              <w:rPr>
                <w:rFonts w:ascii="宋体" w:hAnsi="宋体" w:eastAsia="宋体"/>
                <w:spacing w:val="16"/>
                <w:sz w:val="21"/>
                <w:szCs w:val="21"/>
                <w:highlight w:val="black"/>
                <w:lang w:eastAsia="zh-CN"/>
              </w:rPr>
            </w:pPr>
            <w:r>
              <w:rPr>
                <w:rFonts w:hint="eastAsia" w:ascii="宋体" w:hAnsi="宋体" w:eastAsia="宋体"/>
                <w:spacing w:val="16"/>
                <w:sz w:val="21"/>
                <w:szCs w:val="21"/>
                <w:highlight w:val="black"/>
                <w:lang w:eastAsia="zh-CN"/>
              </w:rPr>
              <w:t>3.行车时必须随时注意前方有无障碍物、行人或其他危险情况。</w:t>
            </w:r>
          </w:p>
        </w:tc>
      </w:tr>
    </w:tbl>
    <w:p w14:paraId="09337960">
      <w:pPr>
        <w:pStyle w:val="4"/>
        <w:ind w:firstLine="0" w:firstLineChars="0"/>
      </w:pPr>
      <w:r>
        <w:rPr>
          <w:rFonts w:hint="eastAsia"/>
        </w:rPr>
        <w:t>3.3.3 评价结果</w:t>
      </w:r>
    </w:p>
    <w:p w14:paraId="16C4025D">
      <w:pPr>
        <w:ind w:firstLine="560"/>
        <w:rPr>
          <w:highlight w:val="black"/>
        </w:rPr>
      </w:pPr>
      <w:r>
        <w:rPr>
          <w:highlight w:val="black"/>
        </w:rPr>
        <w:t>车辆伤害是常见的运输事故，且事故结果较为严重，因此，本项目运输过程中造成的伤害危险等级定为Ⅲ级。</w:t>
      </w:r>
    </w:p>
    <w:p w14:paraId="789B5CE2">
      <w:pPr>
        <w:ind w:firstLine="560"/>
        <w:rPr>
          <w:highlight w:val="black"/>
        </w:rPr>
      </w:pPr>
      <w:r>
        <w:rPr>
          <w:rFonts w:hint="eastAsia"/>
          <w:highlight w:val="black"/>
        </w:rPr>
        <w:t>本次预评价</w:t>
      </w:r>
      <w:r>
        <w:rPr>
          <w:highlight w:val="black"/>
        </w:rPr>
        <w:t>认为</w:t>
      </w:r>
      <w:r>
        <w:rPr>
          <w:rFonts w:hint="eastAsia"/>
          <w:highlight w:val="black"/>
        </w:rPr>
        <w:t>该</w:t>
      </w:r>
      <w:r>
        <w:rPr>
          <w:highlight w:val="black"/>
        </w:rPr>
        <w:t>项目</w:t>
      </w:r>
      <w:r>
        <w:rPr>
          <w:rFonts w:hint="eastAsia"/>
          <w:highlight w:val="black"/>
        </w:rPr>
        <w:t>运输</w:t>
      </w:r>
      <w:r>
        <w:rPr>
          <w:highlight w:val="black"/>
        </w:rPr>
        <w:t>方案满足</w:t>
      </w:r>
      <w:r>
        <w:rPr>
          <w:rFonts w:hint="eastAsia"/>
          <w:highlight w:val="black"/>
        </w:rPr>
        <w:t>相关</w:t>
      </w:r>
      <w:r>
        <w:rPr>
          <w:highlight w:val="black"/>
        </w:rPr>
        <w:t>要求，因此</w:t>
      </w:r>
      <w:r>
        <w:rPr>
          <w:rFonts w:hint="eastAsia"/>
          <w:highlight w:val="black"/>
        </w:rPr>
        <w:t>企业应严格</w:t>
      </w:r>
      <w:r>
        <w:rPr>
          <w:highlight w:val="black"/>
        </w:rPr>
        <w:t>按照设计要求布置矿山道路，对运输车辆及时检修保持车况良好，并杜绝驾驶人员违章，运输过程中造成的伤害</w:t>
      </w:r>
      <w:r>
        <w:rPr>
          <w:rFonts w:hint="eastAsia"/>
          <w:highlight w:val="black"/>
        </w:rPr>
        <w:t>可以控制在可接受范围内</w:t>
      </w:r>
      <w:r>
        <w:rPr>
          <w:highlight w:val="black"/>
        </w:rPr>
        <w:t>。</w:t>
      </w:r>
    </w:p>
    <w:p w14:paraId="7B4745A8">
      <w:pPr>
        <w:pStyle w:val="3"/>
        <w:ind w:firstLine="0" w:firstLineChars="0"/>
      </w:pPr>
      <w:bookmarkStart w:id="269" w:name="_Toc1871"/>
      <w:bookmarkStart w:id="270" w:name="_Toc56554656"/>
      <w:bookmarkStart w:id="271" w:name="_Toc352424829"/>
      <w:bookmarkStart w:id="272" w:name="_Toc454915732"/>
      <w:bookmarkStart w:id="273" w:name="_Toc505723220"/>
      <w:bookmarkStart w:id="274" w:name="_Toc352424921"/>
      <w:r>
        <w:rPr>
          <w:rFonts w:hint="eastAsia"/>
        </w:rPr>
        <w:t>3.</w:t>
      </w:r>
      <w:r>
        <w:t>4</w:t>
      </w:r>
      <w:r>
        <w:rPr>
          <w:rFonts w:hint="eastAsia"/>
        </w:rPr>
        <w:t xml:space="preserve"> 采掘</w:t>
      </w:r>
      <w:r>
        <w:t>单元</w:t>
      </w:r>
      <w:bookmarkEnd w:id="269"/>
    </w:p>
    <w:p w14:paraId="78482C19">
      <w:pPr>
        <w:pStyle w:val="4"/>
        <w:ind w:firstLine="0" w:firstLineChars="0"/>
      </w:pPr>
      <w:r>
        <w:rPr>
          <w:rFonts w:hint="eastAsia"/>
        </w:rPr>
        <w:t>3.4.1可能存在的主要危险有害因素</w:t>
      </w:r>
    </w:p>
    <w:p w14:paraId="03D0B4D8">
      <w:pPr>
        <w:ind w:firstLine="560"/>
        <w:rPr>
          <w:highlight w:val="black"/>
        </w:rPr>
      </w:pPr>
      <w:r>
        <w:rPr>
          <w:rFonts w:hint="eastAsia"/>
          <w:highlight w:val="black"/>
        </w:rPr>
        <w:t>该单元存在的主要危险有害因素有“火药爆炸”“冒顶片帮”“中毒和窒息”“火灾”“水灾”“触电”“高处坠落”“物体打击”“机械伤害”“压力容器爆炸”“粉尘”“噪声”“振动”。</w:t>
      </w:r>
    </w:p>
    <w:p w14:paraId="78B67C63">
      <w:pPr>
        <w:pStyle w:val="4"/>
        <w:ind w:firstLine="0" w:firstLineChars="0"/>
      </w:pPr>
      <w:r>
        <w:rPr>
          <w:rFonts w:hint="eastAsia"/>
        </w:rPr>
        <w:t>3.4.2 采掘单元评价</w:t>
      </w:r>
    </w:p>
    <w:p w14:paraId="0BCECB78">
      <w:pPr>
        <w:ind w:firstLine="560"/>
      </w:pPr>
      <w:r>
        <w:t>采用</w:t>
      </w:r>
      <w:r>
        <w:rPr>
          <w:rFonts w:hint="eastAsia"/>
        </w:rPr>
        <w:t>安全检查表</w:t>
      </w:r>
      <w:r>
        <w:t>法对</w:t>
      </w:r>
      <w:r>
        <w:rPr>
          <w:rFonts w:hint="eastAsia"/>
        </w:rPr>
        <w:t>采掘</w:t>
      </w:r>
      <w:r>
        <w:t>单元进行评价，见下表3-</w:t>
      </w:r>
      <w:r>
        <w:rPr>
          <w:rFonts w:hint="eastAsia"/>
        </w:rPr>
        <w:t>6。</w:t>
      </w:r>
    </w:p>
    <w:tbl>
      <w:tblPr>
        <w:tblStyle w:val="25"/>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646"/>
        <w:gridCol w:w="1768"/>
        <w:gridCol w:w="2453"/>
        <w:gridCol w:w="767"/>
      </w:tblGrid>
      <w:tr w14:paraId="67FB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tcBorders>
              <w:top w:val="nil"/>
              <w:left w:val="nil"/>
              <w:bottom w:val="single" w:color="auto" w:sz="12" w:space="0"/>
              <w:right w:val="nil"/>
            </w:tcBorders>
            <w:vAlign w:val="center"/>
          </w:tcPr>
          <w:p w14:paraId="1760647B">
            <w:pPr>
              <w:spacing w:line="240" w:lineRule="auto"/>
              <w:ind w:firstLine="0" w:firstLineChars="0"/>
              <w:jc w:val="center"/>
              <w:rPr>
                <w:rFonts w:ascii="宋体" w:hAnsi="宋体" w:cs="宋体"/>
                <w:sz w:val="21"/>
                <w:szCs w:val="21"/>
                <w:highlight w:val="black"/>
              </w:rPr>
            </w:pPr>
            <w:r>
              <w:rPr>
                <w:rFonts w:hint="eastAsia" w:ascii="宋体" w:hAnsi="宋体" w:cs="宋体"/>
                <w:b/>
                <w:bCs/>
                <w:sz w:val="21"/>
                <w:szCs w:val="21"/>
                <w:highlight w:val="black"/>
              </w:rPr>
              <w:t>表3-6 采掘单元安全检查表</w:t>
            </w:r>
          </w:p>
        </w:tc>
      </w:tr>
      <w:tr w14:paraId="425E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12" w:space="0"/>
              <w:left w:val="single" w:color="auto" w:sz="12" w:space="0"/>
              <w:bottom w:val="single" w:color="auto" w:sz="6" w:space="0"/>
              <w:right w:val="single" w:color="auto" w:sz="6" w:space="0"/>
            </w:tcBorders>
            <w:vAlign w:val="center"/>
          </w:tcPr>
          <w:p w14:paraId="38075101">
            <w:pPr>
              <w:pStyle w:val="42"/>
              <w:spacing w:line="240" w:lineRule="auto"/>
              <w:ind w:firstLine="0" w:firstLineChars="0"/>
              <w:jc w:val="center"/>
              <w:rPr>
                <w:b/>
                <w:bCs/>
                <w:sz w:val="21"/>
                <w:szCs w:val="21"/>
                <w:highlight w:val="black"/>
              </w:rPr>
            </w:pPr>
            <w:r>
              <w:rPr>
                <w:rFonts w:hint="eastAsia"/>
                <w:b/>
                <w:bCs/>
                <w:sz w:val="21"/>
                <w:szCs w:val="21"/>
                <w:highlight w:val="black"/>
              </w:rPr>
              <w:t>序号</w:t>
            </w:r>
          </w:p>
        </w:tc>
        <w:tc>
          <w:tcPr>
            <w:tcW w:w="3646" w:type="dxa"/>
            <w:tcBorders>
              <w:top w:val="single" w:color="auto" w:sz="12" w:space="0"/>
              <w:left w:val="single" w:color="auto" w:sz="6" w:space="0"/>
              <w:bottom w:val="single" w:color="auto" w:sz="6" w:space="0"/>
              <w:right w:val="single" w:color="auto" w:sz="6" w:space="0"/>
            </w:tcBorders>
            <w:vAlign w:val="center"/>
          </w:tcPr>
          <w:p w14:paraId="0BBB5800">
            <w:pPr>
              <w:pStyle w:val="42"/>
              <w:spacing w:line="240" w:lineRule="auto"/>
              <w:ind w:firstLine="0" w:firstLineChars="0"/>
              <w:jc w:val="center"/>
              <w:rPr>
                <w:b/>
                <w:bCs/>
                <w:sz w:val="21"/>
                <w:szCs w:val="21"/>
                <w:highlight w:val="black"/>
              </w:rPr>
            </w:pPr>
            <w:r>
              <w:rPr>
                <w:rFonts w:hint="eastAsia"/>
                <w:b/>
                <w:bCs/>
                <w:sz w:val="21"/>
                <w:szCs w:val="21"/>
                <w:highlight w:val="black"/>
              </w:rPr>
              <w:t>检查内容</w:t>
            </w:r>
          </w:p>
        </w:tc>
        <w:tc>
          <w:tcPr>
            <w:tcW w:w="1768" w:type="dxa"/>
            <w:tcBorders>
              <w:top w:val="single" w:color="auto" w:sz="12" w:space="0"/>
              <w:left w:val="single" w:color="auto" w:sz="6" w:space="0"/>
              <w:bottom w:val="single" w:color="auto" w:sz="6" w:space="0"/>
              <w:right w:val="single" w:color="auto" w:sz="6" w:space="0"/>
            </w:tcBorders>
            <w:vAlign w:val="center"/>
          </w:tcPr>
          <w:p w14:paraId="2D2BBA2A">
            <w:pPr>
              <w:pStyle w:val="42"/>
              <w:spacing w:line="240" w:lineRule="auto"/>
              <w:ind w:firstLine="0" w:firstLineChars="0"/>
              <w:jc w:val="center"/>
              <w:rPr>
                <w:b/>
                <w:bCs/>
                <w:sz w:val="21"/>
                <w:szCs w:val="21"/>
                <w:highlight w:val="black"/>
              </w:rPr>
            </w:pPr>
            <w:r>
              <w:rPr>
                <w:rFonts w:hint="eastAsia"/>
                <w:b/>
                <w:bCs/>
                <w:sz w:val="21"/>
                <w:szCs w:val="21"/>
                <w:highlight w:val="black"/>
              </w:rPr>
              <w:t>检查依据</w:t>
            </w:r>
          </w:p>
        </w:tc>
        <w:tc>
          <w:tcPr>
            <w:tcW w:w="2453" w:type="dxa"/>
            <w:tcBorders>
              <w:top w:val="single" w:color="auto" w:sz="12" w:space="0"/>
              <w:left w:val="single" w:color="auto" w:sz="6" w:space="0"/>
              <w:bottom w:val="single" w:color="auto" w:sz="6" w:space="0"/>
              <w:right w:val="single" w:color="auto" w:sz="6" w:space="0"/>
            </w:tcBorders>
            <w:vAlign w:val="center"/>
          </w:tcPr>
          <w:p w14:paraId="01919FA6">
            <w:pPr>
              <w:pStyle w:val="42"/>
              <w:spacing w:line="240" w:lineRule="auto"/>
              <w:ind w:firstLine="0" w:firstLineChars="0"/>
              <w:jc w:val="center"/>
              <w:rPr>
                <w:b/>
                <w:bCs/>
                <w:sz w:val="21"/>
                <w:szCs w:val="21"/>
                <w:highlight w:val="black"/>
              </w:rPr>
            </w:pPr>
            <w:r>
              <w:rPr>
                <w:rFonts w:hint="eastAsia"/>
                <w:b/>
                <w:bCs/>
                <w:sz w:val="21"/>
                <w:szCs w:val="21"/>
                <w:highlight w:val="black"/>
              </w:rPr>
              <w:t>检查记录</w:t>
            </w:r>
          </w:p>
        </w:tc>
        <w:tc>
          <w:tcPr>
            <w:tcW w:w="767" w:type="dxa"/>
            <w:tcBorders>
              <w:top w:val="single" w:color="auto" w:sz="12" w:space="0"/>
              <w:left w:val="single" w:color="auto" w:sz="6" w:space="0"/>
              <w:bottom w:val="single" w:color="auto" w:sz="6" w:space="0"/>
              <w:right w:val="single" w:color="auto" w:sz="12" w:space="0"/>
            </w:tcBorders>
            <w:vAlign w:val="center"/>
          </w:tcPr>
          <w:p w14:paraId="4AA6543C">
            <w:pPr>
              <w:pStyle w:val="42"/>
              <w:spacing w:line="240" w:lineRule="auto"/>
              <w:ind w:firstLine="0" w:firstLineChars="0"/>
              <w:jc w:val="center"/>
              <w:rPr>
                <w:b/>
                <w:bCs/>
                <w:sz w:val="21"/>
                <w:szCs w:val="21"/>
                <w:highlight w:val="black"/>
              </w:rPr>
            </w:pPr>
            <w:r>
              <w:rPr>
                <w:rFonts w:hint="eastAsia"/>
                <w:b/>
                <w:bCs/>
                <w:sz w:val="21"/>
                <w:szCs w:val="21"/>
                <w:highlight w:val="black"/>
              </w:rPr>
              <w:t>检查</w:t>
            </w:r>
          </w:p>
          <w:p w14:paraId="69FA4CB9">
            <w:pPr>
              <w:pStyle w:val="42"/>
              <w:spacing w:line="240" w:lineRule="auto"/>
              <w:ind w:firstLine="0" w:firstLineChars="0"/>
              <w:jc w:val="center"/>
              <w:rPr>
                <w:b/>
                <w:bCs/>
                <w:sz w:val="21"/>
                <w:szCs w:val="21"/>
                <w:highlight w:val="black"/>
              </w:rPr>
            </w:pPr>
            <w:r>
              <w:rPr>
                <w:rFonts w:hint="eastAsia"/>
                <w:b/>
                <w:bCs/>
                <w:sz w:val="21"/>
                <w:szCs w:val="21"/>
                <w:highlight w:val="black"/>
              </w:rPr>
              <w:t>结果</w:t>
            </w:r>
          </w:p>
        </w:tc>
      </w:tr>
      <w:tr w14:paraId="1513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6" w:space="0"/>
              <w:left w:val="single" w:color="auto" w:sz="12" w:space="0"/>
              <w:bottom w:val="single" w:color="auto" w:sz="6" w:space="0"/>
              <w:right w:val="single" w:color="auto" w:sz="6" w:space="0"/>
            </w:tcBorders>
            <w:vAlign w:val="center"/>
          </w:tcPr>
          <w:p w14:paraId="37A652D4">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w:t>
            </w:r>
          </w:p>
        </w:tc>
        <w:tc>
          <w:tcPr>
            <w:tcW w:w="3646" w:type="dxa"/>
            <w:tcBorders>
              <w:top w:val="single" w:color="auto" w:sz="6" w:space="0"/>
              <w:left w:val="single" w:color="auto" w:sz="6" w:space="0"/>
              <w:bottom w:val="single" w:color="auto" w:sz="6" w:space="0"/>
              <w:right w:val="single" w:color="auto" w:sz="6" w:space="0"/>
            </w:tcBorders>
            <w:vAlign w:val="center"/>
          </w:tcPr>
          <w:p w14:paraId="02C44EB5">
            <w:pPr>
              <w:adjustRightInd w:val="0"/>
              <w:snapToGrid w:val="0"/>
              <w:spacing w:line="240" w:lineRule="auto"/>
              <w:ind w:firstLine="0" w:firstLineChars="0"/>
              <w:jc w:val="left"/>
              <w:rPr>
                <w:rFonts w:ascii="宋体" w:hAnsi="宋体" w:cs="宋体"/>
                <w:kern w:val="0"/>
                <w:sz w:val="21"/>
                <w:szCs w:val="21"/>
                <w:highlight w:val="black"/>
              </w:rPr>
            </w:pPr>
            <w:r>
              <w:rPr>
                <w:rFonts w:hint="eastAsia" w:ascii="宋体" w:hAnsi="宋体" w:cs="宋体"/>
                <w:sz w:val="21"/>
                <w:szCs w:val="21"/>
                <w:highlight w:val="black"/>
              </w:rPr>
              <w:t>每个采区（盘区、矿块），均应有两个便于行人的安全出口。并与通往地面的安全出口相通。</w:t>
            </w:r>
          </w:p>
        </w:tc>
        <w:tc>
          <w:tcPr>
            <w:tcW w:w="1768" w:type="dxa"/>
            <w:tcBorders>
              <w:top w:val="single" w:color="auto" w:sz="6" w:space="0"/>
              <w:left w:val="single" w:color="auto" w:sz="6" w:space="0"/>
              <w:bottom w:val="single" w:color="auto" w:sz="6" w:space="0"/>
              <w:right w:val="single" w:color="auto" w:sz="6" w:space="0"/>
            </w:tcBorders>
            <w:vAlign w:val="center"/>
          </w:tcPr>
          <w:p w14:paraId="400C385E">
            <w:pPr>
              <w:pStyle w:val="56"/>
              <w:adjustRightInd w:val="0"/>
              <w:snapToGrid w:val="0"/>
              <w:spacing w:line="240" w:lineRule="auto"/>
              <w:ind w:firstLine="0" w:firstLineChars="0"/>
              <w:rPr>
                <w:sz w:val="21"/>
                <w:szCs w:val="21"/>
                <w:highlight w:val="black"/>
              </w:rPr>
            </w:pPr>
            <w:r>
              <w:rPr>
                <w:rFonts w:hint="eastAsia"/>
                <w:sz w:val="21"/>
                <w:szCs w:val="21"/>
                <w:highlight w:val="black"/>
              </w:rPr>
              <w:t>GB16423-2020《金属非金属矿山安全规程》</w:t>
            </w:r>
          </w:p>
          <w:p w14:paraId="2FDB33FC">
            <w:pPr>
              <w:pStyle w:val="56"/>
              <w:adjustRightInd w:val="0"/>
              <w:snapToGrid w:val="0"/>
              <w:spacing w:line="240" w:lineRule="auto"/>
              <w:ind w:firstLine="0" w:firstLineChars="0"/>
              <w:rPr>
                <w:sz w:val="21"/>
                <w:szCs w:val="21"/>
                <w:highlight w:val="black"/>
              </w:rPr>
            </w:pPr>
            <w:r>
              <w:rPr>
                <w:rFonts w:hint="eastAsia"/>
                <w:sz w:val="21"/>
                <w:szCs w:val="21"/>
                <w:highlight w:val="black"/>
              </w:rPr>
              <w:t>第6.3.1.4条</w:t>
            </w:r>
          </w:p>
        </w:tc>
        <w:tc>
          <w:tcPr>
            <w:tcW w:w="2453" w:type="dxa"/>
            <w:tcBorders>
              <w:top w:val="single" w:color="auto" w:sz="6" w:space="0"/>
              <w:left w:val="single" w:color="auto" w:sz="6" w:space="0"/>
              <w:bottom w:val="single" w:color="auto" w:sz="6" w:space="0"/>
              <w:right w:val="single" w:color="auto" w:sz="6" w:space="0"/>
            </w:tcBorders>
            <w:vAlign w:val="center"/>
          </w:tcPr>
          <w:p w14:paraId="0766201E">
            <w:pPr>
              <w:spacing w:line="240" w:lineRule="auto"/>
              <w:ind w:firstLine="0" w:firstLineChars="0"/>
              <w:rPr>
                <w:rFonts w:ascii="宋体" w:hAnsi="宋体" w:cs="宋体"/>
                <w:sz w:val="21"/>
                <w:szCs w:val="21"/>
                <w:highlight w:val="black"/>
              </w:rPr>
            </w:pPr>
            <w:r>
              <w:rPr>
                <w:rFonts w:hint="eastAsia" w:ascii="宋体" w:hAnsi="宋体" w:cs="宋体"/>
                <w:sz w:val="21"/>
                <w:szCs w:val="21"/>
                <w:highlight w:val="black"/>
              </w:rPr>
              <w:t>本采区有三个便于行人的安全出口。并与通往地面的安全出口相通。</w:t>
            </w:r>
          </w:p>
        </w:tc>
        <w:tc>
          <w:tcPr>
            <w:tcW w:w="767" w:type="dxa"/>
            <w:tcBorders>
              <w:top w:val="single" w:color="auto" w:sz="6" w:space="0"/>
              <w:left w:val="single" w:color="auto" w:sz="6" w:space="0"/>
              <w:bottom w:val="single" w:color="auto" w:sz="6" w:space="0"/>
              <w:right w:val="single" w:color="auto" w:sz="12" w:space="0"/>
            </w:tcBorders>
            <w:vAlign w:val="center"/>
          </w:tcPr>
          <w:p w14:paraId="73EAE301">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符合</w:t>
            </w:r>
          </w:p>
        </w:tc>
      </w:tr>
      <w:tr w14:paraId="5A29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6" w:space="0"/>
              <w:left w:val="single" w:color="auto" w:sz="12" w:space="0"/>
              <w:bottom w:val="single" w:color="auto" w:sz="6" w:space="0"/>
              <w:right w:val="single" w:color="auto" w:sz="6" w:space="0"/>
            </w:tcBorders>
            <w:vAlign w:val="center"/>
          </w:tcPr>
          <w:p w14:paraId="2D346DFA">
            <w:pPr>
              <w:pStyle w:val="42"/>
              <w:spacing w:line="240" w:lineRule="auto"/>
              <w:ind w:firstLine="0" w:firstLineChars="0"/>
              <w:jc w:val="center"/>
              <w:rPr>
                <w:sz w:val="21"/>
                <w:szCs w:val="21"/>
                <w:highlight w:val="black"/>
              </w:rPr>
            </w:pPr>
            <w:r>
              <w:rPr>
                <w:rFonts w:hint="eastAsia"/>
                <w:sz w:val="21"/>
                <w:szCs w:val="21"/>
                <w:highlight w:val="black"/>
              </w:rPr>
              <w:t>2</w:t>
            </w:r>
          </w:p>
        </w:tc>
        <w:tc>
          <w:tcPr>
            <w:tcW w:w="3646" w:type="dxa"/>
            <w:tcBorders>
              <w:top w:val="single" w:color="auto" w:sz="6" w:space="0"/>
              <w:left w:val="single" w:color="auto" w:sz="6" w:space="0"/>
              <w:bottom w:val="single" w:color="auto" w:sz="6" w:space="0"/>
              <w:right w:val="single" w:color="auto" w:sz="6" w:space="0"/>
            </w:tcBorders>
            <w:vAlign w:val="center"/>
          </w:tcPr>
          <w:p w14:paraId="4F6BE47D">
            <w:pPr>
              <w:adjustRightInd w:val="0"/>
              <w:snapToGrid w:val="0"/>
              <w:spacing w:line="240" w:lineRule="auto"/>
              <w:ind w:firstLine="0" w:firstLineChars="0"/>
              <w:jc w:val="left"/>
              <w:rPr>
                <w:rFonts w:ascii="宋体" w:hAnsi="宋体" w:cs="宋体"/>
                <w:sz w:val="21"/>
                <w:szCs w:val="21"/>
                <w:highlight w:val="black"/>
              </w:rPr>
            </w:pPr>
            <w:r>
              <w:rPr>
                <w:rFonts w:hint="eastAsia"/>
                <w:sz w:val="21"/>
                <w:szCs w:val="21"/>
                <w:highlight w:val="black"/>
              </w:rPr>
              <w:t>在不稳固的岩层中掘进井巷，应进行支护。在松软或流砂岩层中掘进，永久性支护至掘进工作面之间，应架设临时支护或特殊支护。</w:t>
            </w:r>
          </w:p>
        </w:tc>
        <w:tc>
          <w:tcPr>
            <w:tcW w:w="1768" w:type="dxa"/>
            <w:tcBorders>
              <w:top w:val="single" w:color="auto" w:sz="6" w:space="0"/>
              <w:left w:val="single" w:color="auto" w:sz="6" w:space="0"/>
              <w:bottom w:val="single" w:color="auto" w:sz="6" w:space="0"/>
              <w:right w:val="single" w:color="auto" w:sz="6" w:space="0"/>
            </w:tcBorders>
            <w:vAlign w:val="center"/>
          </w:tcPr>
          <w:p w14:paraId="792972FD">
            <w:pPr>
              <w:pStyle w:val="56"/>
              <w:adjustRightInd w:val="0"/>
              <w:snapToGrid w:val="0"/>
              <w:spacing w:line="240" w:lineRule="auto"/>
              <w:ind w:firstLine="0" w:firstLineChars="0"/>
              <w:rPr>
                <w:sz w:val="21"/>
                <w:szCs w:val="21"/>
                <w:highlight w:val="black"/>
              </w:rPr>
            </w:pPr>
            <w:r>
              <w:rPr>
                <w:rFonts w:hint="eastAsia"/>
                <w:sz w:val="21"/>
                <w:szCs w:val="21"/>
                <w:highlight w:val="black"/>
              </w:rPr>
              <w:t>GB16423-2020《金属非金属矿山安全规程》</w:t>
            </w:r>
          </w:p>
          <w:p w14:paraId="462D3D1C">
            <w:pPr>
              <w:pStyle w:val="56"/>
              <w:adjustRightInd w:val="0"/>
              <w:snapToGrid w:val="0"/>
              <w:spacing w:line="240" w:lineRule="auto"/>
              <w:ind w:firstLine="0" w:firstLineChars="0"/>
              <w:rPr>
                <w:kern w:val="0"/>
                <w:sz w:val="21"/>
                <w:szCs w:val="21"/>
                <w:highlight w:val="black"/>
              </w:rPr>
            </w:pPr>
            <w:r>
              <w:rPr>
                <w:rFonts w:hint="eastAsia"/>
                <w:sz w:val="21"/>
                <w:szCs w:val="21"/>
                <w:highlight w:val="black"/>
              </w:rPr>
              <w:t>第6.2.7.2条</w:t>
            </w:r>
          </w:p>
        </w:tc>
        <w:tc>
          <w:tcPr>
            <w:tcW w:w="2453" w:type="dxa"/>
            <w:tcBorders>
              <w:top w:val="single" w:color="auto" w:sz="6" w:space="0"/>
              <w:left w:val="single" w:color="auto" w:sz="6" w:space="0"/>
              <w:bottom w:val="single" w:color="auto" w:sz="6" w:space="0"/>
              <w:right w:val="single" w:color="auto" w:sz="6" w:space="0"/>
            </w:tcBorders>
            <w:vAlign w:val="center"/>
          </w:tcPr>
          <w:p w14:paraId="508E35E9">
            <w:pPr>
              <w:adjustRightInd w:val="0"/>
              <w:snapToGrid w:val="0"/>
              <w:spacing w:line="240" w:lineRule="auto"/>
              <w:ind w:firstLine="0" w:firstLineChars="0"/>
              <w:jc w:val="left"/>
              <w:rPr>
                <w:sz w:val="21"/>
                <w:szCs w:val="21"/>
                <w:highlight w:val="black"/>
              </w:rPr>
            </w:pPr>
            <w:r>
              <w:rPr>
                <w:rFonts w:hint="eastAsia"/>
                <w:sz w:val="21"/>
                <w:szCs w:val="21"/>
                <w:highlight w:val="black"/>
              </w:rPr>
              <w:t>对于岩体不稳固地段，为防止冒顶和掉块，设计采取支护及光面爆破等措施。</w:t>
            </w:r>
          </w:p>
        </w:tc>
        <w:tc>
          <w:tcPr>
            <w:tcW w:w="767" w:type="dxa"/>
            <w:tcBorders>
              <w:top w:val="single" w:color="auto" w:sz="6" w:space="0"/>
              <w:left w:val="single" w:color="auto" w:sz="6" w:space="0"/>
              <w:bottom w:val="single" w:color="auto" w:sz="6" w:space="0"/>
              <w:right w:val="single" w:color="auto" w:sz="12" w:space="0"/>
            </w:tcBorders>
            <w:vAlign w:val="center"/>
          </w:tcPr>
          <w:p w14:paraId="7AB70435">
            <w:pPr>
              <w:pStyle w:val="56"/>
              <w:spacing w:line="240" w:lineRule="auto"/>
              <w:ind w:firstLine="0" w:firstLineChars="0"/>
              <w:rPr>
                <w:sz w:val="21"/>
                <w:szCs w:val="21"/>
                <w:highlight w:val="black"/>
              </w:rPr>
            </w:pPr>
            <w:r>
              <w:rPr>
                <w:rFonts w:hint="eastAsia"/>
                <w:sz w:val="21"/>
                <w:szCs w:val="21"/>
                <w:highlight w:val="black"/>
              </w:rPr>
              <w:t>符合</w:t>
            </w:r>
          </w:p>
        </w:tc>
      </w:tr>
      <w:tr w14:paraId="2D58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6" w:space="0"/>
              <w:left w:val="single" w:color="auto" w:sz="12" w:space="0"/>
              <w:bottom w:val="single" w:color="auto" w:sz="6" w:space="0"/>
              <w:right w:val="single" w:color="auto" w:sz="6" w:space="0"/>
            </w:tcBorders>
            <w:vAlign w:val="center"/>
          </w:tcPr>
          <w:p w14:paraId="7F6B5F2A">
            <w:pPr>
              <w:pStyle w:val="42"/>
              <w:spacing w:line="240" w:lineRule="auto"/>
              <w:ind w:firstLine="0" w:firstLineChars="0"/>
              <w:jc w:val="center"/>
              <w:rPr>
                <w:sz w:val="21"/>
                <w:szCs w:val="21"/>
                <w:highlight w:val="black"/>
              </w:rPr>
            </w:pPr>
            <w:r>
              <w:rPr>
                <w:rFonts w:hint="eastAsia"/>
                <w:sz w:val="21"/>
                <w:szCs w:val="21"/>
                <w:highlight w:val="black"/>
              </w:rPr>
              <w:t>3</w:t>
            </w:r>
          </w:p>
        </w:tc>
        <w:tc>
          <w:tcPr>
            <w:tcW w:w="3646" w:type="dxa"/>
            <w:tcBorders>
              <w:top w:val="single" w:color="auto" w:sz="6" w:space="0"/>
              <w:left w:val="single" w:color="auto" w:sz="6" w:space="0"/>
              <w:bottom w:val="single" w:color="auto" w:sz="6" w:space="0"/>
              <w:right w:val="single" w:color="auto" w:sz="6" w:space="0"/>
            </w:tcBorders>
            <w:vAlign w:val="center"/>
          </w:tcPr>
          <w:p w14:paraId="552EC372">
            <w:pPr>
              <w:adjustRightInd w:val="0"/>
              <w:snapToGrid w:val="0"/>
              <w:spacing w:line="240" w:lineRule="auto"/>
              <w:ind w:firstLine="0" w:firstLineChars="0"/>
              <w:jc w:val="left"/>
              <w:rPr>
                <w:rFonts w:ascii="宋体" w:hAnsi="宋体"/>
                <w:sz w:val="21"/>
                <w:szCs w:val="21"/>
                <w:highlight w:val="black"/>
              </w:rPr>
            </w:pPr>
            <w:r>
              <w:rPr>
                <w:rFonts w:hint="eastAsia" w:ascii="宋体" w:hAnsi="宋体" w:cs="宋体"/>
                <w:sz w:val="21"/>
                <w:szCs w:val="21"/>
                <w:highlight w:val="black"/>
              </w:rPr>
              <w:t>报废的井巷和硐室的入口，应及时封闭。封闭之前，入口处应设有明显标志，禁止人员入内。报废的竖井、斜井和平巷，地面入口周围还应设有高度不低于1.5m的栅栏，并标明原来井巷的名称。</w:t>
            </w:r>
          </w:p>
        </w:tc>
        <w:tc>
          <w:tcPr>
            <w:tcW w:w="1768" w:type="dxa"/>
            <w:tcBorders>
              <w:top w:val="single" w:color="auto" w:sz="6" w:space="0"/>
              <w:left w:val="single" w:color="auto" w:sz="6" w:space="0"/>
              <w:bottom w:val="single" w:color="auto" w:sz="6" w:space="0"/>
              <w:right w:val="single" w:color="auto" w:sz="6" w:space="0"/>
            </w:tcBorders>
            <w:vAlign w:val="center"/>
          </w:tcPr>
          <w:p w14:paraId="7E0CC98C">
            <w:pPr>
              <w:pStyle w:val="56"/>
              <w:adjustRightInd w:val="0"/>
              <w:snapToGrid w:val="0"/>
              <w:spacing w:line="240" w:lineRule="auto"/>
              <w:ind w:firstLine="0" w:firstLineChars="0"/>
              <w:rPr>
                <w:sz w:val="21"/>
                <w:szCs w:val="21"/>
                <w:highlight w:val="black"/>
              </w:rPr>
            </w:pPr>
            <w:r>
              <w:rPr>
                <w:rFonts w:hint="eastAsia"/>
                <w:sz w:val="21"/>
                <w:szCs w:val="21"/>
                <w:highlight w:val="black"/>
              </w:rPr>
              <w:t>GB16423-2020《金属非金属矿山安全规程》</w:t>
            </w:r>
          </w:p>
          <w:p w14:paraId="4B9CF798">
            <w:pPr>
              <w:pStyle w:val="56"/>
              <w:adjustRightInd w:val="0"/>
              <w:snapToGrid w:val="0"/>
              <w:spacing w:line="240" w:lineRule="auto"/>
              <w:ind w:firstLine="0" w:firstLineChars="0"/>
              <w:rPr>
                <w:sz w:val="21"/>
                <w:szCs w:val="21"/>
                <w:highlight w:val="black"/>
              </w:rPr>
            </w:pPr>
            <w:r>
              <w:rPr>
                <w:rFonts w:hint="eastAsia"/>
                <w:sz w:val="21"/>
                <w:szCs w:val="21"/>
                <w:highlight w:val="black"/>
              </w:rPr>
              <w:t>第6.2.8.6条</w:t>
            </w:r>
          </w:p>
        </w:tc>
        <w:tc>
          <w:tcPr>
            <w:tcW w:w="2453" w:type="dxa"/>
            <w:tcBorders>
              <w:top w:val="single" w:color="auto" w:sz="6" w:space="0"/>
              <w:left w:val="single" w:color="auto" w:sz="6" w:space="0"/>
              <w:bottom w:val="single" w:color="auto" w:sz="6" w:space="0"/>
              <w:right w:val="single" w:color="auto" w:sz="6" w:space="0"/>
            </w:tcBorders>
            <w:vAlign w:val="center"/>
          </w:tcPr>
          <w:p w14:paraId="5FD3663F">
            <w:pPr>
              <w:pStyle w:val="56"/>
              <w:spacing w:line="240" w:lineRule="auto"/>
              <w:ind w:firstLine="0" w:firstLineChars="0"/>
              <w:rPr>
                <w:rFonts w:hint="default" w:eastAsia="宋体"/>
                <w:sz w:val="21"/>
                <w:szCs w:val="21"/>
                <w:highlight w:val="black"/>
                <w:lang w:val="en-US" w:eastAsia="zh-CN"/>
              </w:rPr>
            </w:pPr>
            <w:r>
              <w:rPr>
                <w:rFonts w:hint="eastAsia"/>
                <w:sz w:val="21"/>
                <w:szCs w:val="21"/>
                <w:highlight w:val="black"/>
              </w:rPr>
              <w:t>《可研报告》对废弃巷道和硐室的入口</w:t>
            </w:r>
            <w:r>
              <w:rPr>
                <w:rFonts w:hint="eastAsia"/>
                <w:sz w:val="21"/>
                <w:szCs w:val="21"/>
                <w:highlight w:val="black"/>
                <w:lang w:val="en-US" w:eastAsia="zh-CN"/>
              </w:rPr>
              <w:t>的</w:t>
            </w:r>
            <w:r>
              <w:rPr>
                <w:rFonts w:hint="eastAsia"/>
                <w:sz w:val="21"/>
                <w:szCs w:val="21"/>
                <w:highlight w:val="black"/>
              </w:rPr>
              <w:t>封闭</w:t>
            </w:r>
            <w:r>
              <w:rPr>
                <w:rFonts w:hint="eastAsia"/>
                <w:sz w:val="21"/>
                <w:szCs w:val="21"/>
                <w:highlight w:val="black"/>
                <w:lang w:val="en-US" w:eastAsia="zh-CN"/>
              </w:rPr>
              <w:t>未提及。</w:t>
            </w:r>
          </w:p>
        </w:tc>
        <w:tc>
          <w:tcPr>
            <w:tcW w:w="767" w:type="dxa"/>
            <w:tcBorders>
              <w:top w:val="single" w:color="auto" w:sz="6" w:space="0"/>
              <w:left w:val="single" w:color="auto" w:sz="6" w:space="0"/>
              <w:bottom w:val="single" w:color="auto" w:sz="6" w:space="0"/>
              <w:right w:val="single" w:color="auto" w:sz="12" w:space="0"/>
            </w:tcBorders>
            <w:vAlign w:val="center"/>
          </w:tcPr>
          <w:p w14:paraId="7B8A3430">
            <w:pPr>
              <w:pStyle w:val="56"/>
              <w:spacing w:line="240" w:lineRule="auto"/>
              <w:ind w:firstLine="0" w:firstLineChars="0"/>
              <w:jc w:val="center"/>
              <w:rPr>
                <w:rFonts w:hint="eastAsia"/>
                <w:sz w:val="21"/>
                <w:szCs w:val="21"/>
                <w:highlight w:val="black"/>
                <w:lang w:val="en-US" w:eastAsia="zh-CN"/>
              </w:rPr>
            </w:pPr>
            <w:r>
              <w:rPr>
                <w:rFonts w:hint="eastAsia"/>
                <w:sz w:val="21"/>
                <w:szCs w:val="21"/>
                <w:highlight w:val="black"/>
                <w:lang w:val="en-US" w:eastAsia="zh-CN"/>
              </w:rPr>
              <w:t>不</w:t>
            </w:r>
          </w:p>
          <w:p w14:paraId="4C066B88">
            <w:pPr>
              <w:pStyle w:val="56"/>
              <w:spacing w:line="240" w:lineRule="auto"/>
              <w:ind w:firstLine="0" w:firstLineChars="0"/>
              <w:jc w:val="center"/>
              <w:rPr>
                <w:sz w:val="21"/>
                <w:szCs w:val="21"/>
                <w:highlight w:val="black"/>
              </w:rPr>
            </w:pPr>
            <w:r>
              <w:rPr>
                <w:rFonts w:hint="eastAsia"/>
                <w:sz w:val="21"/>
                <w:szCs w:val="21"/>
                <w:highlight w:val="black"/>
              </w:rPr>
              <w:t>符合</w:t>
            </w:r>
          </w:p>
        </w:tc>
      </w:tr>
      <w:tr w14:paraId="5AA4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6" w:space="0"/>
              <w:left w:val="single" w:color="auto" w:sz="12" w:space="0"/>
              <w:bottom w:val="single" w:color="auto" w:sz="6" w:space="0"/>
              <w:right w:val="single" w:color="auto" w:sz="6" w:space="0"/>
            </w:tcBorders>
            <w:vAlign w:val="center"/>
          </w:tcPr>
          <w:p w14:paraId="2A215B79">
            <w:pPr>
              <w:pStyle w:val="42"/>
              <w:spacing w:line="240" w:lineRule="auto"/>
              <w:ind w:firstLine="0" w:firstLineChars="0"/>
              <w:jc w:val="center"/>
              <w:rPr>
                <w:sz w:val="21"/>
                <w:szCs w:val="21"/>
                <w:highlight w:val="black"/>
              </w:rPr>
            </w:pPr>
            <w:r>
              <w:rPr>
                <w:rFonts w:hint="eastAsia"/>
                <w:sz w:val="21"/>
                <w:szCs w:val="21"/>
                <w:highlight w:val="black"/>
              </w:rPr>
              <w:t>4</w:t>
            </w:r>
          </w:p>
        </w:tc>
        <w:tc>
          <w:tcPr>
            <w:tcW w:w="3646" w:type="dxa"/>
            <w:tcBorders>
              <w:top w:val="single" w:color="auto" w:sz="6" w:space="0"/>
              <w:left w:val="single" w:color="auto" w:sz="6" w:space="0"/>
              <w:bottom w:val="single" w:color="auto" w:sz="6" w:space="0"/>
              <w:right w:val="single" w:color="auto" w:sz="6" w:space="0"/>
            </w:tcBorders>
            <w:vAlign w:val="center"/>
          </w:tcPr>
          <w:p w14:paraId="5CBEEA20">
            <w:pPr>
              <w:pStyle w:val="42"/>
              <w:adjustRightInd w:val="0"/>
              <w:snapToGrid w:val="0"/>
              <w:spacing w:line="240" w:lineRule="auto"/>
              <w:ind w:firstLine="0" w:firstLineChars="0"/>
              <w:rPr>
                <w:sz w:val="21"/>
                <w:szCs w:val="21"/>
                <w:highlight w:val="black"/>
              </w:rPr>
            </w:pPr>
            <w:r>
              <w:rPr>
                <w:rFonts w:hint="eastAsia"/>
                <w:sz w:val="21"/>
                <w:szCs w:val="21"/>
                <w:highlight w:val="black"/>
              </w:rPr>
              <w:t>要害岗位、重要设备和设施及危险区域，应严加管理，并照明和警戒标志。</w:t>
            </w:r>
          </w:p>
        </w:tc>
        <w:tc>
          <w:tcPr>
            <w:tcW w:w="1768" w:type="dxa"/>
            <w:tcBorders>
              <w:top w:val="single" w:color="auto" w:sz="6" w:space="0"/>
              <w:left w:val="single" w:color="auto" w:sz="6" w:space="0"/>
              <w:bottom w:val="single" w:color="auto" w:sz="6" w:space="0"/>
              <w:right w:val="single" w:color="auto" w:sz="6" w:space="0"/>
            </w:tcBorders>
            <w:vAlign w:val="center"/>
          </w:tcPr>
          <w:p w14:paraId="2328BE2B">
            <w:pPr>
              <w:pStyle w:val="56"/>
              <w:adjustRightInd w:val="0"/>
              <w:snapToGrid w:val="0"/>
              <w:spacing w:line="240" w:lineRule="auto"/>
              <w:ind w:firstLine="0" w:firstLineChars="0"/>
              <w:rPr>
                <w:sz w:val="21"/>
                <w:szCs w:val="21"/>
                <w:highlight w:val="black"/>
              </w:rPr>
            </w:pPr>
            <w:r>
              <w:rPr>
                <w:rFonts w:hint="eastAsia"/>
                <w:sz w:val="21"/>
                <w:szCs w:val="21"/>
                <w:highlight w:val="black"/>
              </w:rPr>
              <w:t>GB16423-2020《金属非金属矿山安全规程》</w:t>
            </w:r>
          </w:p>
          <w:p w14:paraId="6D144AB7">
            <w:pPr>
              <w:pStyle w:val="56"/>
              <w:adjustRightInd w:val="0"/>
              <w:snapToGrid w:val="0"/>
              <w:spacing w:line="240" w:lineRule="auto"/>
              <w:ind w:firstLine="0" w:firstLineChars="0"/>
              <w:rPr>
                <w:sz w:val="21"/>
                <w:szCs w:val="21"/>
                <w:highlight w:val="black"/>
              </w:rPr>
            </w:pPr>
            <w:r>
              <w:rPr>
                <w:rFonts w:hint="eastAsia"/>
                <w:sz w:val="21"/>
                <w:szCs w:val="21"/>
                <w:highlight w:val="black"/>
              </w:rPr>
              <w:t>第4.7.3条</w:t>
            </w:r>
          </w:p>
        </w:tc>
        <w:tc>
          <w:tcPr>
            <w:tcW w:w="2453" w:type="dxa"/>
            <w:tcBorders>
              <w:top w:val="single" w:color="auto" w:sz="6" w:space="0"/>
              <w:left w:val="single" w:color="auto" w:sz="6" w:space="0"/>
              <w:bottom w:val="single" w:color="auto" w:sz="6" w:space="0"/>
              <w:right w:val="single" w:color="auto" w:sz="6" w:space="0"/>
            </w:tcBorders>
            <w:vAlign w:val="center"/>
          </w:tcPr>
          <w:p w14:paraId="3E83392E">
            <w:pPr>
              <w:spacing w:line="240" w:lineRule="auto"/>
              <w:ind w:firstLine="0" w:firstLineChars="0"/>
              <w:rPr>
                <w:sz w:val="21"/>
                <w:szCs w:val="21"/>
                <w:highlight w:val="black"/>
              </w:rPr>
            </w:pPr>
            <w:r>
              <w:rPr>
                <w:rFonts w:hint="eastAsia"/>
                <w:sz w:val="21"/>
                <w:szCs w:val="21"/>
                <w:highlight w:val="black"/>
              </w:rPr>
              <w:t>《可研报告》明确，要害岗位、重要设备和设施及危险区域应设有照明和警示标志。</w:t>
            </w:r>
          </w:p>
        </w:tc>
        <w:tc>
          <w:tcPr>
            <w:tcW w:w="767" w:type="dxa"/>
            <w:tcBorders>
              <w:top w:val="single" w:color="auto" w:sz="6" w:space="0"/>
              <w:left w:val="single" w:color="auto" w:sz="6" w:space="0"/>
              <w:bottom w:val="single" w:color="auto" w:sz="6" w:space="0"/>
              <w:right w:val="single" w:color="auto" w:sz="12" w:space="0"/>
            </w:tcBorders>
            <w:vAlign w:val="center"/>
          </w:tcPr>
          <w:p w14:paraId="4B35665D">
            <w:pPr>
              <w:pStyle w:val="56"/>
              <w:spacing w:line="240" w:lineRule="auto"/>
              <w:ind w:firstLine="0" w:firstLineChars="0"/>
              <w:rPr>
                <w:sz w:val="21"/>
                <w:szCs w:val="21"/>
                <w:highlight w:val="black"/>
              </w:rPr>
            </w:pPr>
            <w:r>
              <w:rPr>
                <w:rFonts w:hint="eastAsia"/>
                <w:sz w:val="21"/>
                <w:szCs w:val="21"/>
                <w:highlight w:val="black"/>
              </w:rPr>
              <w:t>符合</w:t>
            </w:r>
          </w:p>
        </w:tc>
      </w:tr>
      <w:tr w14:paraId="534E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6" w:space="0"/>
              <w:left w:val="single" w:color="auto" w:sz="12" w:space="0"/>
              <w:bottom w:val="single" w:color="auto" w:sz="6" w:space="0"/>
              <w:right w:val="single" w:color="auto" w:sz="6" w:space="0"/>
            </w:tcBorders>
            <w:vAlign w:val="center"/>
          </w:tcPr>
          <w:p w14:paraId="7FE592D2">
            <w:pPr>
              <w:pStyle w:val="42"/>
              <w:spacing w:line="240" w:lineRule="auto"/>
              <w:ind w:firstLine="0" w:firstLineChars="0"/>
              <w:jc w:val="center"/>
              <w:rPr>
                <w:sz w:val="21"/>
                <w:szCs w:val="21"/>
                <w:highlight w:val="black"/>
              </w:rPr>
            </w:pPr>
            <w:r>
              <w:rPr>
                <w:rFonts w:hint="eastAsia"/>
                <w:sz w:val="21"/>
                <w:szCs w:val="21"/>
                <w:highlight w:val="black"/>
              </w:rPr>
              <w:t>5</w:t>
            </w:r>
          </w:p>
        </w:tc>
        <w:tc>
          <w:tcPr>
            <w:tcW w:w="3646" w:type="dxa"/>
            <w:tcBorders>
              <w:top w:val="single" w:color="auto" w:sz="6" w:space="0"/>
              <w:left w:val="single" w:color="auto" w:sz="6" w:space="0"/>
              <w:bottom w:val="single" w:color="auto" w:sz="6" w:space="0"/>
              <w:right w:val="single" w:color="auto" w:sz="6" w:space="0"/>
            </w:tcBorders>
            <w:vAlign w:val="center"/>
          </w:tcPr>
          <w:p w14:paraId="253E81AB">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应严格保持矿柱（含顶柱、底柱和间柱等）的尺寸、形状和直立度，应有专人检查和管理，以保证其在整个利用期间的稳定性。</w:t>
            </w:r>
          </w:p>
        </w:tc>
        <w:tc>
          <w:tcPr>
            <w:tcW w:w="1768" w:type="dxa"/>
            <w:tcBorders>
              <w:top w:val="single" w:color="auto" w:sz="6" w:space="0"/>
              <w:left w:val="single" w:color="auto" w:sz="6" w:space="0"/>
              <w:bottom w:val="single" w:color="auto" w:sz="6" w:space="0"/>
              <w:right w:val="single" w:color="auto" w:sz="6" w:space="0"/>
            </w:tcBorders>
            <w:vAlign w:val="center"/>
          </w:tcPr>
          <w:p w14:paraId="6A014EDE">
            <w:pPr>
              <w:pStyle w:val="56"/>
              <w:adjustRightInd w:val="0"/>
              <w:snapToGrid w:val="0"/>
              <w:spacing w:line="240" w:lineRule="auto"/>
              <w:ind w:firstLine="0" w:firstLineChars="0"/>
              <w:rPr>
                <w:sz w:val="21"/>
                <w:szCs w:val="21"/>
                <w:highlight w:val="black"/>
              </w:rPr>
            </w:pPr>
            <w:r>
              <w:rPr>
                <w:rFonts w:hint="eastAsia"/>
                <w:sz w:val="21"/>
                <w:szCs w:val="21"/>
                <w:highlight w:val="black"/>
              </w:rPr>
              <w:t>GB16423-2020《金属非金属矿山安全规程》</w:t>
            </w:r>
          </w:p>
          <w:p w14:paraId="4F3B7B01">
            <w:pPr>
              <w:pStyle w:val="56"/>
              <w:adjustRightInd w:val="0"/>
              <w:snapToGrid w:val="0"/>
              <w:spacing w:line="240" w:lineRule="auto"/>
              <w:ind w:firstLine="0" w:firstLineChars="0"/>
              <w:rPr>
                <w:sz w:val="21"/>
                <w:szCs w:val="21"/>
                <w:highlight w:val="black"/>
              </w:rPr>
            </w:pPr>
            <w:r>
              <w:rPr>
                <w:rFonts w:hint="eastAsia"/>
                <w:sz w:val="21"/>
                <w:szCs w:val="21"/>
                <w:highlight w:val="black"/>
              </w:rPr>
              <w:t>第6.3.1.6条</w:t>
            </w:r>
          </w:p>
        </w:tc>
        <w:tc>
          <w:tcPr>
            <w:tcW w:w="2453" w:type="dxa"/>
            <w:tcBorders>
              <w:top w:val="single" w:color="auto" w:sz="6" w:space="0"/>
              <w:left w:val="single" w:color="auto" w:sz="6" w:space="0"/>
              <w:bottom w:val="single" w:color="auto" w:sz="6" w:space="0"/>
              <w:right w:val="single" w:color="auto" w:sz="6" w:space="0"/>
            </w:tcBorders>
            <w:vAlign w:val="center"/>
          </w:tcPr>
          <w:p w14:paraId="37EAC5D5">
            <w:pPr>
              <w:pStyle w:val="56"/>
              <w:spacing w:line="240" w:lineRule="auto"/>
              <w:ind w:firstLine="0" w:firstLineChars="0"/>
              <w:rPr>
                <w:sz w:val="21"/>
                <w:szCs w:val="21"/>
                <w:highlight w:val="black"/>
              </w:rPr>
            </w:pPr>
            <w:r>
              <w:rPr>
                <w:rFonts w:hint="eastAsia"/>
                <w:sz w:val="21"/>
                <w:szCs w:val="21"/>
                <w:highlight w:val="black"/>
              </w:rPr>
              <w:t>《可研报告》对保留框柱进行了相关要求。</w:t>
            </w:r>
          </w:p>
        </w:tc>
        <w:tc>
          <w:tcPr>
            <w:tcW w:w="767" w:type="dxa"/>
            <w:tcBorders>
              <w:top w:val="single" w:color="auto" w:sz="6" w:space="0"/>
              <w:left w:val="single" w:color="auto" w:sz="6" w:space="0"/>
              <w:bottom w:val="single" w:color="auto" w:sz="6" w:space="0"/>
              <w:right w:val="single" w:color="auto" w:sz="12" w:space="0"/>
            </w:tcBorders>
            <w:vAlign w:val="center"/>
          </w:tcPr>
          <w:p w14:paraId="44B44882">
            <w:pPr>
              <w:pStyle w:val="56"/>
              <w:spacing w:line="240" w:lineRule="auto"/>
              <w:ind w:firstLine="0" w:firstLineChars="0"/>
              <w:rPr>
                <w:sz w:val="21"/>
                <w:szCs w:val="21"/>
                <w:highlight w:val="black"/>
              </w:rPr>
            </w:pPr>
            <w:r>
              <w:rPr>
                <w:rFonts w:hint="eastAsia"/>
                <w:sz w:val="21"/>
                <w:szCs w:val="21"/>
                <w:highlight w:val="black"/>
              </w:rPr>
              <w:t>符合</w:t>
            </w:r>
          </w:p>
        </w:tc>
      </w:tr>
    </w:tbl>
    <w:p w14:paraId="0285E4DB">
      <w:pPr>
        <w:ind w:firstLine="560"/>
        <w:rPr>
          <w:highlight w:val="black"/>
          <w:lang w:val="zh-CN"/>
        </w:rPr>
      </w:pPr>
      <w:r>
        <w:rPr>
          <w:rFonts w:hint="eastAsia"/>
          <w:highlight w:val="black"/>
          <w:lang w:val="zh-CN"/>
        </w:rPr>
        <w:t>通过上述检查表检查，本单元安全检查表检查项目</w:t>
      </w:r>
      <w:r>
        <w:rPr>
          <w:rFonts w:hint="eastAsia"/>
          <w:highlight w:val="black"/>
        </w:rPr>
        <w:t>5</w:t>
      </w:r>
      <w:r>
        <w:rPr>
          <w:rFonts w:hint="eastAsia"/>
          <w:highlight w:val="black"/>
          <w:lang w:val="zh-CN"/>
        </w:rPr>
        <w:t>项，</w:t>
      </w:r>
      <w:r>
        <w:rPr>
          <w:rFonts w:hint="eastAsia"/>
          <w:highlight w:val="black"/>
          <w:lang w:val="en-US" w:eastAsia="zh-CN"/>
        </w:rPr>
        <w:t>其中1项《可研报告》中未提及</w:t>
      </w:r>
      <w:r>
        <w:rPr>
          <w:rFonts w:hint="eastAsia"/>
          <w:highlight w:val="black"/>
        </w:rPr>
        <w:t>，</w:t>
      </w:r>
      <w:r>
        <w:rPr>
          <w:rFonts w:hint="eastAsia"/>
          <w:highlight w:val="black"/>
          <w:lang w:val="zh-CN"/>
        </w:rPr>
        <w:t>建议在以后的安全设施设计编制过程中进行补充。</w:t>
      </w:r>
    </w:p>
    <w:p w14:paraId="65A95596">
      <w:pPr>
        <w:pStyle w:val="4"/>
        <w:ind w:firstLine="0" w:firstLineChars="0"/>
      </w:pPr>
      <w:r>
        <w:rPr>
          <w:rFonts w:hint="eastAsia"/>
        </w:rPr>
        <w:t>3.4.3 采矿方法合理性分析</w:t>
      </w:r>
    </w:p>
    <w:p w14:paraId="2C4545E5">
      <w:pPr>
        <w:ind w:firstLine="560"/>
        <w:rPr>
          <w:highlight w:val="black"/>
        </w:rPr>
      </w:pPr>
      <w:r>
        <w:rPr>
          <w:highlight w:val="black"/>
        </w:rPr>
        <w:t>采用专家评议法评价如下：</w:t>
      </w:r>
    </w:p>
    <w:p w14:paraId="789729F8">
      <w:pPr>
        <w:ind w:firstLine="560"/>
        <w:rPr>
          <w:highlight w:val="black"/>
        </w:rPr>
      </w:pPr>
      <w:r>
        <w:rPr>
          <w:rFonts w:hint="eastAsia"/>
          <w:highlight w:val="black"/>
          <w:lang w:val="zh-CN"/>
        </w:rPr>
        <w:t>《可研报告》明确，</w:t>
      </w:r>
      <w:r>
        <w:rPr>
          <w:rFonts w:hint="eastAsia"/>
          <w:highlight w:val="black"/>
        </w:rPr>
        <w:t>本矿矿岩稳定性较好，矿体围岩均为斜长角闪片麻岩和二长花岗片麻岩，其岩石比较坚硬、稳固，岩石质量是极好的，可以保证矿山在空场开采时有较好的稳定性，保证人员及设备安全。但是本矿山周边有基本农田、公路以及村庄，为防止地表塌陷威胁周边车辆及人员安全，考虑本矿山开采矿体较多，且矿体形态较为复杂，拟选择两种采矿方法对不同形态矿体进行开采，其中对于厚度超过1</w:t>
      </w:r>
      <w:r>
        <w:rPr>
          <w:highlight w:val="black"/>
        </w:rPr>
        <w:t>0</w:t>
      </w:r>
      <w:r>
        <w:rPr>
          <w:rFonts w:hint="eastAsia"/>
          <w:highlight w:val="black"/>
        </w:rPr>
        <w:t>m的中厚-厚矿体采用分段空场嗣后充填法，占比约8</w:t>
      </w:r>
      <w:r>
        <w:rPr>
          <w:highlight w:val="black"/>
        </w:rPr>
        <w:t>1</w:t>
      </w:r>
      <w:r>
        <w:rPr>
          <w:rFonts w:hint="eastAsia"/>
          <w:highlight w:val="black"/>
        </w:rPr>
        <w:t>%；</w:t>
      </w:r>
      <w:r>
        <w:rPr>
          <w:highlight w:val="black"/>
        </w:rPr>
        <w:t>对于厚度小于</w:t>
      </w:r>
      <w:r>
        <w:rPr>
          <w:rFonts w:hint="eastAsia"/>
          <w:highlight w:val="black"/>
        </w:rPr>
        <w:t>10</w:t>
      </w:r>
      <w:r>
        <w:rPr>
          <w:highlight w:val="black"/>
        </w:rPr>
        <w:t>m</w:t>
      </w:r>
      <w:r>
        <w:rPr>
          <w:rFonts w:hint="eastAsia"/>
          <w:highlight w:val="black"/>
        </w:rPr>
        <w:t>以及</w:t>
      </w:r>
      <w:r>
        <w:rPr>
          <w:highlight w:val="black"/>
        </w:rPr>
        <w:t>小矿体采用</w:t>
      </w:r>
      <w:r>
        <w:rPr>
          <w:rFonts w:hint="eastAsia"/>
          <w:highlight w:val="black"/>
        </w:rPr>
        <w:t>全面法嗣后充填法的开采方法，占比约</w:t>
      </w:r>
      <w:r>
        <w:rPr>
          <w:highlight w:val="black"/>
        </w:rPr>
        <w:t>19</w:t>
      </w:r>
      <w:r>
        <w:rPr>
          <w:rFonts w:hint="eastAsia"/>
          <w:highlight w:val="black"/>
        </w:rPr>
        <w:t>%</w:t>
      </w:r>
      <w:r>
        <w:rPr>
          <w:highlight w:val="black"/>
        </w:rPr>
        <w:t>。</w:t>
      </w:r>
      <w:r>
        <w:rPr>
          <w:rFonts w:hint="eastAsia"/>
          <w:highlight w:val="black"/>
        </w:rPr>
        <w:t>，可以有效防止地表大规模沉降或塌陷。</w:t>
      </w:r>
    </w:p>
    <w:p w14:paraId="5A320FBF">
      <w:pPr>
        <w:ind w:firstLine="560"/>
        <w:rPr>
          <w:highlight w:val="black"/>
          <w:lang w:val="zh-CN"/>
        </w:rPr>
      </w:pPr>
      <w:r>
        <w:rPr>
          <w:rFonts w:hint="eastAsia"/>
          <w:highlight w:val="black"/>
          <w:lang w:val="zh-CN"/>
        </w:rPr>
        <w:t>本次设计选用的两种采矿方法符合矿山生产实际，综上所述，《可研报告》中根据矿体的赋存条件，有针对性的选择了不同的采矿方法，从技术上可行性与经济上的合理性均能满足安全生产要求，所选采矿方法生产能力与矿山设计生产能力相适应。</w:t>
      </w:r>
    </w:p>
    <w:p w14:paraId="4D92E794">
      <w:pPr>
        <w:pStyle w:val="3"/>
        <w:ind w:firstLine="0" w:firstLineChars="0"/>
      </w:pPr>
      <w:bookmarkStart w:id="275" w:name="_Toc19385"/>
      <w:r>
        <w:rPr>
          <w:rFonts w:hint="eastAsia"/>
        </w:rPr>
        <w:t>3.5 通风</w:t>
      </w:r>
      <w:r>
        <w:t>单元</w:t>
      </w:r>
      <w:bookmarkEnd w:id="275"/>
    </w:p>
    <w:p w14:paraId="17CB06C3">
      <w:pPr>
        <w:pStyle w:val="4"/>
        <w:ind w:firstLine="0" w:firstLineChars="0"/>
      </w:pPr>
      <w:r>
        <w:rPr>
          <w:rFonts w:hint="eastAsia"/>
        </w:rPr>
        <w:t>3.5.1可能存在的主要危险有害因素</w:t>
      </w:r>
    </w:p>
    <w:p w14:paraId="62CF3331">
      <w:pPr>
        <w:ind w:firstLine="560"/>
        <w:rPr>
          <w:highlight w:val="black"/>
        </w:rPr>
      </w:pPr>
      <w:r>
        <w:rPr>
          <w:rFonts w:hint="eastAsia"/>
          <w:highlight w:val="black"/>
        </w:rPr>
        <w:t>该单元存在的主要危险有害因素有“中毒和窒息”。</w:t>
      </w:r>
    </w:p>
    <w:p w14:paraId="41EBBC29">
      <w:pPr>
        <w:pStyle w:val="4"/>
        <w:ind w:firstLine="0" w:firstLineChars="0"/>
      </w:pPr>
      <w:r>
        <w:rPr>
          <w:rFonts w:hint="eastAsia"/>
        </w:rPr>
        <w:t>3.5.2 通风单元评价</w:t>
      </w:r>
    </w:p>
    <w:p w14:paraId="0B9E572D">
      <w:pPr>
        <w:ind w:firstLine="560"/>
        <w:rPr>
          <w:highlight w:val="black"/>
        </w:rPr>
      </w:pPr>
      <w:r>
        <w:rPr>
          <w:highlight w:val="black"/>
        </w:rPr>
        <w:t>采用</w:t>
      </w:r>
      <w:r>
        <w:rPr>
          <w:rFonts w:hint="eastAsia"/>
          <w:highlight w:val="black"/>
        </w:rPr>
        <w:t>安全检查表</w:t>
      </w:r>
      <w:r>
        <w:rPr>
          <w:highlight w:val="black"/>
        </w:rPr>
        <w:t>法对</w:t>
      </w:r>
      <w:r>
        <w:rPr>
          <w:rFonts w:hint="eastAsia"/>
          <w:highlight w:val="black"/>
        </w:rPr>
        <w:t>通风</w:t>
      </w:r>
      <w:r>
        <w:rPr>
          <w:highlight w:val="black"/>
        </w:rPr>
        <w:t>单元进行评价，见下表3-</w:t>
      </w:r>
      <w:r>
        <w:rPr>
          <w:rFonts w:hint="eastAsia"/>
          <w:highlight w:val="black"/>
        </w:rPr>
        <w:t>7。</w:t>
      </w:r>
    </w:p>
    <w:tbl>
      <w:tblPr>
        <w:tblStyle w:val="25"/>
        <w:tblpPr w:leftFromText="180" w:rightFromText="180" w:vertAnchor="text" w:horzAnchor="margin" w:tblpXSpec="center" w:tblpY="94"/>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749"/>
        <w:gridCol w:w="1688"/>
        <w:gridCol w:w="2439"/>
        <w:gridCol w:w="850"/>
      </w:tblGrid>
      <w:tr w14:paraId="4236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tcBorders>
              <w:top w:val="nil"/>
              <w:left w:val="nil"/>
              <w:bottom w:val="single" w:color="auto" w:sz="12" w:space="0"/>
              <w:right w:val="nil"/>
            </w:tcBorders>
            <w:vAlign w:val="center"/>
          </w:tcPr>
          <w:p w14:paraId="54830A80">
            <w:pPr>
              <w:ind w:firstLine="0" w:firstLineChars="0"/>
              <w:jc w:val="center"/>
              <w:rPr>
                <w:rFonts w:ascii="宋体" w:hAnsi="宋体" w:cs="宋体"/>
                <w:sz w:val="21"/>
                <w:szCs w:val="21"/>
                <w:highlight w:val="black"/>
              </w:rPr>
            </w:pPr>
            <w:r>
              <w:rPr>
                <w:rFonts w:hint="eastAsia" w:ascii="宋体" w:hAnsi="宋体" w:cs="宋体"/>
                <w:b/>
                <w:bCs/>
                <w:sz w:val="21"/>
                <w:szCs w:val="21"/>
                <w:highlight w:val="black"/>
              </w:rPr>
              <w:t>表3-7 通风单元安全检查表</w:t>
            </w:r>
          </w:p>
        </w:tc>
      </w:tr>
      <w:tr w14:paraId="3663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12" w:space="0"/>
              <w:left w:val="single" w:color="auto" w:sz="12" w:space="0"/>
              <w:right w:val="single" w:color="auto" w:sz="4" w:space="0"/>
            </w:tcBorders>
            <w:vAlign w:val="center"/>
          </w:tcPr>
          <w:p w14:paraId="471792EE">
            <w:pPr>
              <w:pStyle w:val="42"/>
              <w:spacing w:line="240" w:lineRule="auto"/>
              <w:ind w:firstLine="0" w:firstLineChars="0"/>
              <w:jc w:val="center"/>
              <w:rPr>
                <w:rFonts w:cs="宋体"/>
                <w:b/>
                <w:bCs/>
                <w:sz w:val="21"/>
                <w:szCs w:val="21"/>
                <w:highlight w:val="black"/>
              </w:rPr>
            </w:pPr>
            <w:r>
              <w:rPr>
                <w:rFonts w:hint="eastAsia" w:cs="宋体"/>
                <w:b/>
                <w:bCs/>
                <w:sz w:val="21"/>
                <w:szCs w:val="21"/>
                <w:highlight w:val="black"/>
              </w:rPr>
              <w:t>序号</w:t>
            </w:r>
          </w:p>
        </w:tc>
        <w:tc>
          <w:tcPr>
            <w:tcW w:w="3749" w:type="dxa"/>
            <w:tcBorders>
              <w:top w:val="single" w:color="auto" w:sz="12" w:space="0"/>
              <w:left w:val="single" w:color="auto" w:sz="4" w:space="0"/>
              <w:right w:val="single" w:color="auto" w:sz="4" w:space="0"/>
            </w:tcBorders>
            <w:vAlign w:val="center"/>
          </w:tcPr>
          <w:p w14:paraId="6E6C9D6F">
            <w:pPr>
              <w:pStyle w:val="42"/>
              <w:spacing w:line="240" w:lineRule="auto"/>
              <w:ind w:firstLine="0" w:firstLineChars="0"/>
              <w:jc w:val="center"/>
              <w:rPr>
                <w:rFonts w:cs="宋体"/>
                <w:b/>
                <w:bCs/>
                <w:sz w:val="21"/>
                <w:szCs w:val="21"/>
                <w:highlight w:val="black"/>
              </w:rPr>
            </w:pPr>
            <w:r>
              <w:rPr>
                <w:rFonts w:hint="eastAsia" w:cs="宋体"/>
                <w:b/>
                <w:bCs/>
                <w:sz w:val="21"/>
                <w:szCs w:val="21"/>
                <w:highlight w:val="black"/>
              </w:rPr>
              <w:t>检查内容</w:t>
            </w:r>
          </w:p>
        </w:tc>
        <w:tc>
          <w:tcPr>
            <w:tcW w:w="1688" w:type="dxa"/>
            <w:tcBorders>
              <w:top w:val="single" w:color="auto" w:sz="12" w:space="0"/>
              <w:left w:val="single" w:color="auto" w:sz="4" w:space="0"/>
              <w:right w:val="single" w:color="auto" w:sz="4" w:space="0"/>
            </w:tcBorders>
            <w:vAlign w:val="center"/>
          </w:tcPr>
          <w:p w14:paraId="57E09785">
            <w:pPr>
              <w:pStyle w:val="42"/>
              <w:spacing w:line="240" w:lineRule="auto"/>
              <w:ind w:firstLine="0" w:firstLineChars="0"/>
              <w:jc w:val="center"/>
              <w:rPr>
                <w:rFonts w:cs="宋体"/>
                <w:b/>
                <w:bCs/>
                <w:sz w:val="21"/>
                <w:szCs w:val="21"/>
                <w:highlight w:val="black"/>
              </w:rPr>
            </w:pPr>
            <w:r>
              <w:rPr>
                <w:rFonts w:hint="eastAsia" w:cs="宋体"/>
                <w:b/>
                <w:bCs/>
                <w:sz w:val="21"/>
                <w:szCs w:val="21"/>
                <w:highlight w:val="black"/>
              </w:rPr>
              <w:t>检查依据</w:t>
            </w:r>
          </w:p>
        </w:tc>
        <w:tc>
          <w:tcPr>
            <w:tcW w:w="2439" w:type="dxa"/>
            <w:tcBorders>
              <w:top w:val="single" w:color="auto" w:sz="12" w:space="0"/>
              <w:left w:val="single" w:color="auto" w:sz="4" w:space="0"/>
              <w:right w:val="single" w:color="auto" w:sz="4" w:space="0"/>
            </w:tcBorders>
            <w:vAlign w:val="center"/>
          </w:tcPr>
          <w:p w14:paraId="5E21AE3E">
            <w:pPr>
              <w:pStyle w:val="42"/>
              <w:spacing w:line="240" w:lineRule="auto"/>
              <w:ind w:firstLine="0" w:firstLineChars="0"/>
              <w:jc w:val="center"/>
              <w:rPr>
                <w:rFonts w:cs="宋体"/>
                <w:b/>
                <w:bCs/>
                <w:sz w:val="21"/>
                <w:szCs w:val="21"/>
                <w:highlight w:val="black"/>
              </w:rPr>
            </w:pPr>
            <w:r>
              <w:rPr>
                <w:rFonts w:hint="eastAsia" w:cs="宋体"/>
                <w:b/>
                <w:bCs/>
                <w:sz w:val="21"/>
                <w:szCs w:val="21"/>
                <w:highlight w:val="black"/>
              </w:rPr>
              <w:t>检查记录</w:t>
            </w:r>
          </w:p>
        </w:tc>
        <w:tc>
          <w:tcPr>
            <w:tcW w:w="850" w:type="dxa"/>
            <w:tcBorders>
              <w:top w:val="single" w:color="auto" w:sz="12" w:space="0"/>
              <w:left w:val="single" w:color="auto" w:sz="4" w:space="0"/>
              <w:right w:val="single" w:color="auto" w:sz="12" w:space="0"/>
            </w:tcBorders>
            <w:vAlign w:val="center"/>
          </w:tcPr>
          <w:p w14:paraId="4D267410">
            <w:pPr>
              <w:pStyle w:val="42"/>
              <w:spacing w:line="240" w:lineRule="auto"/>
              <w:ind w:firstLine="0" w:firstLineChars="0"/>
              <w:jc w:val="center"/>
              <w:rPr>
                <w:rFonts w:cs="宋体"/>
                <w:b/>
                <w:bCs/>
                <w:sz w:val="21"/>
                <w:szCs w:val="21"/>
                <w:highlight w:val="black"/>
              </w:rPr>
            </w:pPr>
            <w:r>
              <w:rPr>
                <w:rFonts w:hint="eastAsia" w:cs="宋体"/>
                <w:b/>
                <w:bCs/>
                <w:sz w:val="21"/>
                <w:szCs w:val="21"/>
                <w:highlight w:val="black"/>
              </w:rPr>
              <w:t>检查</w:t>
            </w:r>
          </w:p>
          <w:p w14:paraId="573F6719">
            <w:pPr>
              <w:pStyle w:val="42"/>
              <w:spacing w:line="240" w:lineRule="auto"/>
              <w:ind w:firstLine="0" w:firstLineChars="0"/>
              <w:jc w:val="center"/>
              <w:rPr>
                <w:rFonts w:cs="宋体"/>
                <w:b/>
                <w:bCs/>
                <w:sz w:val="21"/>
                <w:szCs w:val="21"/>
                <w:highlight w:val="black"/>
              </w:rPr>
            </w:pPr>
            <w:r>
              <w:rPr>
                <w:rFonts w:hint="eastAsia" w:cs="宋体"/>
                <w:b/>
                <w:bCs/>
                <w:sz w:val="21"/>
                <w:szCs w:val="21"/>
                <w:highlight w:val="black"/>
              </w:rPr>
              <w:t>结果</w:t>
            </w:r>
          </w:p>
        </w:tc>
      </w:tr>
      <w:tr w14:paraId="07BD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5" w:type="dxa"/>
            <w:tcBorders>
              <w:left w:val="single" w:color="auto" w:sz="12" w:space="0"/>
              <w:right w:val="single" w:color="auto" w:sz="4" w:space="0"/>
            </w:tcBorders>
            <w:vAlign w:val="center"/>
          </w:tcPr>
          <w:p w14:paraId="106C1CF8">
            <w:pPr>
              <w:pStyle w:val="42"/>
              <w:spacing w:line="240" w:lineRule="auto"/>
              <w:ind w:firstLine="0" w:firstLineChars="0"/>
              <w:jc w:val="center"/>
              <w:rPr>
                <w:rFonts w:cs="宋体"/>
                <w:sz w:val="21"/>
                <w:szCs w:val="21"/>
                <w:highlight w:val="black"/>
              </w:rPr>
            </w:pPr>
            <w:r>
              <w:rPr>
                <w:rFonts w:hint="eastAsia" w:cs="宋体"/>
                <w:sz w:val="21"/>
                <w:szCs w:val="21"/>
                <w:highlight w:val="black"/>
              </w:rPr>
              <w:t>1</w:t>
            </w:r>
          </w:p>
        </w:tc>
        <w:tc>
          <w:tcPr>
            <w:tcW w:w="3749" w:type="dxa"/>
            <w:tcBorders>
              <w:left w:val="single" w:color="auto" w:sz="4" w:space="0"/>
              <w:right w:val="single" w:color="auto" w:sz="4" w:space="0"/>
            </w:tcBorders>
            <w:vAlign w:val="center"/>
          </w:tcPr>
          <w:p w14:paraId="1EA00F31">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地下矿山应采用机械通风。设有在线监测系统的矿山应根据监测结果及时调整通风系统；未设置在线监测系统的矿山每年应对通风系统进行1次检测。</w:t>
            </w:r>
          </w:p>
        </w:tc>
        <w:tc>
          <w:tcPr>
            <w:tcW w:w="1688" w:type="dxa"/>
            <w:tcBorders>
              <w:left w:val="single" w:color="auto" w:sz="4" w:space="0"/>
              <w:right w:val="single" w:color="auto" w:sz="4" w:space="0"/>
            </w:tcBorders>
            <w:vAlign w:val="center"/>
          </w:tcPr>
          <w:p w14:paraId="7D738E02">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551BE04E">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第6.6.2.1条</w:t>
            </w:r>
          </w:p>
        </w:tc>
        <w:tc>
          <w:tcPr>
            <w:tcW w:w="2439" w:type="dxa"/>
            <w:tcBorders>
              <w:left w:val="single" w:color="auto" w:sz="4" w:space="0"/>
              <w:right w:val="single" w:color="auto" w:sz="4" w:space="0"/>
            </w:tcBorders>
            <w:vAlign w:val="center"/>
          </w:tcPr>
          <w:p w14:paraId="2978FAA9">
            <w:pPr>
              <w:pStyle w:val="42"/>
              <w:spacing w:line="240" w:lineRule="auto"/>
              <w:ind w:firstLine="0" w:firstLineChars="0"/>
              <w:rPr>
                <w:rFonts w:hint="eastAsia" w:eastAsia="宋体" w:cs="宋体"/>
                <w:sz w:val="21"/>
                <w:szCs w:val="21"/>
                <w:highlight w:val="black"/>
                <w:lang w:eastAsia="zh-CN"/>
              </w:rPr>
            </w:pPr>
            <w:r>
              <w:rPr>
                <w:rFonts w:hint="eastAsia" w:cs="宋体"/>
                <w:sz w:val="21"/>
                <w:szCs w:val="21"/>
                <w:highlight w:val="black"/>
              </w:rPr>
              <w:t>《可研报告》明确，该矿山采用机械通风。矿山每年应对通风系统进行1次检测。</w:t>
            </w:r>
          </w:p>
        </w:tc>
        <w:tc>
          <w:tcPr>
            <w:tcW w:w="850" w:type="dxa"/>
            <w:tcBorders>
              <w:left w:val="single" w:color="auto" w:sz="4" w:space="0"/>
              <w:right w:val="single" w:color="auto" w:sz="12" w:space="0"/>
            </w:tcBorders>
            <w:vAlign w:val="center"/>
          </w:tcPr>
          <w:p w14:paraId="2134F592">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40C6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5" w:type="dxa"/>
            <w:tcBorders>
              <w:left w:val="single" w:color="auto" w:sz="12" w:space="0"/>
              <w:right w:val="single" w:color="auto" w:sz="4" w:space="0"/>
            </w:tcBorders>
            <w:vAlign w:val="center"/>
          </w:tcPr>
          <w:p w14:paraId="1128E317">
            <w:pPr>
              <w:pStyle w:val="42"/>
              <w:spacing w:line="240" w:lineRule="auto"/>
              <w:ind w:firstLine="0" w:firstLineChars="0"/>
              <w:jc w:val="center"/>
              <w:rPr>
                <w:rFonts w:cs="宋体"/>
                <w:sz w:val="21"/>
                <w:szCs w:val="21"/>
                <w:highlight w:val="black"/>
              </w:rPr>
            </w:pPr>
            <w:r>
              <w:rPr>
                <w:rFonts w:hint="eastAsia" w:cs="宋体"/>
                <w:sz w:val="21"/>
                <w:szCs w:val="21"/>
                <w:highlight w:val="black"/>
              </w:rPr>
              <w:t>2</w:t>
            </w:r>
          </w:p>
        </w:tc>
        <w:tc>
          <w:tcPr>
            <w:tcW w:w="3749" w:type="dxa"/>
            <w:tcBorders>
              <w:left w:val="single" w:color="auto" w:sz="4" w:space="0"/>
              <w:right w:val="single" w:color="auto" w:sz="4" w:space="0"/>
            </w:tcBorders>
            <w:vAlign w:val="center"/>
          </w:tcPr>
          <w:p w14:paraId="689CAD9D">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矿山应及时更新通风系统图。通风系统图应标明通风设备、风量、风流方向、通风构筑物、与通风系统隔离的区域等。</w:t>
            </w:r>
          </w:p>
        </w:tc>
        <w:tc>
          <w:tcPr>
            <w:tcW w:w="1688" w:type="dxa"/>
            <w:tcBorders>
              <w:left w:val="single" w:color="auto" w:sz="4" w:space="0"/>
              <w:right w:val="single" w:color="auto" w:sz="4" w:space="0"/>
            </w:tcBorders>
            <w:vAlign w:val="center"/>
          </w:tcPr>
          <w:p w14:paraId="5DBD4C15">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421C989F">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第6.4.2.1条</w:t>
            </w:r>
          </w:p>
        </w:tc>
        <w:tc>
          <w:tcPr>
            <w:tcW w:w="2439" w:type="dxa"/>
            <w:tcBorders>
              <w:left w:val="single" w:color="auto" w:sz="4" w:space="0"/>
              <w:right w:val="single" w:color="auto" w:sz="4" w:space="0"/>
            </w:tcBorders>
            <w:vAlign w:val="center"/>
          </w:tcPr>
          <w:p w14:paraId="5E17E12E">
            <w:pPr>
              <w:pStyle w:val="42"/>
              <w:spacing w:line="240" w:lineRule="auto"/>
              <w:ind w:firstLine="0" w:firstLineChars="0"/>
              <w:rPr>
                <w:rFonts w:cs="宋体"/>
                <w:sz w:val="21"/>
                <w:szCs w:val="21"/>
                <w:highlight w:val="black"/>
              </w:rPr>
            </w:pPr>
            <w:r>
              <w:rPr>
                <w:rFonts w:hint="eastAsia" w:cs="宋体"/>
                <w:sz w:val="21"/>
                <w:szCs w:val="21"/>
                <w:highlight w:val="black"/>
              </w:rPr>
              <w:t>《可研报告》明确，矿山应及时更新通风系统图。通风系统图应标明通风设备、风量、风流方向、通风构筑物、与通风系统隔离的区域等。</w:t>
            </w:r>
          </w:p>
        </w:tc>
        <w:tc>
          <w:tcPr>
            <w:tcW w:w="850" w:type="dxa"/>
            <w:tcBorders>
              <w:left w:val="single" w:color="auto" w:sz="4" w:space="0"/>
              <w:right w:val="single" w:color="auto" w:sz="12" w:space="0"/>
            </w:tcBorders>
            <w:vAlign w:val="center"/>
          </w:tcPr>
          <w:p w14:paraId="55267E3F">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5925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5" w:type="dxa"/>
            <w:tcBorders>
              <w:left w:val="single" w:color="auto" w:sz="12" w:space="0"/>
              <w:right w:val="single" w:color="auto" w:sz="4" w:space="0"/>
            </w:tcBorders>
            <w:vAlign w:val="center"/>
          </w:tcPr>
          <w:p w14:paraId="0B5C8BA6">
            <w:pPr>
              <w:pStyle w:val="42"/>
              <w:spacing w:line="240" w:lineRule="auto"/>
              <w:ind w:firstLine="0" w:firstLineChars="0"/>
              <w:jc w:val="center"/>
              <w:rPr>
                <w:rFonts w:cs="宋体"/>
                <w:sz w:val="21"/>
                <w:szCs w:val="21"/>
                <w:highlight w:val="black"/>
              </w:rPr>
            </w:pPr>
            <w:r>
              <w:rPr>
                <w:rFonts w:hint="eastAsia" w:cs="宋体"/>
                <w:sz w:val="21"/>
                <w:szCs w:val="21"/>
                <w:highlight w:val="black"/>
              </w:rPr>
              <w:t>3</w:t>
            </w:r>
          </w:p>
        </w:tc>
        <w:tc>
          <w:tcPr>
            <w:tcW w:w="3749" w:type="dxa"/>
            <w:tcBorders>
              <w:left w:val="single" w:color="auto" w:sz="4" w:space="0"/>
              <w:right w:val="single" w:color="auto" w:sz="4" w:space="0"/>
            </w:tcBorders>
            <w:vAlign w:val="center"/>
          </w:tcPr>
          <w:p w14:paraId="786614A7">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矿山形成系统通风、采场形成贯穿风流之前不应进行回采作业。</w:t>
            </w:r>
          </w:p>
        </w:tc>
        <w:tc>
          <w:tcPr>
            <w:tcW w:w="1688" w:type="dxa"/>
            <w:tcBorders>
              <w:left w:val="single" w:color="auto" w:sz="4" w:space="0"/>
              <w:right w:val="single" w:color="auto" w:sz="4" w:space="0"/>
            </w:tcBorders>
            <w:vAlign w:val="center"/>
          </w:tcPr>
          <w:p w14:paraId="7F333117">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69EF4B3F">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第6.4.2.3条</w:t>
            </w:r>
          </w:p>
        </w:tc>
        <w:tc>
          <w:tcPr>
            <w:tcW w:w="2439" w:type="dxa"/>
            <w:tcBorders>
              <w:left w:val="single" w:color="auto" w:sz="4" w:space="0"/>
              <w:right w:val="single" w:color="auto" w:sz="4" w:space="0"/>
            </w:tcBorders>
            <w:vAlign w:val="center"/>
          </w:tcPr>
          <w:p w14:paraId="1C268E86">
            <w:pPr>
              <w:pStyle w:val="42"/>
              <w:spacing w:line="240" w:lineRule="auto"/>
              <w:ind w:firstLine="0" w:firstLineChars="0"/>
              <w:rPr>
                <w:rFonts w:cs="宋体"/>
                <w:sz w:val="21"/>
                <w:szCs w:val="21"/>
                <w:highlight w:val="black"/>
              </w:rPr>
            </w:pPr>
            <w:r>
              <w:rPr>
                <w:rFonts w:hint="eastAsia" w:cs="宋体"/>
                <w:sz w:val="21"/>
                <w:szCs w:val="21"/>
                <w:highlight w:val="black"/>
              </w:rPr>
              <w:t>《可研报告》明确，采场通风系统形成前不进行回采。</w:t>
            </w:r>
          </w:p>
        </w:tc>
        <w:tc>
          <w:tcPr>
            <w:tcW w:w="850" w:type="dxa"/>
            <w:tcBorders>
              <w:left w:val="single" w:color="auto" w:sz="4" w:space="0"/>
              <w:right w:val="single" w:color="auto" w:sz="12" w:space="0"/>
            </w:tcBorders>
            <w:vAlign w:val="center"/>
          </w:tcPr>
          <w:p w14:paraId="0E366DF8">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6627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tcBorders>
              <w:left w:val="single" w:color="auto" w:sz="12" w:space="0"/>
              <w:right w:val="single" w:color="auto" w:sz="4" w:space="0"/>
            </w:tcBorders>
            <w:vAlign w:val="center"/>
          </w:tcPr>
          <w:p w14:paraId="0DE94937">
            <w:pPr>
              <w:pStyle w:val="42"/>
              <w:spacing w:line="240" w:lineRule="auto"/>
              <w:ind w:firstLine="0" w:firstLineChars="0"/>
              <w:jc w:val="center"/>
              <w:rPr>
                <w:rFonts w:cs="宋体"/>
                <w:sz w:val="21"/>
                <w:szCs w:val="21"/>
                <w:highlight w:val="black"/>
              </w:rPr>
            </w:pPr>
            <w:r>
              <w:rPr>
                <w:rFonts w:hint="eastAsia" w:cs="宋体"/>
                <w:sz w:val="21"/>
                <w:szCs w:val="21"/>
                <w:highlight w:val="black"/>
              </w:rPr>
              <w:t>4</w:t>
            </w:r>
          </w:p>
        </w:tc>
        <w:tc>
          <w:tcPr>
            <w:tcW w:w="3749" w:type="dxa"/>
            <w:tcBorders>
              <w:left w:val="single" w:color="auto" w:sz="4" w:space="0"/>
              <w:right w:val="single" w:color="auto" w:sz="4" w:space="0"/>
            </w:tcBorders>
            <w:vAlign w:val="center"/>
          </w:tcPr>
          <w:p w14:paraId="49AA6D2A">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主要进风风流不得通过采空区和塌陷区。进风、回风巷应保持畅通，禁止堆放材料、设备。主要回风井巷禁止用作人行道。</w:t>
            </w:r>
          </w:p>
        </w:tc>
        <w:tc>
          <w:tcPr>
            <w:tcW w:w="1688" w:type="dxa"/>
            <w:tcBorders>
              <w:left w:val="single" w:color="auto" w:sz="4" w:space="0"/>
              <w:right w:val="single" w:color="auto" w:sz="4" w:space="0"/>
            </w:tcBorders>
            <w:vAlign w:val="center"/>
          </w:tcPr>
          <w:p w14:paraId="2A2AC837">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464FA54B">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第6.6.2.4条</w:t>
            </w:r>
          </w:p>
        </w:tc>
        <w:tc>
          <w:tcPr>
            <w:tcW w:w="2439" w:type="dxa"/>
            <w:tcBorders>
              <w:left w:val="single" w:color="auto" w:sz="4" w:space="0"/>
              <w:right w:val="single" w:color="auto" w:sz="4" w:space="0"/>
            </w:tcBorders>
            <w:vAlign w:val="center"/>
          </w:tcPr>
          <w:p w14:paraId="78851ABD">
            <w:pPr>
              <w:spacing w:line="240" w:lineRule="auto"/>
              <w:ind w:firstLine="0" w:firstLineChars="0"/>
              <w:rPr>
                <w:rFonts w:ascii="宋体" w:hAnsi="宋体" w:cs="宋体"/>
                <w:sz w:val="21"/>
                <w:szCs w:val="21"/>
                <w:highlight w:val="black"/>
              </w:rPr>
            </w:pPr>
            <w:r>
              <w:rPr>
                <w:rFonts w:hint="eastAsia" w:ascii="宋体" w:hAnsi="宋体" w:cs="宋体"/>
                <w:sz w:val="21"/>
                <w:szCs w:val="21"/>
                <w:highlight w:val="black"/>
              </w:rPr>
              <w:t>《可研报告》明确相关要求。</w:t>
            </w:r>
          </w:p>
        </w:tc>
        <w:tc>
          <w:tcPr>
            <w:tcW w:w="850" w:type="dxa"/>
            <w:tcBorders>
              <w:left w:val="single" w:color="auto" w:sz="4" w:space="0"/>
              <w:right w:val="single" w:color="auto" w:sz="12" w:space="0"/>
            </w:tcBorders>
            <w:vAlign w:val="center"/>
          </w:tcPr>
          <w:p w14:paraId="255FC577">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7F2B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5" w:type="dxa"/>
            <w:tcBorders>
              <w:left w:val="single" w:color="auto" w:sz="12" w:space="0"/>
              <w:right w:val="single" w:color="auto" w:sz="4" w:space="0"/>
            </w:tcBorders>
            <w:vAlign w:val="center"/>
          </w:tcPr>
          <w:p w14:paraId="06767665">
            <w:pPr>
              <w:pStyle w:val="42"/>
              <w:spacing w:line="240" w:lineRule="auto"/>
              <w:ind w:firstLine="0" w:firstLineChars="0"/>
              <w:jc w:val="center"/>
              <w:rPr>
                <w:rFonts w:cs="宋体"/>
                <w:sz w:val="21"/>
                <w:szCs w:val="21"/>
                <w:highlight w:val="black"/>
              </w:rPr>
            </w:pPr>
            <w:r>
              <w:rPr>
                <w:rFonts w:hint="eastAsia" w:cs="宋体"/>
                <w:sz w:val="21"/>
                <w:szCs w:val="21"/>
                <w:highlight w:val="black"/>
              </w:rPr>
              <w:t>5</w:t>
            </w:r>
          </w:p>
        </w:tc>
        <w:tc>
          <w:tcPr>
            <w:tcW w:w="3749" w:type="dxa"/>
            <w:tcBorders>
              <w:left w:val="single" w:color="auto" w:sz="4" w:space="0"/>
              <w:right w:val="single" w:color="auto" w:sz="4" w:space="0"/>
            </w:tcBorders>
            <w:vAlign w:val="center"/>
          </w:tcPr>
          <w:p w14:paraId="09A8A76F">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掘进工作面和通风不良的采场，必须安局扇，局扇应有完善的保护装置。</w:t>
            </w:r>
          </w:p>
        </w:tc>
        <w:tc>
          <w:tcPr>
            <w:tcW w:w="1688" w:type="dxa"/>
            <w:tcBorders>
              <w:left w:val="single" w:color="auto" w:sz="4" w:space="0"/>
              <w:right w:val="single" w:color="auto" w:sz="4" w:space="0"/>
            </w:tcBorders>
            <w:vAlign w:val="center"/>
          </w:tcPr>
          <w:p w14:paraId="262BFD48">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00A0703A">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第6.4.4.1条</w:t>
            </w:r>
          </w:p>
        </w:tc>
        <w:tc>
          <w:tcPr>
            <w:tcW w:w="2439" w:type="dxa"/>
            <w:tcBorders>
              <w:left w:val="single" w:color="auto" w:sz="4" w:space="0"/>
              <w:right w:val="single" w:color="auto" w:sz="4" w:space="0"/>
            </w:tcBorders>
            <w:vAlign w:val="center"/>
          </w:tcPr>
          <w:p w14:paraId="25FE15F9">
            <w:pPr>
              <w:pStyle w:val="42"/>
              <w:spacing w:line="240" w:lineRule="auto"/>
              <w:ind w:firstLine="0" w:firstLineChars="0"/>
              <w:rPr>
                <w:rFonts w:cs="宋体"/>
                <w:sz w:val="21"/>
                <w:szCs w:val="21"/>
                <w:highlight w:val="black"/>
              </w:rPr>
            </w:pPr>
            <w:r>
              <w:rPr>
                <w:rFonts w:hint="eastAsia" w:cs="宋体"/>
                <w:sz w:val="21"/>
                <w:szCs w:val="21"/>
                <w:highlight w:val="black"/>
              </w:rPr>
              <w:t>《可研报告》明确，独头掘进时局扇加强通风。</w:t>
            </w:r>
          </w:p>
        </w:tc>
        <w:tc>
          <w:tcPr>
            <w:tcW w:w="850" w:type="dxa"/>
            <w:tcBorders>
              <w:left w:val="single" w:color="auto" w:sz="4" w:space="0"/>
              <w:right w:val="single" w:color="auto" w:sz="12" w:space="0"/>
            </w:tcBorders>
            <w:vAlign w:val="center"/>
          </w:tcPr>
          <w:p w14:paraId="1F9DAE14">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6635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5" w:type="dxa"/>
            <w:tcBorders>
              <w:left w:val="single" w:color="auto" w:sz="12" w:space="0"/>
              <w:right w:val="single" w:color="auto" w:sz="4" w:space="0"/>
            </w:tcBorders>
            <w:vAlign w:val="center"/>
          </w:tcPr>
          <w:p w14:paraId="53F83256">
            <w:pPr>
              <w:pStyle w:val="42"/>
              <w:spacing w:line="240" w:lineRule="auto"/>
              <w:ind w:firstLine="0" w:firstLineChars="0"/>
              <w:jc w:val="center"/>
              <w:rPr>
                <w:rFonts w:cs="宋体"/>
                <w:sz w:val="21"/>
                <w:szCs w:val="21"/>
                <w:highlight w:val="black"/>
              </w:rPr>
            </w:pPr>
            <w:r>
              <w:rPr>
                <w:rFonts w:hint="eastAsia" w:cs="宋体"/>
                <w:sz w:val="21"/>
                <w:szCs w:val="21"/>
                <w:highlight w:val="black"/>
              </w:rPr>
              <w:t>6</w:t>
            </w:r>
          </w:p>
        </w:tc>
        <w:tc>
          <w:tcPr>
            <w:tcW w:w="3749" w:type="dxa"/>
            <w:tcBorders>
              <w:left w:val="single" w:color="auto" w:sz="4" w:space="0"/>
              <w:right w:val="single" w:color="auto" w:sz="4" w:space="0"/>
            </w:tcBorders>
            <w:vAlign w:val="center"/>
          </w:tcPr>
          <w:p w14:paraId="73AFE355">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每台主通风机电机均应有备用，并能迅速更换。</w:t>
            </w:r>
          </w:p>
        </w:tc>
        <w:tc>
          <w:tcPr>
            <w:tcW w:w="1688" w:type="dxa"/>
            <w:tcBorders>
              <w:left w:val="single" w:color="auto" w:sz="4" w:space="0"/>
              <w:right w:val="single" w:color="auto" w:sz="4" w:space="0"/>
            </w:tcBorders>
            <w:vAlign w:val="center"/>
          </w:tcPr>
          <w:p w14:paraId="3DB128C4">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5075CED4">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第6.6.3.2条</w:t>
            </w:r>
          </w:p>
        </w:tc>
        <w:tc>
          <w:tcPr>
            <w:tcW w:w="2439" w:type="dxa"/>
            <w:tcBorders>
              <w:left w:val="single" w:color="auto" w:sz="4" w:space="0"/>
              <w:right w:val="single" w:color="auto" w:sz="4" w:space="0"/>
            </w:tcBorders>
            <w:vAlign w:val="center"/>
          </w:tcPr>
          <w:p w14:paraId="528C7CDF">
            <w:pPr>
              <w:pStyle w:val="42"/>
              <w:spacing w:line="240" w:lineRule="auto"/>
              <w:ind w:firstLine="0" w:firstLineChars="0"/>
              <w:rPr>
                <w:rFonts w:cs="宋体"/>
                <w:sz w:val="21"/>
                <w:szCs w:val="21"/>
                <w:highlight w:val="black"/>
              </w:rPr>
            </w:pPr>
            <w:r>
              <w:rPr>
                <w:rFonts w:hint="eastAsia" w:cs="宋体"/>
                <w:sz w:val="21"/>
                <w:szCs w:val="21"/>
                <w:highlight w:val="black"/>
              </w:rPr>
              <w:t>《可研报告》明确，通风机均应设有备用电机，能迅速更换。</w:t>
            </w:r>
          </w:p>
        </w:tc>
        <w:tc>
          <w:tcPr>
            <w:tcW w:w="850" w:type="dxa"/>
            <w:tcBorders>
              <w:left w:val="single" w:color="auto" w:sz="4" w:space="0"/>
              <w:right w:val="single" w:color="auto" w:sz="12" w:space="0"/>
            </w:tcBorders>
            <w:vAlign w:val="center"/>
          </w:tcPr>
          <w:p w14:paraId="729F5964">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4B9C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675" w:type="dxa"/>
            <w:tcBorders>
              <w:left w:val="single" w:color="auto" w:sz="12" w:space="0"/>
              <w:right w:val="single" w:color="auto" w:sz="4" w:space="0"/>
            </w:tcBorders>
            <w:vAlign w:val="center"/>
          </w:tcPr>
          <w:p w14:paraId="239D2193">
            <w:pPr>
              <w:pStyle w:val="42"/>
              <w:spacing w:line="240" w:lineRule="auto"/>
              <w:ind w:firstLine="0" w:firstLineChars="0"/>
              <w:jc w:val="center"/>
              <w:rPr>
                <w:rFonts w:cs="宋体"/>
                <w:sz w:val="21"/>
                <w:szCs w:val="21"/>
                <w:highlight w:val="black"/>
              </w:rPr>
            </w:pPr>
            <w:r>
              <w:rPr>
                <w:rFonts w:hint="eastAsia" w:cs="宋体"/>
                <w:sz w:val="21"/>
                <w:szCs w:val="21"/>
                <w:highlight w:val="black"/>
              </w:rPr>
              <w:t>7</w:t>
            </w:r>
          </w:p>
        </w:tc>
        <w:tc>
          <w:tcPr>
            <w:tcW w:w="3749" w:type="dxa"/>
            <w:tcBorders>
              <w:left w:val="single" w:color="auto" w:sz="4" w:space="0"/>
              <w:right w:val="single" w:color="auto" w:sz="4" w:space="0"/>
            </w:tcBorders>
            <w:vAlign w:val="center"/>
          </w:tcPr>
          <w:p w14:paraId="5E1DD6F9">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主通风设施应能使矿井风流在10 min内反向，反风应不小于正常运转时风量的60%。</w:t>
            </w:r>
          </w:p>
        </w:tc>
        <w:tc>
          <w:tcPr>
            <w:tcW w:w="1688" w:type="dxa"/>
            <w:tcBorders>
              <w:left w:val="single" w:color="auto" w:sz="4" w:space="0"/>
              <w:right w:val="single" w:color="auto" w:sz="4" w:space="0"/>
            </w:tcBorders>
            <w:vAlign w:val="center"/>
          </w:tcPr>
          <w:p w14:paraId="39CCEEBE">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05EFB22A">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第6.6.3.3条</w:t>
            </w:r>
          </w:p>
        </w:tc>
        <w:tc>
          <w:tcPr>
            <w:tcW w:w="2439" w:type="dxa"/>
            <w:tcBorders>
              <w:left w:val="single" w:color="auto" w:sz="4" w:space="0"/>
              <w:right w:val="single" w:color="auto" w:sz="4" w:space="0"/>
            </w:tcBorders>
            <w:vAlign w:val="center"/>
          </w:tcPr>
          <w:p w14:paraId="57929F24">
            <w:pPr>
              <w:pStyle w:val="42"/>
              <w:spacing w:line="240" w:lineRule="auto"/>
              <w:ind w:firstLine="0" w:firstLineChars="0"/>
              <w:rPr>
                <w:rFonts w:cs="宋体"/>
                <w:sz w:val="21"/>
                <w:szCs w:val="21"/>
                <w:highlight w:val="black"/>
              </w:rPr>
            </w:pPr>
            <w:r>
              <w:rPr>
                <w:rFonts w:hint="eastAsia" w:cs="宋体"/>
                <w:sz w:val="21"/>
                <w:szCs w:val="21"/>
                <w:highlight w:val="black"/>
              </w:rPr>
              <w:t>《可研报告》明确，风机安装后，必须进行反风试验，10分钟内必须实现全矿井反风，反风风量必须达到正常通风风量的60%以上。</w:t>
            </w:r>
          </w:p>
        </w:tc>
        <w:tc>
          <w:tcPr>
            <w:tcW w:w="850" w:type="dxa"/>
            <w:tcBorders>
              <w:left w:val="single" w:color="auto" w:sz="4" w:space="0"/>
              <w:right w:val="single" w:color="auto" w:sz="12" w:space="0"/>
            </w:tcBorders>
            <w:vAlign w:val="center"/>
          </w:tcPr>
          <w:p w14:paraId="2EF01686">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r w14:paraId="4018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75" w:type="dxa"/>
            <w:tcBorders>
              <w:left w:val="single" w:color="auto" w:sz="12" w:space="0"/>
              <w:right w:val="single" w:color="auto" w:sz="4" w:space="0"/>
            </w:tcBorders>
            <w:vAlign w:val="center"/>
          </w:tcPr>
          <w:p w14:paraId="5CA94D51">
            <w:pPr>
              <w:pStyle w:val="42"/>
              <w:spacing w:line="240" w:lineRule="auto"/>
              <w:ind w:firstLine="0" w:firstLineChars="0"/>
              <w:jc w:val="center"/>
              <w:rPr>
                <w:rFonts w:cs="宋体"/>
                <w:sz w:val="21"/>
                <w:szCs w:val="21"/>
                <w:highlight w:val="black"/>
              </w:rPr>
            </w:pPr>
            <w:r>
              <w:rPr>
                <w:rFonts w:hint="eastAsia" w:cs="宋体"/>
                <w:sz w:val="21"/>
                <w:szCs w:val="21"/>
                <w:highlight w:val="black"/>
              </w:rPr>
              <w:t>8</w:t>
            </w:r>
          </w:p>
        </w:tc>
        <w:tc>
          <w:tcPr>
            <w:tcW w:w="3749" w:type="dxa"/>
            <w:tcBorders>
              <w:left w:val="single" w:color="auto" w:sz="4" w:space="0"/>
              <w:right w:val="single" w:color="auto" w:sz="4" w:space="0"/>
            </w:tcBorders>
            <w:vAlign w:val="center"/>
          </w:tcPr>
          <w:p w14:paraId="660804F3">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采空区应及时密闭。采场开采结束后，应封闭所有与采空区相通的影响正常通风的巷道。</w:t>
            </w:r>
          </w:p>
        </w:tc>
        <w:tc>
          <w:tcPr>
            <w:tcW w:w="1688" w:type="dxa"/>
            <w:tcBorders>
              <w:left w:val="single" w:color="auto" w:sz="4" w:space="0"/>
              <w:right w:val="single" w:color="auto" w:sz="4" w:space="0"/>
            </w:tcBorders>
            <w:vAlign w:val="center"/>
          </w:tcPr>
          <w:p w14:paraId="5CB2C707">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GB16423-2020《金属非金属矿山安全规程》</w:t>
            </w:r>
          </w:p>
          <w:p w14:paraId="518A2ED5">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第6.6.2.8条</w:t>
            </w:r>
          </w:p>
        </w:tc>
        <w:tc>
          <w:tcPr>
            <w:tcW w:w="2439" w:type="dxa"/>
            <w:tcBorders>
              <w:left w:val="single" w:color="auto" w:sz="4" w:space="0"/>
              <w:right w:val="single" w:color="auto" w:sz="4" w:space="0"/>
            </w:tcBorders>
            <w:vAlign w:val="center"/>
          </w:tcPr>
          <w:p w14:paraId="3D3392AC">
            <w:pPr>
              <w:tabs>
                <w:tab w:val="left" w:pos="4230"/>
              </w:tabs>
              <w:spacing w:line="240" w:lineRule="auto"/>
              <w:ind w:firstLine="0" w:firstLineChars="0"/>
              <w:rPr>
                <w:rFonts w:ascii="宋体" w:hAnsi="宋体" w:cs="宋体"/>
                <w:sz w:val="21"/>
                <w:szCs w:val="21"/>
                <w:highlight w:val="black"/>
              </w:rPr>
            </w:pPr>
            <w:r>
              <w:rPr>
                <w:rFonts w:hint="eastAsia" w:ascii="宋体" w:hAnsi="宋体" w:cs="宋体"/>
                <w:sz w:val="21"/>
                <w:szCs w:val="21"/>
                <w:highlight w:val="black"/>
              </w:rPr>
              <w:t>《可研报告》明确，采场开采结束后，应封闭所有与采空区相通的影响正常通风的巷道。</w:t>
            </w:r>
          </w:p>
        </w:tc>
        <w:tc>
          <w:tcPr>
            <w:tcW w:w="850" w:type="dxa"/>
            <w:tcBorders>
              <w:left w:val="single" w:color="auto" w:sz="4" w:space="0"/>
              <w:right w:val="single" w:color="auto" w:sz="12" w:space="0"/>
            </w:tcBorders>
            <w:vAlign w:val="center"/>
          </w:tcPr>
          <w:p w14:paraId="7E8E9C88">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bl>
    <w:p w14:paraId="77E8734E">
      <w:pPr>
        <w:ind w:firstLine="560"/>
        <w:rPr>
          <w:highlight w:val="black"/>
        </w:rPr>
      </w:pPr>
      <w:r>
        <w:rPr>
          <w:rFonts w:hint="eastAsia"/>
          <w:highlight w:val="black"/>
          <w:lang w:val="zh-CN"/>
        </w:rPr>
        <w:t>通过上述检查表检查，本单元安全检查表检查项目</w:t>
      </w:r>
      <w:r>
        <w:rPr>
          <w:rFonts w:hint="eastAsia"/>
          <w:highlight w:val="black"/>
        </w:rPr>
        <w:t>8</w:t>
      </w:r>
      <w:r>
        <w:rPr>
          <w:rFonts w:hint="eastAsia"/>
          <w:highlight w:val="black"/>
          <w:lang w:val="zh-CN"/>
        </w:rPr>
        <w:t>项，</w:t>
      </w:r>
      <w:r>
        <w:rPr>
          <w:rFonts w:hint="eastAsia"/>
          <w:highlight w:val="black"/>
        </w:rPr>
        <w:t>全部符合。</w:t>
      </w:r>
    </w:p>
    <w:p w14:paraId="2B9C81A8">
      <w:pPr>
        <w:pStyle w:val="4"/>
        <w:ind w:firstLine="0" w:firstLineChars="0"/>
      </w:pPr>
      <w:r>
        <w:rPr>
          <w:rFonts w:hint="eastAsia"/>
        </w:rPr>
        <w:t>3.5.3 风量能力定量评价</w:t>
      </w:r>
    </w:p>
    <w:p w14:paraId="2E26C97F">
      <w:pPr>
        <w:ind w:firstLine="560"/>
        <w:rPr>
          <w:highlight w:val="black"/>
        </w:rPr>
      </w:pPr>
      <w:r>
        <w:rPr>
          <w:rFonts w:hint="eastAsia"/>
          <w:highlight w:val="black"/>
        </w:rPr>
        <w:t>（1）</w:t>
      </w:r>
      <w:r>
        <w:rPr>
          <w:highlight w:val="black"/>
        </w:rPr>
        <w:t>全矿需风量计算</w:t>
      </w:r>
    </w:p>
    <w:p w14:paraId="210CE135">
      <w:pPr>
        <w:ind w:firstLine="560"/>
        <w:rPr>
          <w:highlight w:val="black"/>
        </w:rPr>
      </w:pPr>
      <w:r>
        <w:rPr>
          <w:highlight w:val="black"/>
        </w:rPr>
        <w:t>依据《金属非金属地下矿山通风技术规范通风系统》(AQ2013.1-2008)：</w:t>
      </w:r>
    </w:p>
    <w:p w14:paraId="06288074">
      <w:pPr>
        <w:ind w:firstLine="560"/>
        <w:rPr>
          <w:highlight w:val="black"/>
        </w:rPr>
      </w:pPr>
      <w:r>
        <w:rPr>
          <w:highlight w:val="black"/>
        </w:rPr>
        <w:t>风量备用系数是考虑到矿井有难以避免的漏风，同时也包含风量调整不及时和生产不均衡等因素而设立的大于l的系数：如果地表没有崩落区，K=1.25～1.40；一般矿井，K=1.3～1.45；地表有崩落区，K=1.35～1.5。本矿地表没有崩落区，且中段巷道较短，风路简单，故</w:t>
      </w:r>
      <w:r>
        <w:rPr>
          <w:rFonts w:hint="eastAsia"/>
          <w:highlight w:val="black"/>
        </w:rPr>
        <w:t>设计</w:t>
      </w:r>
      <w:r>
        <w:rPr>
          <w:highlight w:val="black"/>
        </w:rPr>
        <w:t>K=1.1×1.15=1.25，符合实际需求。</w:t>
      </w:r>
    </w:p>
    <w:p w14:paraId="5AD49F95">
      <w:pPr>
        <w:spacing w:line="240" w:lineRule="auto"/>
        <w:ind w:firstLine="0" w:firstLineChars="0"/>
        <w:jc w:val="center"/>
        <w:rPr>
          <w:b/>
          <w:sz w:val="21"/>
          <w:szCs w:val="21"/>
          <w:highlight w:val="black"/>
        </w:rPr>
      </w:pPr>
    </w:p>
    <w:p w14:paraId="29FAEEDF">
      <w:pPr>
        <w:spacing w:line="240" w:lineRule="auto"/>
        <w:ind w:firstLine="0" w:firstLineChars="0"/>
        <w:jc w:val="center"/>
        <w:rPr>
          <w:b/>
          <w:sz w:val="21"/>
          <w:szCs w:val="21"/>
          <w:highlight w:val="black"/>
        </w:rPr>
      </w:pPr>
    </w:p>
    <w:p w14:paraId="1AAAAF64">
      <w:pPr>
        <w:spacing w:line="240" w:lineRule="auto"/>
        <w:ind w:firstLine="0" w:firstLineChars="0"/>
        <w:jc w:val="center"/>
        <w:rPr>
          <w:b/>
          <w:sz w:val="21"/>
          <w:szCs w:val="21"/>
          <w:highlight w:val="black"/>
        </w:rPr>
      </w:pPr>
    </w:p>
    <w:p w14:paraId="7E8F42D5">
      <w:pPr>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 xml:space="preserve">3-8 </w:t>
      </w:r>
      <w:r>
        <w:rPr>
          <w:b/>
          <w:sz w:val="21"/>
          <w:szCs w:val="21"/>
          <w:highlight w:val="black"/>
        </w:rPr>
        <w:t>全矿需风量统计表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000"/>
        <w:gridCol w:w="1748"/>
        <w:gridCol w:w="1238"/>
        <w:gridCol w:w="1376"/>
      </w:tblGrid>
      <w:tr w14:paraId="10C94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92" w:type="pct"/>
            <w:vMerge w:val="restart"/>
            <w:tcBorders>
              <w:tl2br w:val="nil"/>
              <w:tr2bl w:val="nil"/>
            </w:tcBorders>
            <w:vAlign w:val="center"/>
          </w:tcPr>
          <w:p w14:paraId="5903D938">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用风地点</w:t>
            </w:r>
          </w:p>
        </w:tc>
        <w:tc>
          <w:tcPr>
            <w:tcW w:w="1045" w:type="pct"/>
            <w:vMerge w:val="restart"/>
            <w:tcBorders>
              <w:tl2br w:val="nil"/>
              <w:tr2bl w:val="nil"/>
            </w:tcBorders>
            <w:vAlign w:val="center"/>
          </w:tcPr>
          <w:p w14:paraId="03B10C4B">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工作面个数</w:t>
            </w:r>
          </w:p>
        </w:tc>
        <w:tc>
          <w:tcPr>
            <w:tcW w:w="1563" w:type="pct"/>
            <w:gridSpan w:val="2"/>
            <w:tcBorders>
              <w:tl2br w:val="nil"/>
              <w:tr2bl w:val="nil"/>
            </w:tcBorders>
            <w:vAlign w:val="center"/>
          </w:tcPr>
          <w:p w14:paraId="3A314FA5">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需风量（m</w:t>
            </w:r>
            <w:r>
              <w:rPr>
                <w:rFonts w:hint="eastAsia" w:ascii="宋体" w:hAnsi="宋体" w:cs="宋体"/>
                <w:sz w:val="21"/>
                <w:szCs w:val="21"/>
                <w:highlight w:val="black"/>
                <w:vertAlign w:val="superscript"/>
              </w:rPr>
              <w:t>3</w:t>
            </w:r>
            <w:r>
              <w:rPr>
                <w:rFonts w:hint="eastAsia" w:ascii="宋体" w:hAnsi="宋体" w:cs="宋体"/>
                <w:sz w:val="21"/>
                <w:szCs w:val="21"/>
                <w:highlight w:val="black"/>
              </w:rPr>
              <w:t>/s）</w:t>
            </w:r>
          </w:p>
        </w:tc>
      </w:tr>
      <w:tr w14:paraId="71401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92" w:type="pct"/>
            <w:vMerge w:val="continue"/>
            <w:tcBorders>
              <w:tl2br w:val="nil"/>
              <w:tr2bl w:val="nil"/>
            </w:tcBorders>
            <w:vAlign w:val="center"/>
          </w:tcPr>
          <w:p w14:paraId="13EF80DE">
            <w:pPr>
              <w:snapToGrid w:val="0"/>
              <w:spacing w:line="240" w:lineRule="atLeast"/>
              <w:ind w:firstLine="0" w:firstLineChars="0"/>
              <w:jc w:val="center"/>
              <w:rPr>
                <w:rFonts w:ascii="宋体" w:hAnsi="宋体" w:cs="宋体"/>
                <w:sz w:val="21"/>
                <w:szCs w:val="21"/>
                <w:highlight w:val="black"/>
              </w:rPr>
            </w:pPr>
          </w:p>
        </w:tc>
        <w:tc>
          <w:tcPr>
            <w:tcW w:w="1045" w:type="pct"/>
            <w:vMerge w:val="continue"/>
            <w:tcBorders>
              <w:tl2br w:val="nil"/>
              <w:tr2bl w:val="nil"/>
            </w:tcBorders>
            <w:vAlign w:val="center"/>
          </w:tcPr>
          <w:p w14:paraId="662F7B1F">
            <w:pPr>
              <w:snapToGrid w:val="0"/>
              <w:spacing w:line="240" w:lineRule="atLeast"/>
              <w:ind w:firstLine="0" w:firstLineChars="0"/>
              <w:jc w:val="center"/>
              <w:rPr>
                <w:rFonts w:ascii="宋体" w:hAnsi="宋体" w:cs="宋体"/>
                <w:sz w:val="21"/>
                <w:szCs w:val="21"/>
                <w:highlight w:val="black"/>
              </w:rPr>
            </w:pPr>
          </w:p>
        </w:tc>
        <w:tc>
          <w:tcPr>
            <w:tcW w:w="740" w:type="pct"/>
            <w:tcBorders>
              <w:tl2br w:val="nil"/>
              <w:tr2bl w:val="nil"/>
            </w:tcBorders>
            <w:vAlign w:val="center"/>
          </w:tcPr>
          <w:p w14:paraId="46933020">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单位</w:t>
            </w:r>
          </w:p>
        </w:tc>
        <w:tc>
          <w:tcPr>
            <w:tcW w:w="823" w:type="pct"/>
            <w:tcBorders>
              <w:tl2br w:val="nil"/>
              <w:tr2bl w:val="nil"/>
            </w:tcBorders>
            <w:vAlign w:val="center"/>
          </w:tcPr>
          <w:p w14:paraId="17AA09A1">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小计</w:t>
            </w:r>
          </w:p>
        </w:tc>
      </w:tr>
      <w:tr w14:paraId="34308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438BE795">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采场</w:t>
            </w:r>
          </w:p>
        </w:tc>
        <w:tc>
          <w:tcPr>
            <w:tcW w:w="1045" w:type="pct"/>
            <w:tcBorders>
              <w:tl2br w:val="nil"/>
              <w:tr2bl w:val="nil"/>
            </w:tcBorders>
            <w:vAlign w:val="center"/>
          </w:tcPr>
          <w:p w14:paraId="69401EF6">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740" w:type="pct"/>
            <w:tcBorders>
              <w:tl2br w:val="nil"/>
              <w:tr2bl w:val="nil"/>
            </w:tcBorders>
            <w:vAlign w:val="center"/>
          </w:tcPr>
          <w:p w14:paraId="5BF0A96B">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3.8</w:t>
            </w:r>
          </w:p>
        </w:tc>
        <w:tc>
          <w:tcPr>
            <w:tcW w:w="823" w:type="pct"/>
            <w:tcBorders>
              <w:tl2br w:val="nil"/>
              <w:tr2bl w:val="nil"/>
            </w:tcBorders>
            <w:vAlign w:val="center"/>
          </w:tcPr>
          <w:p w14:paraId="3AA056D9">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15.2</w:t>
            </w:r>
          </w:p>
        </w:tc>
      </w:tr>
      <w:tr w14:paraId="07AE6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44F7C6B0">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采场备用</w:t>
            </w:r>
          </w:p>
        </w:tc>
        <w:tc>
          <w:tcPr>
            <w:tcW w:w="1045" w:type="pct"/>
            <w:tcBorders>
              <w:tl2br w:val="nil"/>
              <w:tr2bl w:val="nil"/>
            </w:tcBorders>
            <w:vAlign w:val="center"/>
          </w:tcPr>
          <w:p w14:paraId="708E1B1C">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740" w:type="pct"/>
            <w:tcBorders>
              <w:tl2br w:val="nil"/>
              <w:tr2bl w:val="nil"/>
            </w:tcBorders>
            <w:vAlign w:val="center"/>
          </w:tcPr>
          <w:p w14:paraId="16B304D3">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1.9</w:t>
            </w:r>
          </w:p>
        </w:tc>
        <w:tc>
          <w:tcPr>
            <w:tcW w:w="823" w:type="pct"/>
            <w:tcBorders>
              <w:tl2br w:val="nil"/>
              <w:tr2bl w:val="nil"/>
            </w:tcBorders>
            <w:vAlign w:val="center"/>
          </w:tcPr>
          <w:p w14:paraId="6CCCCBAC">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7.6</w:t>
            </w:r>
          </w:p>
        </w:tc>
      </w:tr>
      <w:tr w14:paraId="7BF1B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48DC15B1">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掘进工作面</w:t>
            </w:r>
          </w:p>
        </w:tc>
        <w:tc>
          <w:tcPr>
            <w:tcW w:w="1045" w:type="pct"/>
            <w:tcBorders>
              <w:tl2br w:val="nil"/>
              <w:tr2bl w:val="nil"/>
            </w:tcBorders>
            <w:vAlign w:val="center"/>
          </w:tcPr>
          <w:p w14:paraId="3E391140">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740" w:type="pct"/>
            <w:tcBorders>
              <w:tl2br w:val="nil"/>
              <w:tr2bl w:val="nil"/>
            </w:tcBorders>
            <w:vAlign w:val="center"/>
          </w:tcPr>
          <w:p w14:paraId="2E5797F2">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w:t>
            </w:r>
          </w:p>
        </w:tc>
        <w:tc>
          <w:tcPr>
            <w:tcW w:w="823" w:type="pct"/>
            <w:tcBorders>
              <w:tl2br w:val="nil"/>
              <w:tr2bl w:val="nil"/>
            </w:tcBorders>
            <w:vAlign w:val="center"/>
          </w:tcPr>
          <w:p w14:paraId="716CF4A1">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6</w:t>
            </w:r>
          </w:p>
        </w:tc>
      </w:tr>
      <w:tr w14:paraId="6A510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03E89980">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采切工作面</w:t>
            </w:r>
          </w:p>
        </w:tc>
        <w:tc>
          <w:tcPr>
            <w:tcW w:w="1045" w:type="pct"/>
            <w:tcBorders>
              <w:tl2br w:val="nil"/>
              <w:tr2bl w:val="nil"/>
            </w:tcBorders>
            <w:vAlign w:val="center"/>
          </w:tcPr>
          <w:p w14:paraId="0D55842B">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w:t>
            </w:r>
          </w:p>
        </w:tc>
        <w:tc>
          <w:tcPr>
            <w:tcW w:w="740" w:type="pct"/>
            <w:tcBorders>
              <w:tl2br w:val="nil"/>
              <w:tr2bl w:val="nil"/>
            </w:tcBorders>
            <w:vAlign w:val="center"/>
          </w:tcPr>
          <w:p w14:paraId="24BC0FBC">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w:t>
            </w:r>
          </w:p>
        </w:tc>
        <w:tc>
          <w:tcPr>
            <w:tcW w:w="823" w:type="pct"/>
            <w:tcBorders>
              <w:tl2br w:val="nil"/>
              <w:tr2bl w:val="nil"/>
            </w:tcBorders>
            <w:vAlign w:val="center"/>
          </w:tcPr>
          <w:p w14:paraId="5DB455EB">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6</w:t>
            </w:r>
          </w:p>
        </w:tc>
      </w:tr>
      <w:tr w14:paraId="4FF58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40CD17BE">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硐室</w:t>
            </w:r>
          </w:p>
        </w:tc>
        <w:tc>
          <w:tcPr>
            <w:tcW w:w="1045" w:type="pct"/>
            <w:tcBorders>
              <w:tl2br w:val="nil"/>
              <w:tr2bl w:val="nil"/>
            </w:tcBorders>
            <w:vAlign w:val="center"/>
          </w:tcPr>
          <w:p w14:paraId="1714B1FD">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2</w:t>
            </w:r>
          </w:p>
        </w:tc>
        <w:tc>
          <w:tcPr>
            <w:tcW w:w="740" w:type="pct"/>
            <w:tcBorders>
              <w:tl2br w:val="nil"/>
              <w:tr2bl w:val="nil"/>
            </w:tcBorders>
            <w:vAlign w:val="center"/>
          </w:tcPr>
          <w:p w14:paraId="0FFCE1D9">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1.5</w:t>
            </w:r>
          </w:p>
        </w:tc>
        <w:tc>
          <w:tcPr>
            <w:tcW w:w="823" w:type="pct"/>
            <w:tcBorders>
              <w:tl2br w:val="nil"/>
              <w:tr2bl w:val="nil"/>
            </w:tcBorders>
            <w:vAlign w:val="center"/>
          </w:tcPr>
          <w:p w14:paraId="7370F861">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3</w:t>
            </w:r>
          </w:p>
        </w:tc>
      </w:tr>
      <w:tr w14:paraId="5C29C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18D8707F">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漏风风量（k=1.25）</w:t>
            </w:r>
          </w:p>
        </w:tc>
        <w:tc>
          <w:tcPr>
            <w:tcW w:w="1045" w:type="pct"/>
            <w:tcBorders>
              <w:tl2br w:val="nil"/>
              <w:tr2bl w:val="nil"/>
            </w:tcBorders>
            <w:vAlign w:val="center"/>
          </w:tcPr>
          <w:p w14:paraId="42607654">
            <w:pPr>
              <w:snapToGrid w:val="0"/>
              <w:spacing w:line="240" w:lineRule="atLeast"/>
              <w:ind w:firstLine="0" w:firstLineChars="0"/>
              <w:jc w:val="center"/>
              <w:rPr>
                <w:rFonts w:ascii="宋体" w:hAnsi="宋体" w:cs="宋体"/>
                <w:sz w:val="21"/>
                <w:szCs w:val="21"/>
                <w:highlight w:val="black"/>
              </w:rPr>
            </w:pPr>
          </w:p>
        </w:tc>
        <w:tc>
          <w:tcPr>
            <w:tcW w:w="740" w:type="pct"/>
            <w:tcBorders>
              <w:tl2br w:val="nil"/>
              <w:tr2bl w:val="nil"/>
            </w:tcBorders>
            <w:vAlign w:val="center"/>
          </w:tcPr>
          <w:p w14:paraId="09A84538">
            <w:pPr>
              <w:snapToGrid w:val="0"/>
              <w:spacing w:line="240" w:lineRule="atLeast"/>
              <w:ind w:firstLine="0" w:firstLineChars="0"/>
              <w:jc w:val="center"/>
              <w:rPr>
                <w:rFonts w:ascii="宋体" w:hAnsi="宋体" w:cs="宋体"/>
                <w:sz w:val="21"/>
                <w:szCs w:val="21"/>
                <w:highlight w:val="black"/>
              </w:rPr>
            </w:pPr>
          </w:p>
        </w:tc>
        <w:tc>
          <w:tcPr>
            <w:tcW w:w="823" w:type="pct"/>
            <w:tcBorders>
              <w:tl2br w:val="nil"/>
              <w:tr2bl w:val="nil"/>
            </w:tcBorders>
            <w:vAlign w:val="center"/>
          </w:tcPr>
          <w:p w14:paraId="17741A83">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9.5</w:t>
            </w:r>
          </w:p>
        </w:tc>
      </w:tr>
      <w:tr w14:paraId="0FF44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2" w:type="pct"/>
            <w:tcBorders>
              <w:tl2br w:val="nil"/>
              <w:tr2bl w:val="nil"/>
            </w:tcBorders>
            <w:vAlign w:val="center"/>
          </w:tcPr>
          <w:p w14:paraId="4A50A2A4">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全矿总风量</w:t>
            </w:r>
          </w:p>
        </w:tc>
        <w:tc>
          <w:tcPr>
            <w:tcW w:w="1045" w:type="pct"/>
            <w:tcBorders>
              <w:tl2br w:val="nil"/>
              <w:tr2bl w:val="nil"/>
            </w:tcBorders>
            <w:vAlign w:val="center"/>
          </w:tcPr>
          <w:p w14:paraId="127C40FA">
            <w:pPr>
              <w:snapToGrid w:val="0"/>
              <w:spacing w:line="240" w:lineRule="atLeast"/>
              <w:ind w:firstLine="0" w:firstLineChars="0"/>
              <w:jc w:val="center"/>
              <w:rPr>
                <w:rFonts w:ascii="宋体" w:hAnsi="宋体" w:cs="宋体"/>
                <w:sz w:val="21"/>
                <w:szCs w:val="21"/>
                <w:highlight w:val="black"/>
              </w:rPr>
            </w:pPr>
          </w:p>
        </w:tc>
        <w:tc>
          <w:tcPr>
            <w:tcW w:w="740" w:type="pct"/>
            <w:tcBorders>
              <w:tl2br w:val="nil"/>
              <w:tr2bl w:val="nil"/>
            </w:tcBorders>
            <w:vAlign w:val="center"/>
          </w:tcPr>
          <w:p w14:paraId="43D570AA">
            <w:pPr>
              <w:snapToGrid w:val="0"/>
              <w:spacing w:line="240" w:lineRule="atLeast"/>
              <w:ind w:firstLine="0" w:firstLineChars="0"/>
              <w:jc w:val="center"/>
              <w:rPr>
                <w:rFonts w:ascii="宋体" w:hAnsi="宋体" w:cs="宋体"/>
                <w:sz w:val="21"/>
                <w:szCs w:val="21"/>
                <w:highlight w:val="black"/>
              </w:rPr>
            </w:pPr>
          </w:p>
        </w:tc>
        <w:tc>
          <w:tcPr>
            <w:tcW w:w="823" w:type="pct"/>
            <w:tcBorders>
              <w:tl2br w:val="nil"/>
              <w:tr2bl w:val="nil"/>
            </w:tcBorders>
            <w:vAlign w:val="center"/>
          </w:tcPr>
          <w:p w14:paraId="6E500C49">
            <w:pPr>
              <w:snapToGrid w:val="0"/>
              <w:spacing w:line="240" w:lineRule="atLeast"/>
              <w:ind w:firstLine="0" w:firstLineChars="0"/>
              <w:jc w:val="center"/>
              <w:rPr>
                <w:rFonts w:ascii="宋体" w:hAnsi="宋体" w:cs="宋体"/>
                <w:sz w:val="21"/>
                <w:szCs w:val="21"/>
                <w:highlight w:val="black"/>
              </w:rPr>
            </w:pPr>
            <w:r>
              <w:rPr>
                <w:rFonts w:hint="eastAsia" w:ascii="宋体" w:hAnsi="宋体" w:cs="宋体"/>
                <w:sz w:val="21"/>
                <w:szCs w:val="21"/>
                <w:highlight w:val="black"/>
              </w:rPr>
              <w:t>47.3</w:t>
            </w:r>
          </w:p>
        </w:tc>
      </w:tr>
    </w:tbl>
    <w:p w14:paraId="295E5079">
      <w:pPr>
        <w:ind w:firstLine="560"/>
        <w:rPr>
          <w:highlight w:val="black"/>
        </w:rPr>
      </w:pPr>
      <w:r>
        <w:rPr>
          <w:rFonts w:hint="eastAsia"/>
          <w:highlight w:val="black"/>
        </w:rPr>
        <w:t>（4）</w:t>
      </w:r>
      <w:r>
        <w:rPr>
          <w:highlight w:val="black"/>
        </w:rPr>
        <w:t>按柴油机设备需风量计算风量</w:t>
      </w:r>
    </w:p>
    <w:p w14:paraId="2241ECDA">
      <w:pPr>
        <w:ind w:firstLine="560"/>
        <w:rPr>
          <w:highlight w:val="black"/>
        </w:rPr>
      </w:pPr>
      <w:r>
        <w:rPr>
          <w:highlight w:val="black"/>
        </w:rPr>
        <w:t>按单位功率计算风量：</w:t>
      </w:r>
    </w:p>
    <w:p w14:paraId="56283831">
      <w:pPr>
        <w:widowControl/>
        <w:adjustRightInd w:val="0"/>
        <w:snapToGrid w:val="0"/>
        <w:spacing w:line="520" w:lineRule="atLeast"/>
        <w:ind w:firstLine="520"/>
        <w:jc w:val="center"/>
        <w:rPr>
          <w:kern w:val="0"/>
          <w:sz w:val="26"/>
          <w:szCs w:val="26"/>
          <w:highlight w:val="black"/>
        </w:rPr>
      </w:pPr>
      <w:r>
        <w:rPr>
          <w:kern w:val="0"/>
          <w:sz w:val="26"/>
          <w:szCs w:val="26"/>
          <w:highlight w:val="black"/>
        </w:rPr>
        <w:t>Qs=q</w:t>
      </w:r>
      <w:r>
        <w:rPr>
          <w:kern w:val="0"/>
          <w:sz w:val="26"/>
          <w:szCs w:val="26"/>
          <w:highlight w:val="black"/>
          <w:vertAlign w:val="subscript"/>
        </w:rPr>
        <w:t>0</w:t>
      </w:r>
      <w:r>
        <w:rPr>
          <w:kern w:val="0"/>
          <w:sz w:val="26"/>
          <w:szCs w:val="26"/>
          <w:highlight w:val="black"/>
        </w:rPr>
        <w:t>N/60</w:t>
      </w:r>
      <w:r>
        <w:rPr>
          <w:rFonts w:hint="eastAsia"/>
          <w:kern w:val="0"/>
          <w:sz w:val="26"/>
          <w:szCs w:val="26"/>
          <w:highlight w:val="black"/>
        </w:rPr>
        <w:t>=4×1024.51/60=68.3</w:t>
      </w:r>
      <w:r>
        <w:rPr>
          <w:kern w:val="0"/>
          <w:sz w:val="26"/>
          <w:szCs w:val="26"/>
          <w:highlight w:val="black"/>
        </w:rPr>
        <w:t>m</w:t>
      </w:r>
      <w:r>
        <w:rPr>
          <w:kern w:val="0"/>
          <w:sz w:val="26"/>
          <w:szCs w:val="26"/>
          <w:highlight w:val="black"/>
          <w:vertAlign w:val="superscript"/>
        </w:rPr>
        <w:t>3</w:t>
      </w:r>
      <w:r>
        <w:rPr>
          <w:kern w:val="0"/>
          <w:sz w:val="26"/>
          <w:szCs w:val="26"/>
          <w:highlight w:val="black"/>
        </w:rPr>
        <w:t>/s</w:t>
      </w:r>
    </w:p>
    <w:p w14:paraId="60009733">
      <w:pPr>
        <w:widowControl/>
        <w:adjustRightInd w:val="0"/>
        <w:snapToGrid w:val="0"/>
        <w:spacing w:line="520" w:lineRule="atLeast"/>
        <w:ind w:firstLine="520"/>
        <w:jc w:val="center"/>
        <w:rPr>
          <w:kern w:val="0"/>
          <w:sz w:val="26"/>
          <w:szCs w:val="26"/>
          <w:highlight w:val="black"/>
        </w:rPr>
      </w:pPr>
      <w:r>
        <w:rPr>
          <w:kern w:val="0"/>
          <w:sz w:val="26"/>
          <w:szCs w:val="26"/>
          <w:highlight w:val="black"/>
        </w:rPr>
        <w:t>N=N</w:t>
      </w:r>
      <w:r>
        <w:rPr>
          <w:rFonts w:hint="eastAsia"/>
          <w:kern w:val="0"/>
          <w:sz w:val="26"/>
          <w:szCs w:val="26"/>
          <w:highlight w:val="black"/>
          <w:vertAlign w:val="subscript"/>
        </w:rPr>
        <w:t>E</w:t>
      </w:r>
      <w:r>
        <w:rPr>
          <w:kern w:val="0"/>
          <w:sz w:val="26"/>
          <w:szCs w:val="26"/>
          <w:highlight w:val="black"/>
        </w:rPr>
        <w:t>f</w:t>
      </w:r>
      <w:r>
        <w:rPr>
          <w:rFonts w:hint="eastAsia"/>
          <w:kern w:val="0"/>
          <w:sz w:val="26"/>
          <w:szCs w:val="26"/>
          <w:highlight w:val="black"/>
          <w:vertAlign w:val="subscript"/>
        </w:rPr>
        <w:t>E</w:t>
      </w:r>
      <w:r>
        <w:rPr>
          <w:rFonts w:hint="eastAsia"/>
          <w:kern w:val="0"/>
          <w:sz w:val="26"/>
          <w:szCs w:val="26"/>
          <w:highlight w:val="black"/>
        </w:rPr>
        <w:t>=1024.51kW</w:t>
      </w:r>
    </w:p>
    <w:p w14:paraId="11B572D8">
      <w:pPr>
        <w:ind w:firstLine="560"/>
        <w:rPr>
          <w:highlight w:val="black"/>
        </w:rPr>
      </w:pPr>
      <w:r>
        <w:rPr>
          <w:highlight w:val="black"/>
        </w:rPr>
        <w:t>式中：Q</w:t>
      </w:r>
      <w:r>
        <w:rPr>
          <w:highlight w:val="black"/>
          <w:vertAlign w:val="subscript"/>
        </w:rPr>
        <w:t>s</w:t>
      </w:r>
      <w:r>
        <w:rPr>
          <w:highlight w:val="black"/>
        </w:rPr>
        <w:t>—矿井排除柴油设备废气需风量；m</w:t>
      </w:r>
      <w:r>
        <w:rPr>
          <w:highlight w:val="black"/>
          <w:vertAlign w:val="superscript"/>
        </w:rPr>
        <w:t>3</w:t>
      </w:r>
      <w:r>
        <w:rPr>
          <w:highlight w:val="black"/>
        </w:rPr>
        <w:t>/s；</w:t>
      </w:r>
    </w:p>
    <w:p w14:paraId="790390D9">
      <w:pPr>
        <w:ind w:firstLine="1400" w:firstLineChars="500"/>
        <w:rPr>
          <w:highlight w:val="black"/>
        </w:rPr>
      </w:pPr>
      <w:r>
        <w:rPr>
          <w:highlight w:val="black"/>
        </w:rPr>
        <w:t>q</w:t>
      </w:r>
      <w:r>
        <w:rPr>
          <w:highlight w:val="black"/>
          <w:vertAlign w:val="subscript"/>
        </w:rPr>
        <w:t>0</w:t>
      </w:r>
      <w:r>
        <w:rPr>
          <w:highlight w:val="black"/>
        </w:rPr>
        <w:t>—单位功率的风量指标，q0=4m³/minkW</w:t>
      </w:r>
    </w:p>
    <w:p w14:paraId="18D8C082">
      <w:pPr>
        <w:ind w:firstLine="1400" w:firstLineChars="500"/>
        <w:rPr>
          <w:highlight w:val="black"/>
        </w:rPr>
      </w:pPr>
      <w:r>
        <w:rPr>
          <w:highlight w:val="black"/>
        </w:rPr>
        <w:t>N—所用设备柴油机</w:t>
      </w:r>
      <w:r>
        <w:rPr>
          <w:rFonts w:hint="eastAsia"/>
          <w:highlight w:val="black"/>
        </w:rPr>
        <w:t>总</w:t>
      </w:r>
      <w:r>
        <w:rPr>
          <w:highlight w:val="black"/>
        </w:rPr>
        <w:t>功率，kW。</w:t>
      </w:r>
    </w:p>
    <w:p w14:paraId="4E5DEF73">
      <w:pPr>
        <w:ind w:firstLine="1400" w:firstLineChars="500"/>
        <w:rPr>
          <w:highlight w:val="black"/>
        </w:rPr>
      </w:pPr>
      <w:r>
        <w:rPr>
          <w:highlight w:val="black"/>
        </w:rPr>
        <w:t>N</w:t>
      </w:r>
      <w:r>
        <w:rPr>
          <w:rFonts w:hint="eastAsia"/>
          <w:highlight w:val="black"/>
          <w:vertAlign w:val="subscript"/>
        </w:rPr>
        <w:t>E</w:t>
      </w:r>
      <w:r>
        <w:rPr>
          <w:highlight w:val="black"/>
        </w:rPr>
        <w:t>—</w:t>
      </w:r>
      <w:r>
        <w:rPr>
          <w:rFonts w:hint="eastAsia"/>
          <w:highlight w:val="black"/>
        </w:rPr>
        <w:t>各</w:t>
      </w:r>
      <w:r>
        <w:rPr>
          <w:highlight w:val="black"/>
        </w:rPr>
        <w:t>设备额定功率，kW；</w:t>
      </w:r>
    </w:p>
    <w:p w14:paraId="04B7FFC6">
      <w:pPr>
        <w:ind w:firstLine="1400" w:firstLineChars="500"/>
        <w:rPr>
          <w:highlight w:val="black"/>
        </w:rPr>
      </w:pPr>
      <w:r>
        <w:rPr>
          <w:highlight w:val="black"/>
        </w:rPr>
        <w:t>f</w:t>
      </w:r>
      <w:r>
        <w:rPr>
          <w:rFonts w:hint="eastAsia"/>
          <w:highlight w:val="black"/>
          <w:vertAlign w:val="subscript"/>
        </w:rPr>
        <w:t>E</w:t>
      </w:r>
      <w:r>
        <w:rPr>
          <w:highlight w:val="black"/>
        </w:rPr>
        <w:t>—</w:t>
      </w:r>
      <w:r>
        <w:rPr>
          <w:rFonts w:hint="eastAsia"/>
          <w:highlight w:val="black"/>
        </w:rPr>
        <w:t>各</w:t>
      </w:r>
      <w:r>
        <w:rPr>
          <w:highlight w:val="black"/>
        </w:rPr>
        <w:t>设备工作时间系数</w:t>
      </w:r>
      <w:r>
        <w:rPr>
          <w:rFonts w:hint="eastAsia"/>
          <w:highlight w:val="black"/>
        </w:rPr>
        <w:t>。</w:t>
      </w:r>
    </w:p>
    <w:p w14:paraId="21DBFF1C">
      <w:pPr>
        <w:snapToGrid w:val="0"/>
        <w:spacing w:line="240" w:lineRule="auto"/>
        <w:ind w:firstLine="0" w:firstLineChars="0"/>
        <w:jc w:val="center"/>
        <w:rPr>
          <w:b/>
          <w:sz w:val="21"/>
          <w:szCs w:val="21"/>
          <w:highlight w:val="black"/>
        </w:rPr>
      </w:pPr>
      <w:r>
        <w:rPr>
          <w:b/>
          <w:sz w:val="21"/>
          <w:szCs w:val="21"/>
          <w:highlight w:val="black"/>
        </w:rPr>
        <w:t>表</w:t>
      </w:r>
      <w:r>
        <w:rPr>
          <w:rFonts w:hint="eastAsia"/>
          <w:b/>
          <w:sz w:val="21"/>
          <w:szCs w:val="21"/>
          <w:highlight w:val="black"/>
        </w:rPr>
        <w:t>3-9</w:t>
      </w:r>
      <w:r>
        <w:rPr>
          <w:b/>
          <w:sz w:val="21"/>
          <w:szCs w:val="21"/>
          <w:highlight w:val="black"/>
        </w:rPr>
        <w:t xml:space="preserve"> 按柴油机设备需风量计算通风量表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836"/>
        <w:gridCol w:w="1392"/>
        <w:gridCol w:w="820"/>
        <w:gridCol w:w="1902"/>
        <w:gridCol w:w="1752"/>
      </w:tblGrid>
      <w:tr w14:paraId="7B08B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0FD6A726">
            <w:pPr>
              <w:widowControl/>
              <w:snapToGrid w:val="0"/>
              <w:spacing w:line="240" w:lineRule="atLeast"/>
              <w:ind w:firstLine="0" w:firstLineChars="0"/>
              <w:jc w:val="center"/>
              <w:rPr>
                <w:kern w:val="0"/>
                <w:sz w:val="21"/>
                <w:szCs w:val="21"/>
                <w:highlight w:val="black"/>
              </w:rPr>
            </w:pPr>
            <w:r>
              <w:rPr>
                <w:kern w:val="0"/>
                <w:sz w:val="21"/>
                <w:szCs w:val="21"/>
                <w:highlight w:val="black"/>
              </w:rPr>
              <w:t>序号</w:t>
            </w:r>
          </w:p>
        </w:tc>
        <w:tc>
          <w:tcPr>
            <w:tcW w:w="1077" w:type="pct"/>
            <w:tcBorders>
              <w:tl2br w:val="nil"/>
              <w:tr2bl w:val="nil"/>
            </w:tcBorders>
            <w:shd w:val="clear" w:color="auto" w:fill="auto"/>
            <w:vAlign w:val="center"/>
          </w:tcPr>
          <w:p w14:paraId="38D70557">
            <w:pPr>
              <w:widowControl/>
              <w:snapToGrid w:val="0"/>
              <w:spacing w:line="240" w:lineRule="atLeast"/>
              <w:ind w:firstLine="0" w:firstLineChars="0"/>
              <w:jc w:val="center"/>
              <w:rPr>
                <w:kern w:val="0"/>
                <w:sz w:val="21"/>
                <w:szCs w:val="21"/>
                <w:highlight w:val="black"/>
              </w:rPr>
            </w:pPr>
            <w:r>
              <w:rPr>
                <w:kern w:val="0"/>
                <w:sz w:val="21"/>
                <w:szCs w:val="21"/>
                <w:highlight w:val="black"/>
              </w:rPr>
              <w:t>设备名称</w:t>
            </w:r>
          </w:p>
        </w:tc>
        <w:tc>
          <w:tcPr>
            <w:tcW w:w="817" w:type="pct"/>
            <w:tcBorders>
              <w:tl2br w:val="nil"/>
              <w:tr2bl w:val="nil"/>
            </w:tcBorders>
            <w:shd w:val="clear" w:color="auto" w:fill="auto"/>
            <w:vAlign w:val="center"/>
          </w:tcPr>
          <w:p w14:paraId="2BF4BEB6">
            <w:pPr>
              <w:widowControl/>
              <w:snapToGrid w:val="0"/>
              <w:spacing w:line="240" w:lineRule="atLeast"/>
              <w:ind w:firstLine="0" w:firstLineChars="0"/>
              <w:jc w:val="center"/>
              <w:rPr>
                <w:kern w:val="0"/>
                <w:sz w:val="21"/>
                <w:szCs w:val="21"/>
                <w:highlight w:val="black"/>
              </w:rPr>
            </w:pPr>
            <w:r>
              <w:rPr>
                <w:kern w:val="0"/>
                <w:sz w:val="21"/>
                <w:szCs w:val="21"/>
                <w:highlight w:val="black"/>
              </w:rPr>
              <w:t>功率</w:t>
            </w:r>
            <w:r>
              <w:rPr>
                <w:rFonts w:hint="eastAsia"/>
                <w:kern w:val="0"/>
                <w:sz w:val="21"/>
                <w:szCs w:val="21"/>
                <w:highlight w:val="black"/>
              </w:rPr>
              <w:t>（</w:t>
            </w:r>
            <w:r>
              <w:rPr>
                <w:kern w:val="0"/>
                <w:sz w:val="21"/>
                <w:szCs w:val="21"/>
                <w:highlight w:val="black"/>
              </w:rPr>
              <w:t>kW</w:t>
            </w:r>
            <w:r>
              <w:rPr>
                <w:rFonts w:hint="eastAsia"/>
                <w:kern w:val="0"/>
                <w:sz w:val="21"/>
                <w:szCs w:val="21"/>
                <w:highlight w:val="black"/>
              </w:rPr>
              <w:t>）</w:t>
            </w:r>
          </w:p>
        </w:tc>
        <w:tc>
          <w:tcPr>
            <w:tcW w:w="481" w:type="pct"/>
            <w:tcBorders>
              <w:tl2br w:val="nil"/>
              <w:tr2bl w:val="nil"/>
            </w:tcBorders>
            <w:shd w:val="clear" w:color="auto" w:fill="auto"/>
            <w:vAlign w:val="center"/>
          </w:tcPr>
          <w:p w14:paraId="6745195E">
            <w:pPr>
              <w:widowControl/>
              <w:snapToGrid w:val="0"/>
              <w:spacing w:line="240" w:lineRule="atLeast"/>
              <w:ind w:firstLine="0" w:firstLineChars="0"/>
              <w:jc w:val="center"/>
              <w:rPr>
                <w:kern w:val="0"/>
                <w:sz w:val="21"/>
                <w:szCs w:val="21"/>
                <w:highlight w:val="black"/>
              </w:rPr>
            </w:pPr>
            <w:r>
              <w:rPr>
                <w:kern w:val="0"/>
                <w:sz w:val="21"/>
                <w:szCs w:val="21"/>
                <w:highlight w:val="black"/>
              </w:rPr>
              <w:t>台数</w:t>
            </w:r>
          </w:p>
        </w:tc>
        <w:tc>
          <w:tcPr>
            <w:tcW w:w="1116" w:type="pct"/>
            <w:tcBorders>
              <w:tl2br w:val="nil"/>
              <w:tr2bl w:val="nil"/>
            </w:tcBorders>
            <w:shd w:val="clear" w:color="auto" w:fill="auto"/>
            <w:vAlign w:val="center"/>
          </w:tcPr>
          <w:p w14:paraId="60EB0F67">
            <w:pPr>
              <w:widowControl/>
              <w:snapToGrid w:val="0"/>
              <w:spacing w:line="240" w:lineRule="atLeast"/>
              <w:ind w:firstLine="0" w:firstLineChars="0"/>
              <w:jc w:val="center"/>
              <w:rPr>
                <w:kern w:val="0"/>
                <w:sz w:val="21"/>
                <w:szCs w:val="21"/>
                <w:highlight w:val="black"/>
              </w:rPr>
            </w:pPr>
            <w:r>
              <w:rPr>
                <w:kern w:val="0"/>
                <w:sz w:val="21"/>
                <w:szCs w:val="21"/>
                <w:highlight w:val="black"/>
              </w:rPr>
              <w:t>同时工作系数</w:t>
            </w:r>
          </w:p>
        </w:tc>
        <w:tc>
          <w:tcPr>
            <w:tcW w:w="1028" w:type="pct"/>
            <w:tcBorders>
              <w:tl2br w:val="nil"/>
              <w:tr2bl w:val="nil"/>
            </w:tcBorders>
            <w:shd w:val="clear" w:color="auto" w:fill="auto"/>
            <w:vAlign w:val="center"/>
          </w:tcPr>
          <w:p w14:paraId="34BABD9B">
            <w:pPr>
              <w:widowControl/>
              <w:snapToGrid w:val="0"/>
              <w:spacing w:line="240" w:lineRule="atLeast"/>
              <w:ind w:firstLine="0" w:firstLineChars="0"/>
              <w:jc w:val="center"/>
              <w:rPr>
                <w:kern w:val="0"/>
                <w:sz w:val="21"/>
                <w:szCs w:val="21"/>
                <w:highlight w:val="black"/>
              </w:rPr>
            </w:pPr>
            <w:r>
              <w:rPr>
                <w:rFonts w:hint="eastAsia"/>
                <w:kern w:val="0"/>
                <w:sz w:val="21"/>
                <w:szCs w:val="21"/>
                <w:highlight w:val="black"/>
              </w:rPr>
              <w:t>总功率（</w:t>
            </w:r>
            <w:r>
              <w:rPr>
                <w:kern w:val="0"/>
                <w:sz w:val="21"/>
                <w:szCs w:val="21"/>
                <w:highlight w:val="black"/>
              </w:rPr>
              <w:t>kW</w:t>
            </w:r>
            <w:r>
              <w:rPr>
                <w:rFonts w:hint="eastAsia"/>
                <w:kern w:val="0"/>
                <w:sz w:val="21"/>
                <w:szCs w:val="21"/>
                <w:highlight w:val="black"/>
              </w:rPr>
              <w:t>）</w:t>
            </w:r>
          </w:p>
        </w:tc>
      </w:tr>
      <w:tr w14:paraId="16334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19A088BB">
            <w:pPr>
              <w:widowControl/>
              <w:snapToGrid w:val="0"/>
              <w:spacing w:line="240" w:lineRule="atLeast"/>
              <w:ind w:firstLine="0" w:firstLineChars="0"/>
              <w:jc w:val="center"/>
              <w:rPr>
                <w:kern w:val="0"/>
                <w:sz w:val="21"/>
                <w:szCs w:val="21"/>
                <w:highlight w:val="black"/>
              </w:rPr>
            </w:pPr>
            <w:r>
              <w:rPr>
                <w:kern w:val="0"/>
                <w:sz w:val="21"/>
                <w:szCs w:val="21"/>
                <w:highlight w:val="black"/>
              </w:rPr>
              <w:t>1</w:t>
            </w:r>
          </w:p>
        </w:tc>
        <w:tc>
          <w:tcPr>
            <w:tcW w:w="1077" w:type="pct"/>
            <w:tcBorders>
              <w:tl2br w:val="nil"/>
              <w:tr2bl w:val="nil"/>
            </w:tcBorders>
            <w:shd w:val="clear" w:color="auto" w:fill="auto"/>
            <w:vAlign w:val="center"/>
          </w:tcPr>
          <w:p w14:paraId="3EAA1C9D">
            <w:pPr>
              <w:widowControl/>
              <w:snapToGrid w:val="0"/>
              <w:spacing w:line="240" w:lineRule="atLeast"/>
              <w:ind w:firstLine="0" w:firstLineChars="0"/>
              <w:jc w:val="center"/>
              <w:rPr>
                <w:kern w:val="0"/>
                <w:sz w:val="21"/>
                <w:szCs w:val="21"/>
                <w:highlight w:val="black"/>
              </w:rPr>
            </w:pPr>
            <w:r>
              <w:rPr>
                <w:sz w:val="21"/>
                <w:szCs w:val="21"/>
                <w:highlight w:val="black"/>
              </w:rPr>
              <w:t>UQ-40</w:t>
            </w:r>
          </w:p>
        </w:tc>
        <w:tc>
          <w:tcPr>
            <w:tcW w:w="817" w:type="pct"/>
            <w:tcBorders>
              <w:tl2br w:val="nil"/>
              <w:tr2bl w:val="nil"/>
            </w:tcBorders>
            <w:shd w:val="clear" w:color="auto" w:fill="auto"/>
            <w:vAlign w:val="center"/>
          </w:tcPr>
          <w:p w14:paraId="1F189318">
            <w:pPr>
              <w:widowControl/>
              <w:snapToGrid w:val="0"/>
              <w:spacing w:line="240" w:lineRule="atLeast"/>
              <w:ind w:firstLine="0" w:firstLineChars="0"/>
              <w:jc w:val="center"/>
              <w:rPr>
                <w:kern w:val="0"/>
                <w:sz w:val="21"/>
                <w:szCs w:val="21"/>
                <w:highlight w:val="black"/>
              </w:rPr>
            </w:pPr>
            <w:r>
              <w:rPr>
                <w:sz w:val="21"/>
                <w:szCs w:val="21"/>
                <w:highlight w:val="black"/>
              </w:rPr>
              <w:t>309</w:t>
            </w:r>
          </w:p>
        </w:tc>
        <w:tc>
          <w:tcPr>
            <w:tcW w:w="481" w:type="pct"/>
            <w:tcBorders>
              <w:tl2br w:val="nil"/>
              <w:tr2bl w:val="nil"/>
            </w:tcBorders>
            <w:shd w:val="clear" w:color="auto" w:fill="auto"/>
            <w:vAlign w:val="center"/>
          </w:tcPr>
          <w:p w14:paraId="0CCFD451">
            <w:pPr>
              <w:widowControl/>
              <w:snapToGrid w:val="0"/>
              <w:spacing w:line="240" w:lineRule="atLeast"/>
              <w:ind w:firstLine="0" w:firstLineChars="0"/>
              <w:jc w:val="center"/>
              <w:rPr>
                <w:kern w:val="0"/>
                <w:sz w:val="21"/>
                <w:szCs w:val="21"/>
                <w:highlight w:val="black"/>
              </w:rPr>
            </w:pPr>
            <w:r>
              <w:rPr>
                <w:sz w:val="21"/>
                <w:szCs w:val="21"/>
                <w:highlight w:val="black"/>
              </w:rPr>
              <w:t>3</w:t>
            </w:r>
          </w:p>
        </w:tc>
        <w:tc>
          <w:tcPr>
            <w:tcW w:w="1116" w:type="pct"/>
            <w:tcBorders>
              <w:tl2br w:val="nil"/>
              <w:tr2bl w:val="nil"/>
            </w:tcBorders>
            <w:shd w:val="clear" w:color="auto" w:fill="auto"/>
            <w:vAlign w:val="center"/>
          </w:tcPr>
          <w:p w14:paraId="1C10DDAD">
            <w:pPr>
              <w:widowControl/>
              <w:snapToGrid w:val="0"/>
              <w:spacing w:line="240" w:lineRule="atLeast"/>
              <w:ind w:firstLine="0" w:firstLineChars="0"/>
              <w:jc w:val="center"/>
              <w:rPr>
                <w:kern w:val="0"/>
                <w:sz w:val="21"/>
                <w:szCs w:val="21"/>
                <w:highlight w:val="black"/>
              </w:rPr>
            </w:pPr>
            <w:r>
              <w:rPr>
                <w:sz w:val="21"/>
                <w:szCs w:val="21"/>
                <w:highlight w:val="black"/>
              </w:rPr>
              <w:t>0.</w:t>
            </w:r>
            <w:r>
              <w:rPr>
                <w:rFonts w:hint="eastAsia"/>
                <w:sz w:val="21"/>
                <w:szCs w:val="21"/>
                <w:highlight w:val="black"/>
              </w:rPr>
              <w:t>75</w:t>
            </w:r>
          </w:p>
        </w:tc>
        <w:tc>
          <w:tcPr>
            <w:tcW w:w="1028" w:type="pct"/>
            <w:tcBorders>
              <w:tl2br w:val="nil"/>
              <w:tr2bl w:val="nil"/>
            </w:tcBorders>
            <w:shd w:val="clear" w:color="auto" w:fill="auto"/>
            <w:vAlign w:val="center"/>
          </w:tcPr>
          <w:p w14:paraId="4E14FCCE">
            <w:pPr>
              <w:widowControl/>
              <w:snapToGrid w:val="0"/>
              <w:spacing w:line="240" w:lineRule="atLeast"/>
              <w:ind w:firstLine="0" w:firstLineChars="0"/>
              <w:jc w:val="center"/>
              <w:rPr>
                <w:kern w:val="0"/>
                <w:sz w:val="21"/>
                <w:szCs w:val="21"/>
                <w:highlight w:val="black"/>
              </w:rPr>
            </w:pPr>
            <w:r>
              <w:rPr>
                <w:sz w:val="21"/>
                <w:szCs w:val="21"/>
                <w:highlight w:val="black"/>
              </w:rPr>
              <w:t>695.25</w:t>
            </w:r>
          </w:p>
        </w:tc>
      </w:tr>
      <w:tr w14:paraId="1743E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47F2919D">
            <w:pPr>
              <w:widowControl/>
              <w:snapToGrid w:val="0"/>
              <w:spacing w:line="240" w:lineRule="atLeast"/>
              <w:ind w:firstLine="0" w:firstLineChars="0"/>
              <w:jc w:val="center"/>
              <w:rPr>
                <w:kern w:val="0"/>
                <w:sz w:val="21"/>
                <w:szCs w:val="21"/>
                <w:highlight w:val="black"/>
              </w:rPr>
            </w:pPr>
            <w:r>
              <w:rPr>
                <w:kern w:val="0"/>
                <w:sz w:val="21"/>
                <w:szCs w:val="21"/>
                <w:highlight w:val="black"/>
              </w:rPr>
              <w:t>2</w:t>
            </w:r>
          </w:p>
        </w:tc>
        <w:tc>
          <w:tcPr>
            <w:tcW w:w="1077" w:type="pct"/>
            <w:tcBorders>
              <w:tl2br w:val="nil"/>
              <w:tr2bl w:val="nil"/>
            </w:tcBorders>
            <w:shd w:val="clear" w:color="auto" w:fill="auto"/>
            <w:vAlign w:val="center"/>
          </w:tcPr>
          <w:p w14:paraId="3FC916F1">
            <w:pPr>
              <w:widowControl/>
              <w:snapToGrid w:val="0"/>
              <w:spacing w:line="240" w:lineRule="atLeast"/>
              <w:ind w:firstLine="0" w:firstLineChars="0"/>
              <w:jc w:val="center"/>
              <w:rPr>
                <w:kern w:val="0"/>
                <w:sz w:val="21"/>
                <w:szCs w:val="21"/>
                <w:highlight w:val="black"/>
              </w:rPr>
            </w:pPr>
            <w:r>
              <w:rPr>
                <w:sz w:val="21"/>
                <w:szCs w:val="21"/>
                <w:highlight w:val="black"/>
              </w:rPr>
              <w:t>CYTJ45</w:t>
            </w:r>
          </w:p>
        </w:tc>
        <w:tc>
          <w:tcPr>
            <w:tcW w:w="817" w:type="pct"/>
            <w:tcBorders>
              <w:tl2br w:val="nil"/>
              <w:tr2bl w:val="nil"/>
            </w:tcBorders>
            <w:shd w:val="clear" w:color="auto" w:fill="auto"/>
            <w:vAlign w:val="center"/>
          </w:tcPr>
          <w:p w14:paraId="2081EC67">
            <w:pPr>
              <w:widowControl/>
              <w:snapToGrid w:val="0"/>
              <w:spacing w:line="240" w:lineRule="atLeast"/>
              <w:ind w:firstLine="0" w:firstLineChars="0"/>
              <w:jc w:val="center"/>
              <w:rPr>
                <w:kern w:val="0"/>
                <w:sz w:val="21"/>
                <w:szCs w:val="21"/>
                <w:highlight w:val="black"/>
              </w:rPr>
            </w:pPr>
            <w:r>
              <w:rPr>
                <w:sz w:val="21"/>
                <w:szCs w:val="21"/>
                <w:highlight w:val="black"/>
              </w:rPr>
              <w:t>55.8</w:t>
            </w:r>
          </w:p>
        </w:tc>
        <w:tc>
          <w:tcPr>
            <w:tcW w:w="481" w:type="pct"/>
            <w:tcBorders>
              <w:tl2br w:val="nil"/>
              <w:tr2bl w:val="nil"/>
            </w:tcBorders>
            <w:shd w:val="clear" w:color="auto" w:fill="auto"/>
            <w:vAlign w:val="center"/>
          </w:tcPr>
          <w:p w14:paraId="3356DE85">
            <w:pPr>
              <w:widowControl/>
              <w:snapToGrid w:val="0"/>
              <w:spacing w:line="240" w:lineRule="atLeast"/>
              <w:ind w:firstLine="0" w:firstLineChars="0"/>
              <w:jc w:val="center"/>
              <w:rPr>
                <w:kern w:val="0"/>
                <w:sz w:val="21"/>
                <w:szCs w:val="21"/>
                <w:highlight w:val="black"/>
              </w:rPr>
            </w:pPr>
            <w:r>
              <w:rPr>
                <w:sz w:val="21"/>
                <w:szCs w:val="21"/>
                <w:highlight w:val="black"/>
              </w:rPr>
              <w:t>4</w:t>
            </w:r>
          </w:p>
        </w:tc>
        <w:tc>
          <w:tcPr>
            <w:tcW w:w="1116" w:type="pct"/>
            <w:tcBorders>
              <w:tl2br w:val="nil"/>
              <w:tr2bl w:val="nil"/>
            </w:tcBorders>
            <w:shd w:val="clear" w:color="auto" w:fill="auto"/>
            <w:vAlign w:val="center"/>
          </w:tcPr>
          <w:p w14:paraId="26A36983">
            <w:pPr>
              <w:widowControl/>
              <w:snapToGrid w:val="0"/>
              <w:spacing w:line="240" w:lineRule="atLeast"/>
              <w:ind w:firstLine="0" w:firstLineChars="0"/>
              <w:jc w:val="center"/>
              <w:rPr>
                <w:kern w:val="0"/>
                <w:sz w:val="21"/>
                <w:szCs w:val="21"/>
                <w:highlight w:val="black"/>
              </w:rPr>
            </w:pPr>
            <w:r>
              <w:rPr>
                <w:sz w:val="21"/>
                <w:szCs w:val="21"/>
                <w:highlight w:val="black"/>
              </w:rPr>
              <w:t>0.6</w:t>
            </w:r>
          </w:p>
        </w:tc>
        <w:tc>
          <w:tcPr>
            <w:tcW w:w="1028" w:type="pct"/>
            <w:tcBorders>
              <w:tl2br w:val="nil"/>
              <w:tr2bl w:val="nil"/>
            </w:tcBorders>
            <w:shd w:val="clear" w:color="auto" w:fill="auto"/>
            <w:vAlign w:val="center"/>
          </w:tcPr>
          <w:p w14:paraId="66138E38">
            <w:pPr>
              <w:widowControl/>
              <w:snapToGrid w:val="0"/>
              <w:spacing w:line="240" w:lineRule="atLeast"/>
              <w:ind w:firstLine="0" w:firstLineChars="0"/>
              <w:jc w:val="center"/>
              <w:rPr>
                <w:kern w:val="0"/>
                <w:sz w:val="21"/>
                <w:szCs w:val="21"/>
                <w:highlight w:val="black"/>
              </w:rPr>
            </w:pPr>
            <w:r>
              <w:rPr>
                <w:sz w:val="21"/>
                <w:szCs w:val="21"/>
                <w:highlight w:val="black"/>
              </w:rPr>
              <w:t>133.92</w:t>
            </w:r>
          </w:p>
        </w:tc>
      </w:tr>
      <w:tr w14:paraId="27CF5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23EA35D0">
            <w:pPr>
              <w:widowControl/>
              <w:snapToGrid w:val="0"/>
              <w:spacing w:line="240" w:lineRule="atLeast"/>
              <w:ind w:firstLine="0" w:firstLineChars="0"/>
              <w:jc w:val="center"/>
              <w:rPr>
                <w:kern w:val="0"/>
                <w:sz w:val="21"/>
                <w:szCs w:val="21"/>
                <w:highlight w:val="black"/>
              </w:rPr>
            </w:pPr>
            <w:r>
              <w:rPr>
                <w:kern w:val="0"/>
                <w:sz w:val="21"/>
                <w:szCs w:val="21"/>
                <w:highlight w:val="black"/>
              </w:rPr>
              <w:t>3</w:t>
            </w:r>
          </w:p>
        </w:tc>
        <w:tc>
          <w:tcPr>
            <w:tcW w:w="1077" w:type="pct"/>
            <w:tcBorders>
              <w:tl2br w:val="nil"/>
              <w:tr2bl w:val="nil"/>
            </w:tcBorders>
            <w:shd w:val="clear" w:color="auto" w:fill="auto"/>
            <w:vAlign w:val="center"/>
          </w:tcPr>
          <w:p w14:paraId="6B1F2C79">
            <w:pPr>
              <w:widowControl/>
              <w:snapToGrid w:val="0"/>
              <w:spacing w:line="240" w:lineRule="atLeast"/>
              <w:ind w:firstLine="0" w:firstLineChars="0"/>
              <w:jc w:val="center"/>
              <w:rPr>
                <w:kern w:val="0"/>
                <w:sz w:val="21"/>
                <w:szCs w:val="21"/>
                <w:highlight w:val="black"/>
              </w:rPr>
            </w:pPr>
            <w:r>
              <w:rPr>
                <w:sz w:val="21"/>
                <w:szCs w:val="21"/>
                <w:highlight w:val="black"/>
              </w:rPr>
              <w:t>CYTC70</w:t>
            </w:r>
          </w:p>
        </w:tc>
        <w:tc>
          <w:tcPr>
            <w:tcW w:w="817" w:type="pct"/>
            <w:tcBorders>
              <w:tl2br w:val="nil"/>
              <w:tr2bl w:val="nil"/>
            </w:tcBorders>
            <w:shd w:val="clear" w:color="auto" w:fill="auto"/>
            <w:vAlign w:val="center"/>
          </w:tcPr>
          <w:p w14:paraId="25FA1BD7">
            <w:pPr>
              <w:widowControl/>
              <w:snapToGrid w:val="0"/>
              <w:spacing w:line="240" w:lineRule="atLeast"/>
              <w:ind w:firstLine="0" w:firstLineChars="0"/>
              <w:jc w:val="center"/>
              <w:rPr>
                <w:kern w:val="0"/>
                <w:sz w:val="21"/>
                <w:szCs w:val="21"/>
                <w:highlight w:val="black"/>
              </w:rPr>
            </w:pPr>
            <w:r>
              <w:rPr>
                <w:sz w:val="21"/>
                <w:szCs w:val="21"/>
                <w:highlight w:val="black"/>
              </w:rPr>
              <w:t>53.7</w:t>
            </w:r>
          </w:p>
        </w:tc>
        <w:tc>
          <w:tcPr>
            <w:tcW w:w="481" w:type="pct"/>
            <w:tcBorders>
              <w:tl2br w:val="nil"/>
              <w:tr2bl w:val="nil"/>
            </w:tcBorders>
            <w:shd w:val="clear" w:color="auto" w:fill="auto"/>
            <w:vAlign w:val="center"/>
          </w:tcPr>
          <w:p w14:paraId="070AC094">
            <w:pPr>
              <w:widowControl/>
              <w:snapToGrid w:val="0"/>
              <w:spacing w:line="240" w:lineRule="atLeast"/>
              <w:ind w:firstLine="0" w:firstLineChars="0"/>
              <w:jc w:val="center"/>
              <w:rPr>
                <w:kern w:val="0"/>
                <w:sz w:val="21"/>
                <w:szCs w:val="21"/>
                <w:highlight w:val="black"/>
              </w:rPr>
            </w:pPr>
            <w:r>
              <w:rPr>
                <w:sz w:val="21"/>
                <w:szCs w:val="21"/>
                <w:highlight w:val="black"/>
              </w:rPr>
              <w:t>2</w:t>
            </w:r>
          </w:p>
        </w:tc>
        <w:tc>
          <w:tcPr>
            <w:tcW w:w="1116" w:type="pct"/>
            <w:tcBorders>
              <w:tl2br w:val="nil"/>
              <w:tr2bl w:val="nil"/>
            </w:tcBorders>
            <w:shd w:val="clear" w:color="auto" w:fill="auto"/>
            <w:vAlign w:val="center"/>
          </w:tcPr>
          <w:p w14:paraId="428AAD74">
            <w:pPr>
              <w:widowControl/>
              <w:snapToGrid w:val="0"/>
              <w:spacing w:line="240" w:lineRule="atLeast"/>
              <w:ind w:firstLine="0" w:firstLineChars="0"/>
              <w:jc w:val="center"/>
              <w:rPr>
                <w:kern w:val="0"/>
                <w:sz w:val="21"/>
                <w:szCs w:val="21"/>
                <w:highlight w:val="black"/>
              </w:rPr>
            </w:pPr>
            <w:r>
              <w:rPr>
                <w:sz w:val="21"/>
                <w:szCs w:val="21"/>
                <w:highlight w:val="black"/>
              </w:rPr>
              <w:t>0.6</w:t>
            </w:r>
          </w:p>
        </w:tc>
        <w:tc>
          <w:tcPr>
            <w:tcW w:w="1028" w:type="pct"/>
            <w:tcBorders>
              <w:tl2br w:val="nil"/>
              <w:tr2bl w:val="nil"/>
            </w:tcBorders>
            <w:shd w:val="clear" w:color="auto" w:fill="auto"/>
            <w:vAlign w:val="center"/>
          </w:tcPr>
          <w:p w14:paraId="5D2D241D">
            <w:pPr>
              <w:widowControl/>
              <w:snapToGrid w:val="0"/>
              <w:spacing w:line="240" w:lineRule="atLeast"/>
              <w:ind w:firstLine="0" w:firstLineChars="0"/>
              <w:jc w:val="center"/>
              <w:rPr>
                <w:kern w:val="0"/>
                <w:sz w:val="21"/>
                <w:szCs w:val="21"/>
                <w:highlight w:val="black"/>
              </w:rPr>
            </w:pPr>
            <w:r>
              <w:rPr>
                <w:sz w:val="21"/>
                <w:szCs w:val="21"/>
                <w:highlight w:val="black"/>
              </w:rPr>
              <w:t>64.44</w:t>
            </w:r>
          </w:p>
        </w:tc>
      </w:tr>
      <w:tr w14:paraId="7AA91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588BE2DC">
            <w:pPr>
              <w:widowControl/>
              <w:snapToGrid w:val="0"/>
              <w:spacing w:line="240" w:lineRule="atLeast"/>
              <w:ind w:firstLine="0" w:firstLineChars="0"/>
              <w:jc w:val="center"/>
              <w:rPr>
                <w:kern w:val="0"/>
                <w:sz w:val="21"/>
                <w:szCs w:val="21"/>
                <w:highlight w:val="black"/>
              </w:rPr>
            </w:pPr>
            <w:r>
              <w:rPr>
                <w:kern w:val="0"/>
                <w:sz w:val="21"/>
                <w:szCs w:val="21"/>
                <w:highlight w:val="black"/>
              </w:rPr>
              <w:t>4</w:t>
            </w:r>
          </w:p>
        </w:tc>
        <w:tc>
          <w:tcPr>
            <w:tcW w:w="1077" w:type="pct"/>
            <w:tcBorders>
              <w:tl2br w:val="nil"/>
              <w:tr2bl w:val="nil"/>
            </w:tcBorders>
            <w:shd w:val="clear" w:color="auto" w:fill="auto"/>
            <w:vAlign w:val="center"/>
          </w:tcPr>
          <w:p w14:paraId="098B0577">
            <w:pPr>
              <w:widowControl/>
              <w:snapToGrid w:val="0"/>
              <w:spacing w:line="240" w:lineRule="atLeast"/>
              <w:ind w:firstLine="0" w:firstLineChars="0"/>
              <w:jc w:val="center"/>
              <w:rPr>
                <w:kern w:val="0"/>
                <w:sz w:val="21"/>
                <w:szCs w:val="21"/>
                <w:highlight w:val="black"/>
              </w:rPr>
            </w:pPr>
            <w:r>
              <w:rPr>
                <w:sz w:val="21"/>
                <w:szCs w:val="21"/>
                <w:highlight w:val="black"/>
              </w:rPr>
              <w:t>XMPYT-45</w:t>
            </w:r>
          </w:p>
        </w:tc>
        <w:tc>
          <w:tcPr>
            <w:tcW w:w="817" w:type="pct"/>
            <w:tcBorders>
              <w:tl2br w:val="nil"/>
              <w:tr2bl w:val="nil"/>
            </w:tcBorders>
            <w:shd w:val="clear" w:color="auto" w:fill="auto"/>
            <w:vAlign w:val="center"/>
          </w:tcPr>
          <w:p w14:paraId="355D5D27">
            <w:pPr>
              <w:widowControl/>
              <w:snapToGrid w:val="0"/>
              <w:spacing w:line="240" w:lineRule="atLeast"/>
              <w:ind w:firstLine="0" w:firstLineChars="0"/>
              <w:jc w:val="center"/>
              <w:rPr>
                <w:kern w:val="0"/>
                <w:sz w:val="21"/>
                <w:szCs w:val="21"/>
                <w:highlight w:val="black"/>
              </w:rPr>
            </w:pPr>
            <w:r>
              <w:rPr>
                <w:sz w:val="21"/>
                <w:szCs w:val="21"/>
                <w:highlight w:val="black"/>
              </w:rPr>
              <w:t>76</w:t>
            </w:r>
          </w:p>
        </w:tc>
        <w:tc>
          <w:tcPr>
            <w:tcW w:w="481" w:type="pct"/>
            <w:tcBorders>
              <w:tl2br w:val="nil"/>
              <w:tr2bl w:val="nil"/>
            </w:tcBorders>
            <w:shd w:val="clear" w:color="auto" w:fill="auto"/>
            <w:vAlign w:val="center"/>
          </w:tcPr>
          <w:p w14:paraId="59CB807A">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6F0CA3F4">
            <w:pPr>
              <w:widowControl/>
              <w:snapToGrid w:val="0"/>
              <w:spacing w:line="240" w:lineRule="atLeast"/>
              <w:ind w:firstLine="0" w:firstLineChars="0"/>
              <w:jc w:val="center"/>
              <w:rPr>
                <w:kern w:val="0"/>
                <w:sz w:val="21"/>
                <w:szCs w:val="21"/>
                <w:highlight w:val="black"/>
              </w:rPr>
            </w:pPr>
            <w:r>
              <w:rPr>
                <w:sz w:val="21"/>
                <w:szCs w:val="21"/>
                <w:highlight w:val="black"/>
              </w:rPr>
              <w:t>0.7</w:t>
            </w:r>
          </w:p>
        </w:tc>
        <w:tc>
          <w:tcPr>
            <w:tcW w:w="1028" w:type="pct"/>
            <w:tcBorders>
              <w:tl2br w:val="nil"/>
              <w:tr2bl w:val="nil"/>
            </w:tcBorders>
            <w:shd w:val="clear" w:color="auto" w:fill="auto"/>
            <w:vAlign w:val="center"/>
          </w:tcPr>
          <w:p w14:paraId="52FACD76">
            <w:pPr>
              <w:widowControl/>
              <w:snapToGrid w:val="0"/>
              <w:spacing w:line="240" w:lineRule="atLeast"/>
              <w:ind w:firstLine="0" w:firstLineChars="0"/>
              <w:jc w:val="center"/>
              <w:rPr>
                <w:kern w:val="0"/>
                <w:sz w:val="21"/>
                <w:szCs w:val="21"/>
                <w:highlight w:val="black"/>
              </w:rPr>
            </w:pPr>
            <w:r>
              <w:rPr>
                <w:sz w:val="21"/>
                <w:szCs w:val="21"/>
                <w:highlight w:val="black"/>
              </w:rPr>
              <w:t>53.2</w:t>
            </w:r>
          </w:p>
        </w:tc>
      </w:tr>
      <w:tr w14:paraId="229BE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4314B302">
            <w:pPr>
              <w:widowControl/>
              <w:snapToGrid w:val="0"/>
              <w:spacing w:line="240" w:lineRule="atLeast"/>
              <w:ind w:firstLine="0" w:firstLineChars="0"/>
              <w:jc w:val="center"/>
              <w:rPr>
                <w:kern w:val="0"/>
                <w:sz w:val="21"/>
                <w:szCs w:val="21"/>
                <w:highlight w:val="black"/>
              </w:rPr>
            </w:pPr>
            <w:r>
              <w:rPr>
                <w:kern w:val="0"/>
                <w:sz w:val="21"/>
                <w:szCs w:val="21"/>
                <w:highlight w:val="black"/>
              </w:rPr>
              <w:t>5</w:t>
            </w:r>
          </w:p>
        </w:tc>
        <w:tc>
          <w:tcPr>
            <w:tcW w:w="1077" w:type="pct"/>
            <w:tcBorders>
              <w:tl2br w:val="nil"/>
              <w:tr2bl w:val="nil"/>
            </w:tcBorders>
            <w:shd w:val="clear" w:color="auto" w:fill="auto"/>
            <w:vAlign w:val="center"/>
          </w:tcPr>
          <w:p w14:paraId="0C2435F6">
            <w:pPr>
              <w:widowControl/>
              <w:snapToGrid w:val="0"/>
              <w:spacing w:line="240" w:lineRule="atLeast"/>
              <w:ind w:firstLine="0" w:firstLineChars="0"/>
              <w:jc w:val="center"/>
              <w:rPr>
                <w:kern w:val="0"/>
                <w:sz w:val="21"/>
                <w:szCs w:val="21"/>
                <w:highlight w:val="black"/>
              </w:rPr>
            </w:pPr>
            <w:r>
              <w:rPr>
                <w:sz w:val="21"/>
                <w:szCs w:val="21"/>
                <w:highlight w:val="black"/>
              </w:rPr>
              <w:t>XYJY-5</w:t>
            </w:r>
          </w:p>
        </w:tc>
        <w:tc>
          <w:tcPr>
            <w:tcW w:w="817" w:type="pct"/>
            <w:tcBorders>
              <w:tl2br w:val="nil"/>
              <w:tr2bl w:val="nil"/>
            </w:tcBorders>
            <w:shd w:val="clear" w:color="auto" w:fill="auto"/>
            <w:vAlign w:val="center"/>
          </w:tcPr>
          <w:p w14:paraId="6436D6DC">
            <w:pPr>
              <w:widowControl/>
              <w:snapToGrid w:val="0"/>
              <w:spacing w:line="240" w:lineRule="atLeast"/>
              <w:ind w:firstLine="0" w:firstLineChars="0"/>
              <w:jc w:val="center"/>
              <w:rPr>
                <w:kern w:val="0"/>
                <w:sz w:val="21"/>
                <w:szCs w:val="21"/>
                <w:highlight w:val="black"/>
              </w:rPr>
            </w:pPr>
            <w:r>
              <w:rPr>
                <w:sz w:val="21"/>
                <w:szCs w:val="21"/>
                <w:highlight w:val="black"/>
              </w:rPr>
              <w:t>45</w:t>
            </w:r>
          </w:p>
        </w:tc>
        <w:tc>
          <w:tcPr>
            <w:tcW w:w="481" w:type="pct"/>
            <w:tcBorders>
              <w:tl2br w:val="nil"/>
              <w:tr2bl w:val="nil"/>
            </w:tcBorders>
            <w:shd w:val="clear" w:color="auto" w:fill="auto"/>
            <w:vAlign w:val="center"/>
          </w:tcPr>
          <w:p w14:paraId="26DDB47A">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22617E25">
            <w:pPr>
              <w:widowControl/>
              <w:snapToGrid w:val="0"/>
              <w:spacing w:line="240" w:lineRule="atLeast"/>
              <w:ind w:firstLine="0" w:firstLineChars="0"/>
              <w:jc w:val="center"/>
              <w:rPr>
                <w:kern w:val="0"/>
                <w:sz w:val="21"/>
                <w:szCs w:val="21"/>
                <w:highlight w:val="black"/>
              </w:rPr>
            </w:pPr>
            <w:r>
              <w:rPr>
                <w:sz w:val="21"/>
                <w:szCs w:val="21"/>
                <w:highlight w:val="black"/>
              </w:rPr>
              <w:t>0.25</w:t>
            </w:r>
          </w:p>
        </w:tc>
        <w:tc>
          <w:tcPr>
            <w:tcW w:w="1028" w:type="pct"/>
            <w:tcBorders>
              <w:tl2br w:val="nil"/>
              <w:tr2bl w:val="nil"/>
            </w:tcBorders>
            <w:shd w:val="clear" w:color="auto" w:fill="auto"/>
            <w:vAlign w:val="center"/>
          </w:tcPr>
          <w:p w14:paraId="11311268">
            <w:pPr>
              <w:widowControl/>
              <w:snapToGrid w:val="0"/>
              <w:spacing w:line="240" w:lineRule="atLeast"/>
              <w:ind w:firstLine="0" w:firstLineChars="0"/>
              <w:jc w:val="center"/>
              <w:rPr>
                <w:kern w:val="0"/>
                <w:sz w:val="21"/>
                <w:szCs w:val="21"/>
                <w:highlight w:val="black"/>
              </w:rPr>
            </w:pPr>
            <w:r>
              <w:rPr>
                <w:sz w:val="21"/>
                <w:szCs w:val="21"/>
                <w:highlight w:val="black"/>
              </w:rPr>
              <w:t>11.25</w:t>
            </w:r>
          </w:p>
        </w:tc>
      </w:tr>
      <w:tr w14:paraId="6609B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51CA5CB4">
            <w:pPr>
              <w:widowControl/>
              <w:snapToGrid w:val="0"/>
              <w:spacing w:line="240" w:lineRule="atLeast"/>
              <w:ind w:firstLine="0" w:firstLineChars="0"/>
              <w:jc w:val="center"/>
              <w:rPr>
                <w:kern w:val="0"/>
                <w:sz w:val="21"/>
                <w:szCs w:val="21"/>
                <w:highlight w:val="black"/>
              </w:rPr>
            </w:pPr>
            <w:r>
              <w:rPr>
                <w:kern w:val="0"/>
                <w:sz w:val="21"/>
                <w:szCs w:val="21"/>
                <w:highlight w:val="black"/>
              </w:rPr>
              <w:t>6</w:t>
            </w:r>
          </w:p>
        </w:tc>
        <w:tc>
          <w:tcPr>
            <w:tcW w:w="1077" w:type="pct"/>
            <w:tcBorders>
              <w:tl2br w:val="nil"/>
              <w:tr2bl w:val="nil"/>
            </w:tcBorders>
            <w:shd w:val="clear" w:color="auto" w:fill="auto"/>
            <w:vAlign w:val="center"/>
          </w:tcPr>
          <w:p w14:paraId="5B5350B0">
            <w:pPr>
              <w:widowControl/>
              <w:snapToGrid w:val="0"/>
              <w:spacing w:line="240" w:lineRule="atLeast"/>
              <w:ind w:firstLine="0" w:firstLineChars="0"/>
              <w:jc w:val="center"/>
              <w:rPr>
                <w:kern w:val="0"/>
                <w:sz w:val="21"/>
                <w:szCs w:val="21"/>
                <w:highlight w:val="black"/>
              </w:rPr>
            </w:pPr>
            <w:r>
              <w:rPr>
                <w:sz w:val="21"/>
                <w:szCs w:val="21"/>
                <w:highlight w:val="black"/>
              </w:rPr>
              <w:t>UPS-8J</w:t>
            </w:r>
          </w:p>
        </w:tc>
        <w:tc>
          <w:tcPr>
            <w:tcW w:w="817" w:type="pct"/>
            <w:tcBorders>
              <w:tl2br w:val="nil"/>
              <w:tr2bl w:val="nil"/>
            </w:tcBorders>
            <w:shd w:val="clear" w:color="auto" w:fill="auto"/>
            <w:vAlign w:val="center"/>
          </w:tcPr>
          <w:p w14:paraId="264B4DF9">
            <w:pPr>
              <w:widowControl/>
              <w:snapToGrid w:val="0"/>
              <w:spacing w:line="240" w:lineRule="atLeast"/>
              <w:ind w:firstLine="0" w:firstLineChars="0"/>
              <w:jc w:val="center"/>
              <w:rPr>
                <w:kern w:val="0"/>
                <w:sz w:val="21"/>
                <w:szCs w:val="21"/>
                <w:highlight w:val="black"/>
              </w:rPr>
            </w:pPr>
            <w:r>
              <w:rPr>
                <w:sz w:val="21"/>
                <w:szCs w:val="21"/>
                <w:highlight w:val="black"/>
              </w:rPr>
              <w:t>90</w:t>
            </w:r>
          </w:p>
        </w:tc>
        <w:tc>
          <w:tcPr>
            <w:tcW w:w="481" w:type="pct"/>
            <w:tcBorders>
              <w:tl2br w:val="nil"/>
              <w:tr2bl w:val="nil"/>
            </w:tcBorders>
            <w:shd w:val="clear" w:color="auto" w:fill="auto"/>
            <w:vAlign w:val="center"/>
          </w:tcPr>
          <w:p w14:paraId="31FB21B9">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0A498F00">
            <w:pPr>
              <w:widowControl/>
              <w:snapToGrid w:val="0"/>
              <w:spacing w:line="240" w:lineRule="atLeast"/>
              <w:ind w:firstLine="0" w:firstLineChars="0"/>
              <w:jc w:val="center"/>
              <w:rPr>
                <w:kern w:val="0"/>
                <w:sz w:val="21"/>
                <w:szCs w:val="21"/>
                <w:highlight w:val="black"/>
              </w:rPr>
            </w:pPr>
            <w:r>
              <w:rPr>
                <w:sz w:val="21"/>
                <w:szCs w:val="21"/>
                <w:highlight w:val="black"/>
              </w:rPr>
              <w:t>0.2</w:t>
            </w:r>
          </w:p>
        </w:tc>
        <w:tc>
          <w:tcPr>
            <w:tcW w:w="1028" w:type="pct"/>
            <w:tcBorders>
              <w:tl2br w:val="nil"/>
              <w:tr2bl w:val="nil"/>
            </w:tcBorders>
            <w:shd w:val="clear" w:color="auto" w:fill="auto"/>
            <w:vAlign w:val="center"/>
          </w:tcPr>
          <w:p w14:paraId="42FFAFD8">
            <w:pPr>
              <w:widowControl/>
              <w:snapToGrid w:val="0"/>
              <w:spacing w:line="240" w:lineRule="atLeast"/>
              <w:ind w:firstLine="0" w:firstLineChars="0"/>
              <w:jc w:val="center"/>
              <w:rPr>
                <w:kern w:val="0"/>
                <w:sz w:val="21"/>
                <w:szCs w:val="21"/>
                <w:highlight w:val="black"/>
              </w:rPr>
            </w:pPr>
            <w:r>
              <w:rPr>
                <w:sz w:val="21"/>
                <w:szCs w:val="21"/>
                <w:highlight w:val="black"/>
              </w:rPr>
              <w:t>18</w:t>
            </w:r>
          </w:p>
        </w:tc>
      </w:tr>
      <w:tr w14:paraId="510F9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1DDE0900">
            <w:pPr>
              <w:widowControl/>
              <w:snapToGrid w:val="0"/>
              <w:spacing w:line="240" w:lineRule="atLeast"/>
              <w:ind w:firstLine="0" w:firstLineChars="0"/>
              <w:jc w:val="center"/>
              <w:rPr>
                <w:kern w:val="0"/>
                <w:sz w:val="21"/>
                <w:szCs w:val="21"/>
                <w:highlight w:val="black"/>
              </w:rPr>
            </w:pPr>
            <w:r>
              <w:rPr>
                <w:kern w:val="0"/>
                <w:sz w:val="21"/>
                <w:szCs w:val="21"/>
                <w:highlight w:val="black"/>
              </w:rPr>
              <w:t>7</w:t>
            </w:r>
          </w:p>
        </w:tc>
        <w:tc>
          <w:tcPr>
            <w:tcW w:w="1077" w:type="pct"/>
            <w:tcBorders>
              <w:tl2br w:val="nil"/>
              <w:tr2bl w:val="nil"/>
            </w:tcBorders>
            <w:shd w:val="clear" w:color="auto" w:fill="auto"/>
            <w:noWrap/>
            <w:vAlign w:val="center"/>
          </w:tcPr>
          <w:p w14:paraId="6A0BF554">
            <w:pPr>
              <w:widowControl/>
              <w:snapToGrid w:val="0"/>
              <w:spacing w:line="240" w:lineRule="atLeast"/>
              <w:ind w:firstLine="0" w:firstLineChars="0"/>
              <w:jc w:val="center"/>
              <w:rPr>
                <w:kern w:val="0"/>
                <w:sz w:val="21"/>
                <w:szCs w:val="21"/>
                <w:highlight w:val="black"/>
              </w:rPr>
            </w:pPr>
            <w:r>
              <w:rPr>
                <w:sz w:val="21"/>
                <w:szCs w:val="21"/>
                <w:highlight w:val="black"/>
              </w:rPr>
              <w:t>UPL-20.4/700</w:t>
            </w:r>
          </w:p>
        </w:tc>
        <w:tc>
          <w:tcPr>
            <w:tcW w:w="817" w:type="pct"/>
            <w:tcBorders>
              <w:tl2br w:val="nil"/>
              <w:tr2bl w:val="nil"/>
            </w:tcBorders>
            <w:shd w:val="clear" w:color="auto" w:fill="auto"/>
            <w:vAlign w:val="center"/>
          </w:tcPr>
          <w:p w14:paraId="67CF776C">
            <w:pPr>
              <w:widowControl/>
              <w:snapToGrid w:val="0"/>
              <w:spacing w:line="240" w:lineRule="atLeast"/>
              <w:ind w:firstLine="0" w:firstLineChars="0"/>
              <w:jc w:val="center"/>
              <w:rPr>
                <w:kern w:val="0"/>
                <w:sz w:val="21"/>
                <w:szCs w:val="21"/>
                <w:highlight w:val="black"/>
              </w:rPr>
            </w:pPr>
            <w:r>
              <w:rPr>
                <w:sz w:val="21"/>
                <w:szCs w:val="21"/>
                <w:highlight w:val="black"/>
              </w:rPr>
              <w:t>73.5</w:t>
            </w:r>
          </w:p>
        </w:tc>
        <w:tc>
          <w:tcPr>
            <w:tcW w:w="481" w:type="pct"/>
            <w:tcBorders>
              <w:tl2br w:val="nil"/>
              <w:tr2bl w:val="nil"/>
            </w:tcBorders>
            <w:shd w:val="clear" w:color="auto" w:fill="auto"/>
            <w:vAlign w:val="center"/>
          </w:tcPr>
          <w:p w14:paraId="1D255742">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3C913D78">
            <w:pPr>
              <w:widowControl/>
              <w:snapToGrid w:val="0"/>
              <w:spacing w:line="240" w:lineRule="atLeast"/>
              <w:ind w:firstLine="0" w:firstLineChars="0"/>
              <w:jc w:val="center"/>
              <w:rPr>
                <w:kern w:val="0"/>
                <w:sz w:val="21"/>
                <w:szCs w:val="21"/>
                <w:highlight w:val="black"/>
              </w:rPr>
            </w:pPr>
            <w:r>
              <w:rPr>
                <w:sz w:val="21"/>
                <w:szCs w:val="21"/>
                <w:highlight w:val="black"/>
              </w:rPr>
              <w:t>0.3</w:t>
            </w:r>
          </w:p>
        </w:tc>
        <w:tc>
          <w:tcPr>
            <w:tcW w:w="1028" w:type="pct"/>
            <w:tcBorders>
              <w:tl2br w:val="nil"/>
              <w:tr2bl w:val="nil"/>
            </w:tcBorders>
            <w:shd w:val="clear" w:color="auto" w:fill="auto"/>
            <w:vAlign w:val="center"/>
          </w:tcPr>
          <w:p w14:paraId="2AEFEACE">
            <w:pPr>
              <w:widowControl/>
              <w:snapToGrid w:val="0"/>
              <w:spacing w:line="240" w:lineRule="atLeast"/>
              <w:ind w:firstLine="0" w:firstLineChars="0"/>
              <w:jc w:val="center"/>
              <w:rPr>
                <w:kern w:val="0"/>
                <w:sz w:val="21"/>
                <w:szCs w:val="21"/>
                <w:highlight w:val="black"/>
              </w:rPr>
            </w:pPr>
            <w:r>
              <w:rPr>
                <w:sz w:val="21"/>
                <w:szCs w:val="21"/>
                <w:highlight w:val="black"/>
              </w:rPr>
              <w:t>22.05</w:t>
            </w:r>
          </w:p>
        </w:tc>
      </w:tr>
      <w:tr w14:paraId="642B4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5EDBE5AC">
            <w:pPr>
              <w:widowControl/>
              <w:snapToGrid w:val="0"/>
              <w:spacing w:line="240" w:lineRule="atLeast"/>
              <w:ind w:firstLine="0" w:firstLineChars="0"/>
              <w:jc w:val="center"/>
              <w:rPr>
                <w:kern w:val="0"/>
                <w:sz w:val="21"/>
                <w:szCs w:val="21"/>
                <w:highlight w:val="black"/>
              </w:rPr>
            </w:pPr>
            <w:r>
              <w:rPr>
                <w:kern w:val="0"/>
                <w:sz w:val="21"/>
                <w:szCs w:val="21"/>
                <w:highlight w:val="black"/>
              </w:rPr>
              <w:t>8</w:t>
            </w:r>
          </w:p>
        </w:tc>
        <w:tc>
          <w:tcPr>
            <w:tcW w:w="1077" w:type="pct"/>
            <w:tcBorders>
              <w:tl2br w:val="nil"/>
              <w:tr2bl w:val="nil"/>
            </w:tcBorders>
            <w:shd w:val="clear" w:color="auto" w:fill="auto"/>
            <w:vAlign w:val="center"/>
          </w:tcPr>
          <w:p w14:paraId="3506D6A5">
            <w:pPr>
              <w:widowControl/>
              <w:snapToGrid w:val="0"/>
              <w:spacing w:line="240" w:lineRule="atLeast"/>
              <w:ind w:firstLine="0" w:firstLineChars="0"/>
              <w:jc w:val="center"/>
              <w:rPr>
                <w:kern w:val="0"/>
                <w:sz w:val="21"/>
                <w:szCs w:val="21"/>
                <w:highlight w:val="black"/>
              </w:rPr>
            </w:pPr>
            <w:r>
              <w:rPr>
                <w:sz w:val="21"/>
                <w:szCs w:val="21"/>
                <w:highlight w:val="black"/>
              </w:rPr>
              <w:t>RU-9</w:t>
            </w:r>
          </w:p>
        </w:tc>
        <w:tc>
          <w:tcPr>
            <w:tcW w:w="817" w:type="pct"/>
            <w:tcBorders>
              <w:tl2br w:val="nil"/>
              <w:tr2bl w:val="nil"/>
            </w:tcBorders>
            <w:shd w:val="clear" w:color="auto" w:fill="auto"/>
            <w:vAlign w:val="center"/>
          </w:tcPr>
          <w:p w14:paraId="626545A4">
            <w:pPr>
              <w:widowControl/>
              <w:snapToGrid w:val="0"/>
              <w:spacing w:line="240" w:lineRule="atLeast"/>
              <w:ind w:firstLine="0" w:firstLineChars="0"/>
              <w:jc w:val="center"/>
              <w:rPr>
                <w:kern w:val="0"/>
                <w:sz w:val="21"/>
                <w:szCs w:val="21"/>
                <w:highlight w:val="black"/>
              </w:rPr>
            </w:pPr>
            <w:r>
              <w:rPr>
                <w:sz w:val="21"/>
                <w:szCs w:val="21"/>
                <w:highlight w:val="black"/>
              </w:rPr>
              <w:t>88</w:t>
            </w:r>
          </w:p>
        </w:tc>
        <w:tc>
          <w:tcPr>
            <w:tcW w:w="481" w:type="pct"/>
            <w:tcBorders>
              <w:tl2br w:val="nil"/>
              <w:tr2bl w:val="nil"/>
            </w:tcBorders>
            <w:shd w:val="clear" w:color="auto" w:fill="auto"/>
            <w:vAlign w:val="center"/>
          </w:tcPr>
          <w:p w14:paraId="622D8C47">
            <w:pPr>
              <w:widowControl/>
              <w:snapToGrid w:val="0"/>
              <w:spacing w:line="240" w:lineRule="atLeast"/>
              <w:ind w:firstLine="0" w:firstLineChars="0"/>
              <w:jc w:val="center"/>
              <w:rPr>
                <w:kern w:val="0"/>
                <w:sz w:val="21"/>
                <w:szCs w:val="21"/>
                <w:highlight w:val="black"/>
              </w:rPr>
            </w:pPr>
            <w:r>
              <w:rPr>
                <w:sz w:val="21"/>
                <w:szCs w:val="21"/>
                <w:highlight w:val="black"/>
              </w:rPr>
              <w:t>1</w:t>
            </w:r>
          </w:p>
        </w:tc>
        <w:tc>
          <w:tcPr>
            <w:tcW w:w="1116" w:type="pct"/>
            <w:tcBorders>
              <w:tl2br w:val="nil"/>
              <w:tr2bl w:val="nil"/>
            </w:tcBorders>
            <w:shd w:val="clear" w:color="auto" w:fill="auto"/>
            <w:vAlign w:val="center"/>
          </w:tcPr>
          <w:p w14:paraId="086B689F">
            <w:pPr>
              <w:widowControl/>
              <w:snapToGrid w:val="0"/>
              <w:spacing w:line="240" w:lineRule="atLeast"/>
              <w:ind w:firstLine="0" w:firstLineChars="0"/>
              <w:jc w:val="center"/>
              <w:rPr>
                <w:kern w:val="0"/>
                <w:sz w:val="21"/>
                <w:szCs w:val="21"/>
                <w:highlight w:val="black"/>
              </w:rPr>
            </w:pPr>
            <w:r>
              <w:rPr>
                <w:sz w:val="21"/>
                <w:szCs w:val="21"/>
                <w:highlight w:val="black"/>
              </w:rPr>
              <w:t>0.3</w:t>
            </w:r>
          </w:p>
        </w:tc>
        <w:tc>
          <w:tcPr>
            <w:tcW w:w="1028" w:type="pct"/>
            <w:tcBorders>
              <w:tl2br w:val="nil"/>
              <w:tr2bl w:val="nil"/>
            </w:tcBorders>
            <w:shd w:val="clear" w:color="auto" w:fill="auto"/>
            <w:vAlign w:val="center"/>
          </w:tcPr>
          <w:p w14:paraId="1B9953A9">
            <w:pPr>
              <w:widowControl/>
              <w:snapToGrid w:val="0"/>
              <w:spacing w:line="240" w:lineRule="atLeast"/>
              <w:ind w:firstLine="0" w:firstLineChars="0"/>
              <w:jc w:val="center"/>
              <w:rPr>
                <w:kern w:val="0"/>
                <w:sz w:val="21"/>
                <w:szCs w:val="21"/>
                <w:highlight w:val="black"/>
              </w:rPr>
            </w:pPr>
            <w:r>
              <w:rPr>
                <w:sz w:val="21"/>
                <w:szCs w:val="21"/>
                <w:highlight w:val="black"/>
              </w:rPr>
              <w:t>26.4</w:t>
            </w:r>
          </w:p>
        </w:tc>
      </w:tr>
      <w:tr w14:paraId="1D145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pct"/>
            <w:tcBorders>
              <w:tl2br w:val="nil"/>
              <w:tr2bl w:val="nil"/>
            </w:tcBorders>
            <w:shd w:val="clear" w:color="auto" w:fill="auto"/>
            <w:vAlign w:val="center"/>
          </w:tcPr>
          <w:p w14:paraId="6A713451">
            <w:pPr>
              <w:widowControl/>
              <w:snapToGrid w:val="0"/>
              <w:spacing w:line="240" w:lineRule="atLeast"/>
              <w:ind w:firstLine="0" w:firstLineChars="0"/>
              <w:jc w:val="center"/>
              <w:rPr>
                <w:kern w:val="0"/>
                <w:sz w:val="21"/>
                <w:szCs w:val="21"/>
                <w:highlight w:val="black"/>
              </w:rPr>
            </w:pPr>
            <w:r>
              <w:rPr>
                <w:kern w:val="0"/>
                <w:sz w:val="21"/>
                <w:szCs w:val="21"/>
                <w:highlight w:val="black"/>
              </w:rPr>
              <w:t>9</w:t>
            </w:r>
          </w:p>
        </w:tc>
        <w:tc>
          <w:tcPr>
            <w:tcW w:w="1894" w:type="pct"/>
            <w:gridSpan w:val="2"/>
            <w:tcBorders>
              <w:tl2br w:val="nil"/>
              <w:tr2bl w:val="nil"/>
            </w:tcBorders>
            <w:shd w:val="clear" w:color="auto" w:fill="auto"/>
            <w:vAlign w:val="center"/>
          </w:tcPr>
          <w:p w14:paraId="13F0EBC2">
            <w:pPr>
              <w:widowControl/>
              <w:snapToGrid w:val="0"/>
              <w:spacing w:line="240" w:lineRule="atLeast"/>
              <w:ind w:firstLine="0" w:firstLineChars="0"/>
              <w:jc w:val="center"/>
              <w:rPr>
                <w:kern w:val="0"/>
                <w:sz w:val="21"/>
                <w:szCs w:val="21"/>
                <w:highlight w:val="black"/>
              </w:rPr>
            </w:pPr>
            <w:r>
              <w:rPr>
                <w:kern w:val="0"/>
                <w:sz w:val="21"/>
                <w:szCs w:val="21"/>
                <w:highlight w:val="black"/>
              </w:rPr>
              <w:t>合计</w:t>
            </w:r>
          </w:p>
        </w:tc>
        <w:tc>
          <w:tcPr>
            <w:tcW w:w="481" w:type="pct"/>
            <w:tcBorders>
              <w:tl2br w:val="nil"/>
              <w:tr2bl w:val="nil"/>
            </w:tcBorders>
            <w:shd w:val="clear" w:color="auto" w:fill="auto"/>
            <w:vAlign w:val="center"/>
          </w:tcPr>
          <w:p w14:paraId="1C912D46">
            <w:pPr>
              <w:widowControl/>
              <w:snapToGrid w:val="0"/>
              <w:spacing w:line="240" w:lineRule="atLeast"/>
              <w:ind w:firstLine="0" w:firstLineChars="0"/>
              <w:jc w:val="center"/>
              <w:rPr>
                <w:kern w:val="0"/>
                <w:sz w:val="21"/>
                <w:szCs w:val="21"/>
                <w:highlight w:val="black"/>
              </w:rPr>
            </w:pPr>
          </w:p>
        </w:tc>
        <w:tc>
          <w:tcPr>
            <w:tcW w:w="1116" w:type="pct"/>
            <w:tcBorders>
              <w:tl2br w:val="nil"/>
              <w:tr2bl w:val="nil"/>
            </w:tcBorders>
            <w:shd w:val="clear" w:color="auto" w:fill="auto"/>
            <w:vAlign w:val="center"/>
          </w:tcPr>
          <w:p w14:paraId="088287F6">
            <w:pPr>
              <w:widowControl/>
              <w:snapToGrid w:val="0"/>
              <w:spacing w:line="240" w:lineRule="atLeast"/>
              <w:ind w:firstLine="0" w:firstLineChars="0"/>
              <w:jc w:val="center"/>
              <w:rPr>
                <w:kern w:val="0"/>
                <w:sz w:val="21"/>
                <w:szCs w:val="21"/>
                <w:highlight w:val="black"/>
              </w:rPr>
            </w:pPr>
          </w:p>
        </w:tc>
        <w:tc>
          <w:tcPr>
            <w:tcW w:w="1028" w:type="pct"/>
            <w:tcBorders>
              <w:tl2br w:val="nil"/>
              <w:tr2bl w:val="nil"/>
            </w:tcBorders>
            <w:shd w:val="clear" w:color="auto" w:fill="auto"/>
            <w:vAlign w:val="center"/>
          </w:tcPr>
          <w:p w14:paraId="12A69E52">
            <w:pPr>
              <w:widowControl/>
              <w:snapToGrid w:val="0"/>
              <w:spacing w:line="240" w:lineRule="atLeast"/>
              <w:ind w:firstLine="0" w:firstLineChars="0"/>
              <w:jc w:val="center"/>
              <w:rPr>
                <w:kern w:val="0"/>
                <w:sz w:val="21"/>
                <w:szCs w:val="21"/>
                <w:highlight w:val="black"/>
              </w:rPr>
            </w:pPr>
            <w:r>
              <w:rPr>
                <w:kern w:val="0"/>
                <w:sz w:val="21"/>
                <w:szCs w:val="21"/>
                <w:highlight w:val="black"/>
              </w:rPr>
              <w:fldChar w:fldCharType="begin"/>
            </w:r>
            <w:r>
              <w:rPr>
                <w:kern w:val="0"/>
                <w:sz w:val="21"/>
                <w:szCs w:val="21"/>
                <w:highlight w:val="black"/>
              </w:rPr>
              <w:instrText xml:space="preserve"> =SUM(ABOVE) </w:instrText>
            </w:r>
            <w:r>
              <w:rPr>
                <w:kern w:val="0"/>
                <w:sz w:val="21"/>
                <w:szCs w:val="21"/>
                <w:highlight w:val="black"/>
              </w:rPr>
              <w:fldChar w:fldCharType="separate"/>
            </w:r>
            <w:r>
              <w:rPr>
                <w:kern w:val="0"/>
                <w:sz w:val="21"/>
                <w:szCs w:val="21"/>
                <w:highlight w:val="black"/>
              </w:rPr>
              <w:t>1024.51</w:t>
            </w:r>
            <w:r>
              <w:rPr>
                <w:kern w:val="0"/>
                <w:sz w:val="21"/>
                <w:szCs w:val="21"/>
                <w:highlight w:val="black"/>
              </w:rPr>
              <w:fldChar w:fldCharType="end"/>
            </w:r>
          </w:p>
        </w:tc>
      </w:tr>
    </w:tbl>
    <w:p w14:paraId="30EF07DC">
      <w:pPr>
        <w:ind w:firstLine="560"/>
        <w:rPr>
          <w:highlight w:val="black"/>
        </w:rPr>
      </w:pPr>
      <w:r>
        <w:rPr>
          <w:highlight w:val="black"/>
        </w:rPr>
        <w:t>根据以上计算可知，</w:t>
      </w:r>
      <w:r>
        <w:rPr>
          <w:rFonts w:hint="eastAsia"/>
          <w:highlight w:val="black"/>
        </w:rPr>
        <w:t>因本矿山井下柴油设备较多，</w:t>
      </w:r>
      <w:r>
        <w:rPr>
          <w:highlight w:val="black"/>
        </w:rPr>
        <w:t>按照井下</w:t>
      </w:r>
      <w:r>
        <w:rPr>
          <w:rFonts w:hint="eastAsia"/>
          <w:highlight w:val="black"/>
        </w:rPr>
        <w:t>柴油设备需风量</w:t>
      </w:r>
      <w:r>
        <w:rPr>
          <w:highlight w:val="black"/>
        </w:rPr>
        <w:t>所需风量计算的风量最大，故本次设计井下需风量按照</w:t>
      </w:r>
      <w:r>
        <w:rPr>
          <w:rFonts w:hint="eastAsia"/>
          <w:highlight w:val="black"/>
        </w:rPr>
        <w:t>68.3</w:t>
      </w:r>
      <w:r>
        <w:rPr>
          <w:highlight w:val="black"/>
        </w:rPr>
        <w:t>m</w:t>
      </w:r>
      <w:r>
        <w:rPr>
          <w:highlight w:val="black"/>
          <w:vertAlign w:val="superscript"/>
        </w:rPr>
        <w:t>3</w:t>
      </w:r>
      <w:r>
        <w:rPr>
          <w:highlight w:val="black"/>
        </w:rPr>
        <w:t>/s选取通风设备。</w:t>
      </w:r>
    </w:p>
    <w:p w14:paraId="5D0D5D82">
      <w:pPr>
        <w:ind w:firstLine="560"/>
        <w:rPr>
          <w:highlight w:val="black"/>
        </w:rPr>
      </w:pPr>
      <w:r>
        <w:rPr>
          <w:rFonts w:hint="eastAsia"/>
          <w:highlight w:val="black"/>
        </w:rPr>
        <w:t>《可研报告》确定，</w:t>
      </w:r>
      <w:r>
        <w:rPr>
          <w:highlight w:val="black"/>
        </w:rPr>
        <w:t>设计选择F</w:t>
      </w:r>
      <w:r>
        <w:rPr>
          <w:rFonts w:hint="eastAsia"/>
          <w:highlight w:val="black"/>
        </w:rPr>
        <w:t>BCD</w:t>
      </w:r>
      <w:r>
        <w:rPr>
          <w:highlight w:val="black"/>
        </w:rPr>
        <w:t>Z</w:t>
      </w:r>
      <w:r>
        <w:rPr>
          <w:rFonts w:hint="eastAsia"/>
          <w:highlight w:val="black"/>
        </w:rPr>
        <w:t>-6-</w:t>
      </w:r>
      <w:r>
        <w:rPr>
          <w:highlight w:val="black"/>
        </w:rPr>
        <w:t>№</w:t>
      </w:r>
      <w:r>
        <w:rPr>
          <w:rFonts w:hint="eastAsia"/>
          <w:highlight w:val="black"/>
        </w:rPr>
        <w:t>19B</w:t>
      </w:r>
      <w:r>
        <w:rPr>
          <w:highlight w:val="black"/>
        </w:rPr>
        <w:t>型轴流式节能风机1台，装于回风</w:t>
      </w:r>
      <w:r>
        <w:rPr>
          <w:rFonts w:hint="eastAsia"/>
          <w:highlight w:val="black"/>
        </w:rPr>
        <w:t>井</w:t>
      </w:r>
      <w:r>
        <w:rPr>
          <w:highlight w:val="black"/>
        </w:rPr>
        <w:t>井口，</w:t>
      </w:r>
      <w:r>
        <w:rPr>
          <w:rFonts w:hint="eastAsia"/>
          <w:highlight w:val="black"/>
        </w:rPr>
        <w:t>该型风机</w:t>
      </w:r>
      <w:r>
        <w:rPr>
          <w:highlight w:val="black"/>
        </w:rPr>
        <w:t>风量范围</w:t>
      </w:r>
      <w:r>
        <w:rPr>
          <w:rFonts w:hint="eastAsia"/>
          <w:highlight w:val="black"/>
        </w:rPr>
        <w:t>47.3</w:t>
      </w:r>
      <w:r>
        <w:rPr>
          <w:highlight w:val="black"/>
        </w:rPr>
        <w:t>～</w:t>
      </w:r>
      <w:r>
        <w:rPr>
          <w:rFonts w:hint="eastAsia"/>
          <w:highlight w:val="black"/>
        </w:rPr>
        <w:t>105</w:t>
      </w:r>
      <w:r>
        <w:rPr>
          <w:highlight w:val="black"/>
        </w:rPr>
        <w:t>m</w:t>
      </w:r>
      <w:r>
        <w:rPr>
          <w:highlight w:val="black"/>
          <w:vertAlign w:val="superscript"/>
        </w:rPr>
        <w:t>3</w:t>
      </w:r>
      <w:r>
        <w:rPr>
          <w:highlight w:val="black"/>
        </w:rPr>
        <w:t>/s，全压</w:t>
      </w:r>
      <w:r>
        <w:rPr>
          <w:rFonts w:hint="eastAsia"/>
          <w:highlight w:val="black"/>
        </w:rPr>
        <w:t>990</w:t>
      </w:r>
      <w:r>
        <w:rPr>
          <w:highlight w:val="black"/>
        </w:rPr>
        <w:t>~</w:t>
      </w:r>
      <w:r>
        <w:rPr>
          <w:rFonts w:hint="eastAsia"/>
          <w:highlight w:val="black"/>
        </w:rPr>
        <w:t>3740</w:t>
      </w:r>
      <w:r>
        <w:rPr>
          <w:highlight w:val="black"/>
        </w:rPr>
        <w:t>Pa。</w:t>
      </w:r>
      <w:r>
        <w:rPr>
          <w:rFonts w:hint="eastAsia"/>
          <w:highlight w:val="black"/>
        </w:rPr>
        <w:t>故满足井下需风量要求。</w:t>
      </w:r>
    </w:p>
    <w:p w14:paraId="64C93537">
      <w:pPr>
        <w:pStyle w:val="4"/>
        <w:ind w:firstLine="0" w:firstLineChars="0"/>
      </w:pPr>
      <w:r>
        <w:rPr>
          <w:rFonts w:hint="eastAsia"/>
        </w:rPr>
        <w:t>3.5.4 评价结论</w:t>
      </w:r>
    </w:p>
    <w:p w14:paraId="160B7BE4">
      <w:pPr>
        <w:ind w:firstLine="560"/>
        <w:rPr>
          <w:highlight w:val="black"/>
        </w:rPr>
      </w:pPr>
      <w:r>
        <w:rPr>
          <w:rFonts w:hint="eastAsia"/>
          <w:highlight w:val="black"/>
        </w:rPr>
        <w:t>《可研报告》对通风系统进行了设计，经计算可知满足需求。建设单位 在以后的施工及生产中，要严格按照《可研报告》设置风机及通风构筑物，并落实《可研报告》和本预评价报告提出相应的安全措施，保证通风系统的安全可靠。</w:t>
      </w:r>
    </w:p>
    <w:p w14:paraId="519C8570">
      <w:pPr>
        <w:pStyle w:val="3"/>
        <w:ind w:firstLine="0" w:firstLineChars="0"/>
      </w:pPr>
      <w:bookmarkStart w:id="276" w:name="_Toc31292"/>
      <w:r>
        <w:rPr>
          <w:rFonts w:hint="eastAsia"/>
        </w:rPr>
        <w:t xml:space="preserve">3.6 </w:t>
      </w:r>
      <w:r>
        <w:t>矿山供配电设施单元</w:t>
      </w:r>
      <w:bookmarkEnd w:id="270"/>
      <w:bookmarkEnd w:id="271"/>
      <w:bookmarkEnd w:id="272"/>
      <w:bookmarkEnd w:id="273"/>
      <w:bookmarkEnd w:id="274"/>
      <w:bookmarkEnd w:id="276"/>
    </w:p>
    <w:p w14:paraId="7CB7E895">
      <w:pPr>
        <w:pStyle w:val="41"/>
        <w:keepNext/>
        <w:keepLines/>
        <w:numPr>
          <w:ilvl w:val="1"/>
          <w:numId w:val="7"/>
        </w:numPr>
        <w:spacing w:before="156" w:beforeLines="50" w:line="360" w:lineRule="auto"/>
        <w:ind w:firstLineChars="0"/>
        <w:jc w:val="left"/>
        <w:outlineLvl w:val="2"/>
        <w:rPr>
          <w:rFonts w:ascii="宋体" w:hAnsi="宋体"/>
          <w:snapToGrid w:val="0"/>
          <w:vanish/>
          <w:kern w:val="0"/>
        </w:rPr>
      </w:pPr>
      <w:bookmarkStart w:id="277" w:name="_Toc53310159"/>
      <w:bookmarkEnd w:id="277"/>
      <w:bookmarkStart w:id="278" w:name="_Toc502929562"/>
      <w:bookmarkStart w:id="279" w:name="_Toc505723221"/>
      <w:bookmarkStart w:id="280" w:name="_Toc502928919"/>
    </w:p>
    <w:p w14:paraId="3662A699">
      <w:pPr>
        <w:pStyle w:val="4"/>
        <w:ind w:firstLine="0" w:firstLineChars="0"/>
      </w:pPr>
      <w:r>
        <w:rPr>
          <w:rFonts w:hint="eastAsia"/>
        </w:rPr>
        <w:t>3</w:t>
      </w:r>
      <w:r>
        <w:t>.</w:t>
      </w:r>
      <w:r>
        <w:rPr>
          <w:rFonts w:hint="eastAsia"/>
        </w:rPr>
        <w:t>6</w:t>
      </w:r>
      <w:r>
        <w:t>.1危险、有害因素的辨识</w:t>
      </w:r>
      <w:bookmarkEnd w:id="278"/>
      <w:bookmarkEnd w:id="279"/>
      <w:bookmarkEnd w:id="280"/>
    </w:p>
    <w:p w14:paraId="019E08D6">
      <w:pPr>
        <w:ind w:firstLine="560"/>
        <w:rPr>
          <w:highlight w:val="black"/>
        </w:rPr>
      </w:pPr>
      <w:r>
        <w:rPr>
          <w:highlight w:val="black"/>
        </w:rPr>
        <w:t>通过对供配电设施单元存在的危险、有害因素进行辨识和分析，确定该单元存在的危险因素为</w:t>
      </w:r>
      <w:r>
        <w:rPr>
          <w:rFonts w:hint="eastAsia"/>
          <w:highlight w:val="black"/>
        </w:rPr>
        <w:t>“</w:t>
      </w:r>
      <w:r>
        <w:rPr>
          <w:highlight w:val="black"/>
        </w:rPr>
        <w:t>触电</w:t>
      </w:r>
      <w:r>
        <w:rPr>
          <w:rFonts w:hint="eastAsia"/>
          <w:highlight w:val="black"/>
        </w:rPr>
        <w:t>”“</w:t>
      </w:r>
      <w:r>
        <w:rPr>
          <w:highlight w:val="black"/>
        </w:rPr>
        <w:t>火灾</w:t>
      </w:r>
      <w:r>
        <w:rPr>
          <w:rFonts w:hint="eastAsia"/>
          <w:highlight w:val="black"/>
        </w:rPr>
        <w:t>”</w:t>
      </w:r>
      <w:r>
        <w:rPr>
          <w:highlight w:val="black"/>
        </w:rPr>
        <w:t>。</w:t>
      </w:r>
    </w:p>
    <w:p w14:paraId="26C5B7A3">
      <w:pPr>
        <w:pStyle w:val="4"/>
        <w:ind w:firstLine="0" w:firstLineChars="0"/>
      </w:pPr>
      <w:bookmarkStart w:id="281" w:name="_Toc502929563"/>
      <w:bookmarkStart w:id="282" w:name="_Toc502928920"/>
      <w:bookmarkStart w:id="283" w:name="_Toc505723222"/>
      <w:r>
        <w:rPr>
          <w:rFonts w:hint="eastAsia"/>
        </w:rPr>
        <w:t>3</w:t>
      </w:r>
      <w:r>
        <w:t>.</w:t>
      </w:r>
      <w:r>
        <w:rPr>
          <w:rFonts w:hint="eastAsia"/>
        </w:rPr>
        <w:t>6</w:t>
      </w:r>
      <w:r>
        <w:t>.2供配电设施</w:t>
      </w:r>
      <w:r>
        <w:rPr>
          <w:rFonts w:hint="eastAsia"/>
        </w:rPr>
        <w:t>单元</w:t>
      </w:r>
      <w:r>
        <w:t>评价</w:t>
      </w:r>
      <w:bookmarkEnd w:id="281"/>
      <w:bookmarkEnd w:id="282"/>
      <w:bookmarkEnd w:id="283"/>
    </w:p>
    <w:p w14:paraId="0A229D0B">
      <w:pPr>
        <w:ind w:firstLine="560"/>
      </w:pPr>
      <w:r>
        <w:t>采用预先危险性分析法对供配电</w:t>
      </w:r>
      <w:r>
        <w:rPr>
          <w:rFonts w:hint="eastAsia"/>
        </w:rPr>
        <w:t>设施</w:t>
      </w:r>
      <w:r>
        <w:t>单元进行评价，见下表3-</w:t>
      </w:r>
      <w:r>
        <w:rPr>
          <w:rFonts w:hint="eastAsia"/>
        </w:rPr>
        <w:t>10。</w:t>
      </w:r>
    </w:p>
    <w:p w14:paraId="6CEF7025">
      <w:pPr>
        <w:spacing w:line="480" w:lineRule="exact"/>
        <w:ind w:firstLine="422"/>
        <w:jc w:val="center"/>
        <w:rPr>
          <w:rFonts w:ascii="宋体" w:hAnsi="宋体"/>
          <w:b/>
          <w:bCs/>
          <w:sz w:val="21"/>
          <w:szCs w:val="21"/>
        </w:rPr>
      </w:pPr>
      <w:r>
        <w:rPr>
          <w:rFonts w:ascii="宋体" w:hAnsi="宋体"/>
          <w:b/>
          <w:bCs/>
          <w:sz w:val="21"/>
          <w:szCs w:val="21"/>
        </w:rPr>
        <w:t>表</w:t>
      </w:r>
      <w:r>
        <w:rPr>
          <w:rFonts w:hint="eastAsia" w:ascii="宋体" w:hAnsi="宋体"/>
          <w:b/>
          <w:bCs/>
          <w:sz w:val="21"/>
          <w:szCs w:val="21"/>
        </w:rPr>
        <w:t xml:space="preserve">3-10 </w:t>
      </w:r>
      <w:r>
        <w:rPr>
          <w:rFonts w:ascii="宋体" w:hAnsi="宋体"/>
          <w:b/>
          <w:bCs/>
          <w:sz w:val="21"/>
          <w:szCs w:val="21"/>
        </w:rPr>
        <w:t>供配电</w:t>
      </w:r>
      <w:r>
        <w:rPr>
          <w:rFonts w:hint="eastAsia" w:ascii="宋体" w:hAnsi="宋体"/>
          <w:b/>
          <w:bCs/>
          <w:sz w:val="21"/>
          <w:szCs w:val="21"/>
        </w:rPr>
        <w:t>设施</w:t>
      </w:r>
      <w:r>
        <w:rPr>
          <w:rFonts w:ascii="宋体" w:hAnsi="宋体"/>
          <w:b/>
          <w:bCs/>
          <w:sz w:val="21"/>
          <w:szCs w:val="21"/>
        </w:rPr>
        <w:t>单元预先危险性分析</w:t>
      </w:r>
      <w:r>
        <w:rPr>
          <w:rFonts w:hint="eastAsia" w:ascii="宋体" w:hAnsi="宋体"/>
          <w:b/>
          <w:bCs/>
          <w:sz w:val="21"/>
          <w:szCs w:val="21"/>
        </w:rPr>
        <w:t>检查表</w:t>
      </w:r>
    </w:p>
    <w:tbl>
      <w:tblPr>
        <w:tblStyle w:val="25"/>
        <w:tblW w:w="51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876"/>
        <w:gridCol w:w="897"/>
        <w:gridCol w:w="658"/>
        <w:gridCol w:w="3378"/>
      </w:tblGrid>
      <w:tr w14:paraId="64032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81" w:type="pct"/>
            <w:tcBorders>
              <w:tl2br w:val="nil"/>
              <w:tr2bl w:val="nil"/>
            </w:tcBorders>
            <w:vAlign w:val="center"/>
          </w:tcPr>
          <w:p w14:paraId="38AE2607">
            <w:pPr>
              <w:spacing w:line="240" w:lineRule="auto"/>
              <w:ind w:right="-143" w:rightChars="-51" w:firstLine="0" w:firstLineChars="0"/>
              <w:jc w:val="center"/>
              <w:rPr>
                <w:rFonts w:ascii="宋体" w:hAnsi="宋体" w:cs="宋体"/>
                <w:b/>
                <w:bCs/>
                <w:snapToGrid w:val="0"/>
                <w:kern w:val="0"/>
                <w:sz w:val="21"/>
                <w:szCs w:val="21"/>
                <w:highlight w:val="black"/>
              </w:rPr>
            </w:pPr>
            <w:r>
              <w:rPr>
                <w:rFonts w:hint="eastAsia" w:ascii="宋体" w:hAnsi="宋体" w:cs="宋体"/>
                <w:b/>
                <w:bCs/>
                <w:snapToGrid w:val="0"/>
                <w:kern w:val="0"/>
                <w:sz w:val="21"/>
                <w:szCs w:val="21"/>
                <w:highlight w:val="black"/>
              </w:rPr>
              <w:t>存在的危险因素</w:t>
            </w:r>
          </w:p>
        </w:tc>
        <w:tc>
          <w:tcPr>
            <w:tcW w:w="1626" w:type="pct"/>
            <w:tcBorders>
              <w:tl2br w:val="nil"/>
              <w:tr2bl w:val="nil"/>
            </w:tcBorders>
            <w:vAlign w:val="center"/>
          </w:tcPr>
          <w:p w14:paraId="0BF5B00A">
            <w:pPr>
              <w:spacing w:line="240" w:lineRule="auto"/>
              <w:ind w:firstLine="0" w:firstLineChars="0"/>
              <w:jc w:val="center"/>
              <w:rPr>
                <w:rFonts w:ascii="宋体" w:hAnsi="宋体" w:cs="宋体"/>
                <w:b/>
                <w:bCs/>
                <w:snapToGrid w:val="0"/>
                <w:kern w:val="0"/>
                <w:sz w:val="21"/>
                <w:szCs w:val="21"/>
                <w:highlight w:val="black"/>
              </w:rPr>
            </w:pPr>
            <w:r>
              <w:rPr>
                <w:rFonts w:hint="eastAsia" w:ascii="宋体" w:hAnsi="宋体" w:cs="宋体"/>
                <w:b/>
                <w:bCs/>
                <w:snapToGrid w:val="0"/>
                <w:kern w:val="0"/>
                <w:sz w:val="21"/>
                <w:szCs w:val="21"/>
                <w:highlight w:val="black"/>
              </w:rPr>
              <w:t>引发事故的原因</w:t>
            </w:r>
          </w:p>
        </w:tc>
        <w:tc>
          <w:tcPr>
            <w:tcW w:w="507" w:type="pct"/>
            <w:tcBorders>
              <w:tl2br w:val="nil"/>
              <w:tr2bl w:val="nil"/>
            </w:tcBorders>
            <w:vAlign w:val="center"/>
          </w:tcPr>
          <w:p w14:paraId="6B6F2CC6">
            <w:pPr>
              <w:spacing w:line="240" w:lineRule="auto"/>
              <w:ind w:firstLine="0" w:firstLineChars="0"/>
              <w:jc w:val="center"/>
              <w:rPr>
                <w:rFonts w:ascii="宋体" w:hAnsi="宋体" w:cs="宋体"/>
                <w:b/>
                <w:bCs/>
                <w:snapToGrid w:val="0"/>
                <w:kern w:val="0"/>
                <w:sz w:val="21"/>
                <w:szCs w:val="21"/>
                <w:highlight w:val="black"/>
              </w:rPr>
            </w:pPr>
            <w:r>
              <w:rPr>
                <w:rFonts w:hint="eastAsia" w:ascii="宋体" w:hAnsi="宋体" w:cs="宋体"/>
                <w:b/>
                <w:bCs/>
                <w:snapToGrid w:val="0"/>
                <w:kern w:val="0"/>
                <w:sz w:val="21"/>
                <w:szCs w:val="21"/>
                <w:highlight w:val="black"/>
              </w:rPr>
              <w:t>事故</w:t>
            </w:r>
          </w:p>
          <w:p w14:paraId="23158A2A">
            <w:pPr>
              <w:spacing w:line="240" w:lineRule="auto"/>
              <w:ind w:firstLine="0" w:firstLineChars="0"/>
              <w:jc w:val="center"/>
              <w:rPr>
                <w:rFonts w:ascii="宋体" w:hAnsi="宋体" w:cs="宋体"/>
                <w:b/>
                <w:bCs/>
                <w:snapToGrid w:val="0"/>
                <w:kern w:val="0"/>
                <w:sz w:val="21"/>
                <w:szCs w:val="21"/>
                <w:highlight w:val="black"/>
              </w:rPr>
            </w:pPr>
            <w:r>
              <w:rPr>
                <w:rFonts w:hint="eastAsia" w:ascii="宋体" w:hAnsi="宋体" w:cs="宋体"/>
                <w:b/>
                <w:bCs/>
                <w:snapToGrid w:val="0"/>
                <w:kern w:val="0"/>
                <w:sz w:val="21"/>
                <w:szCs w:val="21"/>
                <w:highlight w:val="black"/>
              </w:rPr>
              <w:t>后果</w:t>
            </w:r>
          </w:p>
        </w:tc>
        <w:tc>
          <w:tcPr>
            <w:tcW w:w="372" w:type="pct"/>
            <w:tcBorders>
              <w:tl2br w:val="nil"/>
              <w:tr2bl w:val="nil"/>
            </w:tcBorders>
            <w:vAlign w:val="center"/>
          </w:tcPr>
          <w:p w14:paraId="0C6225D5">
            <w:pPr>
              <w:spacing w:line="240" w:lineRule="auto"/>
              <w:ind w:firstLine="0" w:firstLineChars="0"/>
              <w:jc w:val="center"/>
              <w:rPr>
                <w:rFonts w:ascii="宋体" w:hAnsi="宋体" w:cs="宋体"/>
                <w:b/>
                <w:bCs/>
                <w:snapToGrid w:val="0"/>
                <w:kern w:val="0"/>
                <w:sz w:val="21"/>
                <w:szCs w:val="21"/>
                <w:highlight w:val="black"/>
              </w:rPr>
            </w:pPr>
            <w:r>
              <w:rPr>
                <w:rFonts w:hint="eastAsia" w:ascii="宋体" w:hAnsi="宋体" w:cs="宋体"/>
                <w:b/>
                <w:bCs/>
                <w:snapToGrid w:val="0"/>
                <w:kern w:val="0"/>
                <w:sz w:val="21"/>
                <w:szCs w:val="21"/>
                <w:highlight w:val="black"/>
              </w:rPr>
              <w:t>危险等级</w:t>
            </w:r>
          </w:p>
        </w:tc>
        <w:tc>
          <w:tcPr>
            <w:tcW w:w="1910" w:type="pct"/>
            <w:tcBorders>
              <w:tl2br w:val="nil"/>
              <w:tr2bl w:val="nil"/>
            </w:tcBorders>
            <w:vAlign w:val="center"/>
          </w:tcPr>
          <w:p w14:paraId="2C52152D">
            <w:pPr>
              <w:spacing w:line="240" w:lineRule="auto"/>
              <w:ind w:firstLine="0" w:firstLineChars="0"/>
              <w:jc w:val="center"/>
              <w:rPr>
                <w:rFonts w:ascii="宋体" w:hAnsi="宋体" w:cs="宋体"/>
                <w:b/>
                <w:bCs/>
                <w:snapToGrid w:val="0"/>
                <w:kern w:val="0"/>
                <w:sz w:val="21"/>
                <w:szCs w:val="21"/>
                <w:highlight w:val="black"/>
              </w:rPr>
            </w:pPr>
            <w:r>
              <w:rPr>
                <w:rFonts w:hint="eastAsia" w:ascii="宋体" w:hAnsi="宋体" w:cs="宋体"/>
                <w:b/>
                <w:bCs/>
                <w:snapToGrid w:val="0"/>
                <w:kern w:val="0"/>
                <w:sz w:val="21"/>
                <w:szCs w:val="21"/>
                <w:highlight w:val="black"/>
              </w:rPr>
              <w:t>对策措施</w:t>
            </w:r>
          </w:p>
        </w:tc>
      </w:tr>
      <w:tr w14:paraId="3A496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l2br w:val="nil"/>
              <w:tr2bl w:val="nil"/>
            </w:tcBorders>
            <w:textDirection w:val="tbRlV"/>
            <w:vAlign w:val="center"/>
          </w:tcPr>
          <w:p w14:paraId="68E40D0F">
            <w:pPr>
              <w:spacing w:line="240" w:lineRule="auto"/>
              <w:ind w:left="113" w:right="113" w:firstLine="0" w:firstLineChars="0"/>
              <w:jc w:val="center"/>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触电</w:t>
            </w:r>
          </w:p>
        </w:tc>
        <w:tc>
          <w:tcPr>
            <w:tcW w:w="1626" w:type="pct"/>
            <w:tcBorders>
              <w:tl2br w:val="nil"/>
              <w:tr2bl w:val="nil"/>
            </w:tcBorders>
            <w:vAlign w:val="center"/>
          </w:tcPr>
          <w:p w14:paraId="0FD5E147">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1.变压器、高压配电柜、供电线路或用电设备漏电。</w:t>
            </w:r>
          </w:p>
          <w:p w14:paraId="1B3018B1">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2.电气保护系统（短路、过负荷、过电压、接地保护）失灵。</w:t>
            </w:r>
          </w:p>
          <w:p w14:paraId="1F30051C">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3. 电工或机电设备操作人员的操作失误，或违章作业等。</w:t>
            </w:r>
          </w:p>
          <w:p w14:paraId="1040CF9A">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4.输电线路绝缘老化或损坏。</w:t>
            </w:r>
          </w:p>
          <w:p w14:paraId="216904EA">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5. 电气设备可能被人触及的裸露带电部分未设置安全防护罩或遮栏及警示牌。</w:t>
            </w:r>
          </w:p>
          <w:p w14:paraId="54EE40CD">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6. 电气设备绝缘失效，保护装置失灵。</w:t>
            </w:r>
          </w:p>
          <w:p w14:paraId="5338D05D">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7．移动电缆和停、切、送电源时，未严格穿戴好高压绝缘手套与绝缘鞋，未使用符合要求的电缆钩。</w:t>
            </w:r>
          </w:p>
        </w:tc>
        <w:tc>
          <w:tcPr>
            <w:tcW w:w="507" w:type="pct"/>
            <w:tcBorders>
              <w:tl2br w:val="nil"/>
              <w:tr2bl w:val="nil"/>
            </w:tcBorders>
            <w:vAlign w:val="center"/>
          </w:tcPr>
          <w:p w14:paraId="459E5C19">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1.人员触电，造成伤亡；设备损坏。</w:t>
            </w:r>
          </w:p>
          <w:p w14:paraId="673FFC87">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2.胶带倒转，导致洒矿、埋人。</w:t>
            </w:r>
          </w:p>
        </w:tc>
        <w:tc>
          <w:tcPr>
            <w:tcW w:w="372" w:type="pct"/>
            <w:tcBorders>
              <w:tl2br w:val="nil"/>
              <w:tr2bl w:val="nil"/>
            </w:tcBorders>
            <w:vAlign w:val="center"/>
          </w:tcPr>
          <w:p w14:paraId="1CC7B1E5">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Ⅱ</w:t>
            </w:r>
          </w:p>
        </w:tc>
        <w:tc>
          <w:tcPr>
            <w:tcW w:w="1910" w:type="pct"/>
            <w:tcBorders>
              <w:tl2br w:val="nil"/>
              <w:tr2bl w:val="nil"/>
            </w:tcBorders>
            <w:vAlign w:val="center"/>
          </w:tcPr>
          <w:p w14:paraId="3400526B">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1.按要求设置合理的电气检漏等保护装置并及时检修。</w:t>
            </w:r>
          </w:p>
          <w:p w14:paraId="0B669D81">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2.经常检查电气保护系统，并加强维护。</w:t>
            </w:r>
          </w:p>
          <w:p w14:paraId="7AB50E0A">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3. 加强电工及机电设备操作人员的培训，严禁违章作业。</w:t>
            </w:r>
          </w:p>
          <w:p w14:paraId="0EE88DF9">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4.及时检查供电线路，及时处理绝缘老化或损坏的缆线，合理地敷设电缆线。</w:t>
            </w:r>
          </w:p>
          <w:p w14:paraId="0A9B3226">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5.对供电线路及时检修，重点检查其接地保护装置以及线路完好情况，发现问题及时处理。</w:t>
            </w:r>
          </w:p>
          <w:p w14:paraId="7EDF811E">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6.加强供电系统的维护，对出现的故障要及时处理。</w:t>
            </w:r>
          </w:p>
          <w:p w14:paraId="5F694745">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7.变电所等场所及易发生火灾的设备配备灭火器。</w:t>
            </w:r>
          </w:p>
          <w:p w14:paraId="64E00725">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8. 经常检查维护电气设备设施，确保保护装置完好。</w:t>
            </w:r>
          </w:p>
          <w:p w14:paraId="017EF18F">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9．移动电缆和停、切、送电源时，严格穿戴好高压绝缘手套与绝缘鞋，使用符合要求的电缆钩。</w:t>
            </w:r>
          </w:p>
          <w:p w14:paraId="7E05A9A0">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11.完善供电系统及电气设备的避雷设施。</w:t>
            </w:r>
          </w:p>
        </w:tc>
      </w:tr>
      <w:tr w14:paraId="27503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l2br w:val="nil"/>
              <w:tr2bl w:val="nil"/>
            </w:tcBorders>
            <w:textDirection w:val="tbRlV"/>
            <w:vAlign w:val="center"/>
          </w:tcPr>
          <w:p w14:paraId="2CC98BFE">
            <w:pPr>
              <w:spacing w:line="240" w:lineRule="auto"/>
              <w:ind w:left="113" w:right="113" w:firstLine="0" w:firstLineChars="0"/>
              <w:jc w:val="center"/>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火灾</w:t>
            </w:r>
          </w:p>
        </w:tc>
        <w:tc>
          <w:tcPr>
            <w:tcW w:w="1626" w:type="pct"/>
            <w:tcBorders>
              <w:tl2br w:val="nil"/>
              <w:tr2bl w:val="nil"/>
            </w:tcBorders>
            <w:vAlign w:val="center"/>
          </w:tcPr>
          <w:p w14:paraId="4B0C6AD6">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1.电气设备短路。</w:t>
            </w:r>
          </w:p>
          <w:p w14:paraId="366B6C3C">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2.设备摩擦产生火花。</w:t>
            </w:r>
          </w:p>
          <w:p w14:paraId="52240121">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3.设备长时间过负荷运行，会产生大量热量，导致内部绝缘损坏。</w:t>
            </w:r>
          </w:p>
          <w:p w14:paraId="4A4C25D4">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4.供电线路绝缘损坏或老化，裸露部位接触可燃物。</w:t>
            </w:r>
          </w:p>
          <w:p w14:paraId="665423DC">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5.燃油设备使用的油类管理不善。</w:t>
            </w:r>
          </w:p>
        </w:tc>
        <w:tc>
          <w:tcPr>
            <w:tcW w:w="507" w:type="pct"/>
            <w:tcBorders>
              <w:tl2br w:val="nil"/>
              <w:tr2bl w:val="nil"/>
            </w:tcBorders>
            <w:vAlign w:val="center"/>
          </w:tcPr>
          <w:p w14:paraId="44F093B3">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人员伤亡 ，设备损坏。</w:t>
            </w:r>
          </w:p>
        </w:tc>
        <w:tc>
          <w:tcPr>
            <w:tcW w:w="372" w:type="pct"/>
            <w:tcBorders>
              <w:tl2br w:val="nil"/>
              <w:tr2bl w:val="nil"/>
            </w:tcBorders>
            <w:vAlign w:val="center"/>
          </w:tcPr>
          <w:p w14:paraId="5C5F1FA1">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Ⅱ</w:t>
            </w:r>
          </w:p>
        </w:tc>
        <w:tc>
          <w:tcPr>
            <w:tcW w:w="1910" w:type="pct"/>
            <w:tcBorders>
              <w:tl2br w:val="nil"/>
              <w:tr2bl w:val="nil"/>
            </w:tcBorders>
            <w:vAlign w:val="center"/>
          </w:tcPr>
          <w:p w14:paraId="484D4904">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1. 安装完善的电气保护系统并经常检修。</w:t>
            </w:r>
          </w:p>
          <w:p w14:paraId="57F6FD03">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2.减少设备摩擦。</w:t>
            </w:r>
          </w:p>
          <w:p w14:paraId="39553EC5">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3. 严禁设备超负荷运行。</w:t>
            </w:r>
          </w:p>
          <w:p w14:paraId="1655EDE0">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4. 对输电线路进行保护，防止被刮碰、挤压，损坏或老化部位要及时修善。</w:t>
            </w:r>
          </w:p>
          <w:p w14:paraId="799369D6">
            <w:pPr>
              <w:spacing w:line="240" w:lineRule="auto"/>
              <w:ind w:firstLine="0" w:firstLineChars="0"/>
              <w:rPr>
                <w:rFonts w:ascii="宋体" w:hAnsi="宋体" w:cs="宋体"/>
                <w:snapToGrid w:val="0"/>
                <w:kern w:val="0"/>
                <w:sz w:val="21"/>
                <w:szCs w:val="21"/>
                <w:highlight w:val="black"/>
              </w:rPr>
            </w:pPr>
            <w:r>
              <w:rPr>
                <w:rFonts w:hint="eastAsia" w:ascii="宋体" w:hAnsi="宋体" w:cs="宋体"/>
                <w:snapToGrid w:val="0"/>
                <w:kern w:val="0"/>
                <w:sz w:val="21"/>
                <w:szCs w:val="21"/>
                <w:highlight w:val="black"/>
              </w:rPr>
              <w:t>5.严格管理燃油设备，油料附近杜绝明火。</w:t>
            </w:r>
          </w:p>
        </w:tc>
      </w:tr>
    </w:tbl>
    <w:p w14:paraId="4A7B5DB2">
      <w:pPr>
        <w:pStyle w:val="4"/>
        <w:ind w:firstLine="0" w:firstLineChars="0"/>
      </w:pPr>
      <w:bookmarkStart w:id="284" w:name="_Toc505723223"/>
      <w:bookmarkStart w:id="285" w:name="_Toc502928921"/>
      <w:bookmarkStart w:id="286" w:name="_Toc502929564"/>
      <w:r>
        <w:rPr>
          <w:rFonts w:hint="eastAsia"/>
        </w:rPr>
        <w:t>3</w:t>
      </w:r>
      <w:r>
        <w:t>.</w:t>
      </w:r>
      <w:r>
        <w:rPr>
          <w:rFonts w:hint="eastAsia"/>
        </w:rPr>
        <w:t>6</w:t>
      </w:r>
      <w:r>
        <w:t>.3评价结果</w:t>
      </w:r>
      <w:bookmarkEnd w:id="284"/>
      <w:bookmarkEnd w:id="285"/>
      <w:bookmarkEnd w:id="286"/>
    </w:p>
    <w:p w14:paraId="79C6410A">
      <w:pPr>
        <w:ind w:firstLine="560"/>
        <w:rPr>
          <w:highlight w:val="black"/>
        </w:rPr>
      </w:pPr>
      <w:r>
        <w:rPr>
          <w:rFonts w:hint="eastAsia"/>
          <w:highlight w:val="black"/>
        </w:rPr>
        <w:t>本次预评价</w:t>
      </w:r>
      <w:r>
        <w:rPr>
          <w:highlight w:val="black"/>
        </w:rPr>
        <w:t>认为</w:t>
      </w:r>
      <w:r>
        <w:rPr>
          <w:rFonts w:hint="eastAsia"/>
          <w:highlight w:val="black"/>
        </w:rPr>
        <w:t>该</w:t>
      </w:r>
      <w:r>
        <w:rPr>
          <w:highlight w:val="black"/>
        </w:rPr>
        <w:t>项目</w:t>
      </w:r>
      <w:r>
        <w:rPr>
          <w:rFonts w:hint="eastAsia"/>
          <w:highlight w:val="black"/>
        </w:rPr>
        <w:t>供配电设计符合相关</w:t>
      </w:r>
      <w:r>
        <w:rPr>
          <w:highlight w:val="black"/>
        </w:rPr>
        <w:t>要求</w:t>
      </w:r>
      <w:r>
        <w:rPr>
          <w:rFonts w:hint="eastAsia"/>
          <w:highlight w:val="black"/>
        </w:rPr>
        <w:t>，企业</w:t>
      </w:r>
      <w:r>
        <w:rPr>
          <w:highlight w:val="black"/>
        </w:rPr>
        <w:t>在施工及以后生产过程中，要严格按设计设置供电线路、配电室及变电所，并定期对电气线路及电气设备进行维护检修，电气作业人员应持有特种作业人员资格证，并且应严格按照电气作业操作规程进行，并杜绝违章作业，同时，作业时佩带必要的劳动防护用品，则能够保证供电系统的安全可靠</w:t>
      </w:r>
      <w:r>
        <w:rPr>
          <w:rFonts w:hint="eastAsia"/>
          <w:highlight w:val="black"/>
        </w:rPr>
        <w:t>性</w:t>
      </w:r>
      <w:r>
        <w:rPr>
          <w:highlight w:val="black"/>
        </w:rPr>
        <w:t>。</w:t>
      </w:r>
    </w:p>
    <w:p w14:paraId="45BA127F">
      <w:pPr>
        <w:pStyle w:val="3"/>
        <w:ind w:firstLine="0" w:firstLineChars="0"/>
      </w:pPr>
      <w:bookmarkStart w:id="287" w:name="_Toc352424830"/>
      <w:bookmarkStart w:id="288" w:name="_Toc56554657"/>
      <w:bookmarkStart w:id="289" w:name="_Toc454915733"/>
      <w:bookmarkStart w:id="290" w:name="_Toc6237"/>
      <w:bookmarkStart w:id="291" w:name="_Toc505723224"/>
      <w:r>
        <w:rPr>
          <w:rFonts w:hint="eastAsia"/>
        </w:rPr>
        <w:t xml:space="preserve">3.7 </w:t>
      </w:r>
      <w:r>
        <w:t>防排水</w:t>
      </w:r>
      <w:r>
        <w:rPr>
          <w:rFonts w:hint="eastAsia"/>
        </w:rPr>
        <w:t>与防灭火</w:t>
      </w:r>
      <w:r>
        <w:t>单元</w:t>
      </w:r>
      <w:bookmarkEnd w:id="287"/>
      <w:bookmarkEnd w:id="288"/>
      <w:bookmarkEnd w:id="289"/>
      <w:bookmarkEnd w:id="290"/>
      <w:bookmarkEnd w:id="291"/>
    </w:p>
    <w:p w14:paraId="0E646157">
      <w:pPr>
        <w:pStyle w:val="41"/>
        <w:keepNext/>
        <w:keepLines/>
        <w:numPr>
          <w:ilvl w:val="1"/>
          <w:numId w:val="7"/>
        </w:numPr>
        <w:spacing w:before="156" w:beforeLines="50" w:line="360" w:lineRule="auto"/>
        <w:ind w:firstLineChars="0"/>
        <w:jc w:val="left"/>
        <w:outlineLvl w:val="2"/>
        <w:rPr>
          <w:rFonts w:ascii="宋体" w:hAnsi="宋体"/>
          <w:snapToGrid w:val="0"/>
          <w:vanish/>
          <w:kern w:val="0"/>
        </w:rPr>
      </w:pPr>
      <w:bookmarkStart w:id="292" w:name="_Toc53310164"/>
      <w:bookmarkEnd w:id="292"/>
      <w:bookmarkStart w:id="293" w:name="_Toc502928923"/>
      <w:bookmarkStart w:id="294" w:name="_Toc502929566"/>
      <w:bookmarkStart w:id="295" w:name="_Toc505723225"/>
    </w:p>
    <w:p w14:paraId="3BF6F9DB">
      <w:pPr>
        <w:pStyle w:val="4"/>
        <w:ind w:firstLine="0" w:firstLineChars="0"/>
      </w:pPr>
      <w:r>
        <w:rPr>
          <w:rFonts w:hint="eastAsia"/>
        </w:rPr>
        <w:t>3</w:t>
      </w:r>
      <w:r>
        <w:t>.</w:t>
      </w:r>
      <w:r>
        <w:rPr>
          <w:rFonts w:hint="eastAsia"/>
        </w:rPr>
        <w:t>7</w:t>
      </w:r>
      <w:r>
        <w:t>.1危险、有害因素的辨识</w:t>
      </w:r>
      <w:bookmarkEnd w:id="293"/>
      <w:bookmarkEnd w:id="294"/>
      <w:bookmarkEnd w:id="295"/>
    </w:p>
    <w:p w14:paraId="0CDC29B1">
      <w:pPr>
        <w:ind w:firstLine="560"/>
        <w:rPr>
          <w:highlight w:val="black"/>
        </w:rPr>
      </w:pPr>
      <w:bookmarkStart w:id="296" w:name="_Toc505723226"/>
      <w:bookmarkStart w:id="297" w:name="_Toc502928924"/>
      <w:bookmarkStart w:id="298" w:name="_Toc502929567"/>
      <w:r>
        <w:rPr>
          <w:rFonts w:hint="eastAsia"/>
          <w:highlight w:val="black"/>
        </w:rPr>
        <w:t>该单元存在的主要危险有害因素有“火灾”“水灾”“淹溺”。</w:t>
      </w:r>
    </w:p>
    <w:p w14:paraId="75382AB0">
      <w:pPr>
        <w:pStyle w:val="4"/>
        <w:ind w:firstLine="0" w:firstLineChars="0"/>
      </w:pPr>
      <w:r>
        <w:rPr>
          <w:rFonts w:hint="eastAsia"/>
        </w:rPr>
        <w:t>3</w:t>
      </w:r>
      <w:r>
        <w:t>.</w:t>
      </w:r>
      <w:r>
        <w:rPr>
          <w:rFonts w:hint="eastAsia"/>
        </w:rPr>
        <w:t>7</w:t>
      </w:r>
      <w:r>
        <w:t>.2防排水单元评价</w:t>
      </w:r>
      <w:bookmarkEnd w:id="296"/>
      <w:bookmarkEnd w:id="297"/>
      <w:bookmarkEnd w:id="298"/>
    </w:p>
    <w:p w14:paraId="06CA9568">
      <w:pPr>
        <w:ind w:firstLine="560"/>
      </w:pPr>
      <w:r>
        <w:t>采用</w:t>
      </w:r>
      <w:r>
        <w:rPr>
          <w:rFonts w:hint="eastAsia"/>
        </w:rPr>
        <w:t>安全检查表</w:t>
      </w:r>
      <w:r>
        <w:t>法对</w:t>
      </w:r>
      <w:r>
        <w:rPr>
          <w:rFonts w:hint="eastAsia"/>
        </w:rPr>
        <w:t>防排水</w:t>
      </w:r>
      <w:r>
        <w:t>单元进行评价，见下表3-</w:t>
      </w:r>
      <w:r>
        <w:rPr>
          <w:rFonts w:hint="eastAsia"/>
        </w:rPr>
        <w:t>11。</w:t>
      </w:r>
    </w:p>
    <w:p w14:paraId="24D266D0">
      <w:pPr>
        <w:spacing w:line="240" w:lineRule="auto"/>
        <w:ind w:firstLine="0" w:firstLineChars="0"/>
        <w:jc w:val="center"/>
        <w:rPr>
          <w:rFonts w:ascii="宋体" w:hAnsi="宋体"/>
          <w:b/>
          <w:bCs/>
          <w:sz w:val="24"/>
        </w:rPr>
      </w:pPr>
      <w:r>
        <w:rPr>
          <w:rFonts w:ascii="宋体" w:hAnsi="宋体"/>
          <w:b/>
          <w:bCs/>
          <w:sz w:val="24"/>
        </w:rPr>
        <w:t>表3</w:t>
      </w:r>
      <w:r>
        <w:rPr>
          <w:rFonts w:hint="eastAsia" w:ascii="宋体" w:hAnsi="宋体"/>
          <w:b/>
          <w:bCs/>
          <w:sz w:val="24"/>
        </w:rPr>
        <w:t>-11 防排水与防灭火</w:t>
      </w:r>
      <w:r>
        <w:rPr>
          <w:rFonts w:ascii="宋体" w:hAnsi="宋体"/>
          <w:b/>
          <w:bCs/>
          <w:sz w:val="24"/>
        </w:rPr>
        <w:t>单元</w:t>
      </w:r>
      <w:r>
        <w:rPr>
          <w:rFonts w:hint="eastAsia" w:ascii="宋体" w:hAnsi="宋体"/>
          <w:b/>
          <w:bCs/>
          <w:sz w:val="24"/>
        </w:rPr>
        <w:t>安全检查表</w:t>
      </w:r>
    </w:p>
    <w:tbl>
      <w:tblPr>
        <w:tblStyle w:val="25"/>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390"/>
        <w:gridCol w:w="1907"/>
        <w:gridCol w:w="2502"/>
        <w:gridCol w:w="878"/>
      </w:tblGrid>
      <w:tr w14:paraId="042C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op w:val="single" w:color="auto" w:sz="12" w:space="0"/>
              <w:left w:val="single" w:color="auto" w:sz="12" w:space="0"/>
              <w:right w:val="single" w:color="auto" w:sz="4" w:space="0"/>
            </w:tcBorders>
            <w:vAlign w:val="center"/>
          </w:tcPr>
          <w:p w14:paraId="36BEFD99">
            <w:pPr>
              <w:spacing w:line="240" w:lineRule="auto"/>
              <w:ind w:firstLine="0" w:firstLineChars="0"/>
              <w:jc w:val="center"/>
              <w:rPr>
                <w:rFonts w:ascii="宋体" w:hAnsi="宋体" w:cs="宋体"/>
                <w:b/>
                <w:bCs/>
                <w:sz w:val="21"/>
                <w:szCs w:val="21"/>
                <w:highlight w:val="black"/>
              </w:rPr>
            </w:pPr>
            <w:bookmarkStart w:id="299" w:name="_Toc502928925"/>
            <w:bookmarkStart w:id="300" w:name="_Toc505723227"/>
            <w:bookmarkStart w:id="301" w:name="_Toc502929568"/>
            <w:r>
              <w:rPr>
                <w:rFonts w:hint="eastAsia" w:ascii="宋体" w:hAnsi="宋体" w:cs="宋体"/>
                <w:b/>
                <w:bCs/>
                <w:sz w:val="21"/>
                <w:szCs w:val="21"/>
                <w:highlight w:val="black"/>
              </w:rPr>
              <w:t>序号</w:t>
            </w:r>
          </w:p>
        </w:tc>
        <w:tc>
          <w:tcPr>
            <w:tcW w:w="3390" w:type="dxa"/>
            <w:tcBorders>
              <w:top w:val="single" w:color="auto" w:sz="12" w:space="0"/>
              <w:left w:val="single" w:color="auto" w:sz="4" w:space="0"/>
              <w:right w:val="single" w:color="auto" w:sz="4" w:space="0"/>
            </w:tcBorders>
            <w:vAlign w:val="center"/>
          </w:tcPr>
          <w:p w14:paraId="5813ADB9">
            <w:pPr>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检查内容</w:t>
            </w:r>
          </w:p>
        </w:tc>
        <w:tc>
          <w:tcPr>
            <w:tcW w:w="1907" w:type="dxa"/>
            <w:tcBorders>
              <w:top w:val="single" w:color="auto" w:sz="12" w:space="0"/>
              <w:left w:val="single" w:color="auto" w:sz="4" w:space="0"/>
              <w:right w:val="single" w:color="auto" w:sz="4" w:space="0"/>
            </w:tcBorders>
            <w:vAlign w:val="center"/>
          </w:tcPr>
          <w:p w14:paraId="05FC7591">
            <w:pPr>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检查依据</w:t>
            </w:r>
          </w:p>
        </w:tc>
        <w:tc>
          <w:tcPr>
            <w:tcW w:w="2502" w:type="dxa"/>
            <w:tcBorders>
              <w:top w:val="single" w:color="auto" w:sz="12" w:space="0"/>
              <w:left w:val="single" w:color="auto" w:sz="4" w:space="0"/>
              <w:right w:val="single" w:color="auto" w:sz="4" w:space="0"/>
            </w:tcBorders>
            <w:vAlign w:val="center"/>
          </w:tcPr>
          <w:p w14:paraId="4136E99B">
            <w:pPr>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检查记录</w:t>
            </w:r>
          </w:p>
        </w:tc>
        <w:tc>
          <w:tcPr>
            <w:tcW w:w="878" w:type="dxa"/>
            <w:tcBorders>
              <w:top w:val="single" w:color="auto" w:sz="12" w:space="0"/>
              <w:left w:val="single" w:color="auto" w:sz="4" w:space="0"/>
              <w:right w:val="single" w:color="auto" w:sz="12" w:space="0"/>
            </w:tcBorders>
            <w:vAlign w:val="center"/>
          </w:tcPr>
          <w:p w14:paraId="72ACC668">
            <w:pPr>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检查</w:t>
            </w:r>
          </w:p>
          <w:p w14:paraId="69448195">
            <w:pPr>
              <w:spacing w:line="240" w:lineRule="auto"/>
              <w:ind w:firstLine="0" w:firstLineChars="0"/>
              <w:jc w:val="center"/>
              <w:rPr>
                <w:rFonts w:ascii="宋体" w:hAnsi="宋体" w:cs="宋体"/>
                <w:b/>
                <w:bCs/>
                <w:sz w:val="21"/>
                <w:szCs w:val="21"/>
                <w:highlight w:val="black"/>
              </w:rPr>
            </w:pPr>
            <w:r>
              <w:rPr>
                <w:rFonts w:hint="eastAsia" w:ascii="宋体" w:hAnsi="宋体" w:cs="宋体"/>
                <w:b/>
                <w:bCs/>
                <w:sz w:val="21"/>
                <w:szCs w:val="21"/>
                <w:highlight w:val="black"/>
              </w:rPr>
              <w:t>结果</w:t>
            </w:r>
          </w:p>
        </w:tc>
      </w:tr>
      <w:tr w14:paraId="05D3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left w:val="single" w:color="auto" w:sz="12" w:space="0"/>
              <w:right w:val="single" w:color="auto" w:sz="4" w:space="0"/>
            </w:tcBorders>
            <w:vAlign w:val="center"/>
          </w:tcPr>
          <w:p w14:paraId="2E4ADD1B">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1</w:t>
            </w:r>
          </w:p>
        </w:tc>
        <w:tc>
          <w:tcPr>
            <w:tcW w:w="3390" w:type="dxa"/>
            <w:tcBorders>
              <w:left w:val="single" w:color="auto" w:sz="4" w:space="0"/>
              <w:right w:val="single" w:color="auto" w:sz="4" w:space="0"/>
            </w:tcBorders>
            <w:vAlign w:val="center"/>
          </w:tcPr>
          <w:p w14:paraId="091112EE">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每年雨季前矿山应组织1次防水检査，并编制防水计划，防水工程应在雨季前竣工。</w:t>
            </w:r>
          </w:p>
        </w:tc>
        <w:tc>
          <w:tcPr>
            <w:tcW w:w="1907" w:type="dxa"/>
            <w:tcBorders>
              <w:left w:val="single" w:color="auto" w:sz="4" w:space="0"/>
              <w:right w:val="single" w:color="auto" w:sz="4" w:space="0"/>
            </w:tcBorders>
            <w:vAlign w:val="center"/>
          </w:tcPr>
          <w:p w14:paraId="6F0FD7D3">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GB16423-2020《金属非金属矿山安全规程》</w:t>
            </w:r>
          </w:p>
          <w:p w14:paraId="4DD7AFAA">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第6.8.2.2条</w:t>
            </w:r>
          </w:p>
        </w:tc>
        <w:tc>
          <w:tcPr>
            <w:tcW w:w="2502" w:type="dxa"/>
            <w:tcBorders>
              <w:left w:val="single" w:color="auto" w:sz="4" w:space="0"/>
              <w:right w:val="single" w:color="auto" w:sz="4" w:space="0"/>
            </w:tcBorders>
            <w:vAlign w:val="center"/>
          </w:tcPr>
          <w:p w14:paraId="667AE9E4">
            <w:pPr>
              <w:adjustRightInd w:val="0"/>
              <w:snapToGrid w:val="0"/>
              <w:spacing w:line="240" w:lineRule="auto"/>
              <w:ind w:firstLine="0" w:firstLineChars="0"/>
              <w:jc w:val="left"/>
              <w:rPr>
                <w:rFonts w:hint="default" w:ascii="宋体" w:hAnsi="宋体" w:eastAsia="宋体" w:cs="宋体"/>
                <w:sz w:val="21"/>
                <w:szCs w:val="21"/>
                <w:highlight w:val="black"/>
                <w:lang w:val="en-US" w:eastAsia="zh-CN"/>
              </w:rPr>
            </w:pPr>
            <w:r>
              <w:rPr>
                <w:rFonts w:hint="eastAsia" w:ascii="宋体" w:hAnsi="宋体" w:cs="宋体"/>
                <w:sz w:val="21"/>
                <w:szCs w:val="21"/>
                <w:highlight w:val="black"/>
              </w:rPr>
              <w:t>《可研报告》</w:t>
            </w:r>
            <w:r>
              <w:rPr>
                <w:rFonts w:hint="eastAsia" w:ascii="宋体" w:hAnsi="宋体" w:cs="宋体"/>
                <w:sz w:val="21"/>
                <w:szCs w:val="21"/>
                <w:highlight w:val="black"/>
                <w:lang w:val="en-US" w:eastAsia="zh-CN"/>
              </w:rPr>
              <w:t>中未提及。</w:t>
            </w:r>
          </w:p>
        </w:tc>
        <w:tc>
          <w:tcPr>
            <w:tcW w:w="878" w:type="dxa"/>
            <w:tcBorders>
              <w:left w:val="single" w:color="auto" w:sz="4" w:space="0"/>
              <w:right w:val="single" w:color="auto" w:sz="12" w:space="0"/>
            </w:tcBorders>
            <w:vAlign w:val="center"/>
          </w:tcPr>
          <w:p w14:paraId="146BC791">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lang w:val="en-US" w:eastAsia="zh-CN"/>
              </w:rPr>
              <w:t>不</w:t>
            </w:r>
            <w:r>
              <w:rPr>
                <w:rFonts w:hint="eastAsia" w:ascii="宋体" w:hAnsi="宋体" w:cs="宋体"/>
                <w:sz w:val="21"/>
                <w:szCs w:val="21"/>
                <w:highlight w:val="black"/>
              </w:rPr>
              <w:t>符合</w:t>
            </w:r>
          </w:p>
        </w:tc>
      </w:tr>
      <w:tr w14:paraId="4725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724" w:type="dxa"/>
            <w:tcBorders>
              <w:left w:val="single" w:color="auto" w:sz="12" w:space="0"/>
              <w:right w:val="single" w:color="auto" w:sz="4" w:space="0"/>
            </w:tcBorders>
            <w:vAlign w:val="center"/>
          </w:tcPr>
          <w:p w14:paraId="27F40D83">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2</w:t>
            </w:r>
          </w:p>
        </w:tc>
        <w:tc>
          <w:tcPr>
            <w:tcW w:w="3390" w:type="dxa"/>
            <w:tcBorders>
              <w:left w:val="single" w:color="auto" w:sz="4" w:space="0"/>
              <w:right w:val="single" w:color="auto" w:sz="4" w:space="0"/>
            </w:tcBorders>
            <w:vAlign w:val="center"/>
          </w:tcPr>
          <w:p w14:paraId="58B724D8">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竖井、平硐等井口标高要高于当地历史最高洪水水位1m以上，特殊情况下达不到要求的，要以历史最高洪水位为标准修筑防洪堤，在井口必须筑人工岛，使井口高于最高洪水位1m以上。</w:t>
            </w:r>
          </w:p>
        </w:tc>
        <w:tc>
          <w:tcPr>
            <w:tcW w:w="1907" w:type="dxa"/>
            <w:tcBorders>
              <w:left w:val="single" w:color="auto" w:sz="4" w:space="0"/>
              <w:right w:val="single" w:color="auto" w:sz="4" w:space="0"/>
            </w:tcBorders>
            <w:vAlign w:val="center"/>
          </w:tcPr>
          <w:p w14:paraId="050D4C89">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GB16423-2020《金属非金属矿山安全规程》</w:t>
            </w:r>
          </w:p>
          <w:p w14:paraId="6A3DE3FB">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第6.8.2.3条</w:t>
            </w:r>
          </w:p>
        </w:tc>
        <w:tc>
          <w:tcPr>
            <w:tcW w:w="2502" w:type="dxa"/>
            <w:tcBorders>
              <w:left w:val="single" w:color="auto" w:sz="4" w:space="0"/>
              <w:right w:val="single" w:color="auto" w:sz="4" w:space="0"/>
            </w:tcBorders>
            <w:vAlign w:val="center"/>
          </w:tcPr>
          <w:p w14:paraId="63600792">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所有设计的地表井口标高均高于当地历史最高洪水水位1m以上，详见总体布置单元。</w:t>
            </w:r>
          </w:p>
        </w:tc>
        <w:tc>
          <w:tcPr>
            <w:tcW w:w="878" w:type="dxa"/>
            <w:tcBorders>
              <w:left w:val="single" w:color="auto" w:sz="4" w:space="0"/>
              <w:right w:val="single" w:color="auto" w:sz="12" w:space="0"/>
            </w:tcBorders>
            <w:vAlign w:val="center"/>
          </w:tcPr>
          <w:p w14:paraId="760F61C0">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符合</w:t>
            </w:r>
          </w:p>
        </w:tc>
      </w:tr>
      <w:tr w14:paraId="0BA4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left w:val="single" w:color="auto" w:sz="12" w:space="0"/>
              <w:right w:val="single" w:color="auto" w:sz="4" w:space="0"/>
            </w:tcBorders>
            <w:vAlign w:val="center"/>
          </w:tcPr>
          <w:p w14:paraId="10D104B1">
            <w:pPr>
              <w:spacing w:line="240" w:lineRule="auto"/>
              <w:ind w:firstLine="0" w:firstLineChars="0"/>
              <w:jc w:val="center"/>
              <w:rPr>
                <w:rFonts w:hint="eastAsia" w:ascii="宋体" w:hAnsi="宋体" w:eastAsia="宋体" w:cs="宋体"/>
                <w:sz w:val="21"/>
                <w:szCs w:val="21"/>
                <w:highlight w:val="black"/>
                <w:lang w:eastAsia="zh-CN"/>
              </w:rPr>
            </w:pPr>
            <w:r>
              <w:rPr>
                <w:rFonts w:hint="eastAsia" w:ascii="宋体" w:hAnsi="宋体" w:cs="宋体"/>
                <w:sz w:val="21"/>
                <w:szCs w:val="21"/>
                <w:highlight w:val="black"/>
                <w:lang w:val="en-US" w:eastAsia="zh-CN"/>
              </w:rPr>
              <w:t>3</w:t>
            </w:r>
          </w:p>
        </w:tc>
        <w:tc>
          <w:tcPr>
            <w:tcW w:w="3390" w:type="dxa"/>
            <w:tcBorders>
              <w:left w:val="single" w:color="auto" w:sz="4" w:space="0"/>
              <w:right w:val="single" w:color="auto" w:sz="4" w:space="0"/>
            </w:tcBorders>
            <w:vAlign w:val="center"/>
          </w:tcPr>
          <w:p w14:paraId="3DADC6A7">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井下主要排水设备，至少应由同类型的三台泵组成。工作水泵应能在20h内排出一昼夜的正常涌水量；</w:t>
            </w:r>
            <w:r>
              <w:rPr>
                <w:rFonts w:hint="eastAsia" w:ascii="宋体" w:hAnsi="宋体" w:cs="宋体"/>
                <w:sz w:val="21"/>
                <w:szCs w:val="21"/>
                <w:highlight w:val="black"/>
                <w:lang w:val="en-US" w:eastAsia="zh-CN"/>
              </w:rPr>
              <w:t>工作水泵和备用水泵</w:t>
            </w:r>
            <w:r>
              <w:rPr>
                <w:rFonts w:hint="eastAsia" w:ascii="宋体" w:hAnsi="宋体" w:cs="宋体"/>
                <w:sz w:val="21"/>
                <w:szCs w:val="21"/>
                <w:highlight w:val="black"/>
              </w:rPr>
              <w:t>应能在20h内排出一昼夜的</w:t>
            </w:r>
            <w:r>
              <w:rPr>
                <w:rFonts w:hint="eastAsia" w:ascii="宋体" w:hAnsi="宋体" w:cs="宋体"/>
                <w:sz w:val="21"/>
                <w:szCs w:val="21"/>
                <w:highlight w:val="black"/>
                <w:lang w:val="en-US" w:eastAsia="zh-CN"/>
              </w:rPr>
              <w:t>设计最大排水量</w:t>
            </w:r>
            <w:r>
              <w:rPr>
                <w:rFonts w:hint="eastAsia" w:ascii="宋体" w:hAnsi="宋体" w:cs="宋体"/>
                <w:sz w:val="21"/>
                <w:szCs w:val="21"/>
                <w:highlight w:val="black"/>
              </w:rPr>
              <w:t>。</w:t>
            </w:r>
          </w:p>
        </w:tc>
        <w:tc>
          <w:tcPr>
            <w:tcW w:w="1907" w:type="dxa"/>
            <w:tcBorders>
              <w:left w:val="single" w:color="auto" w:sz="4" w:space="0"/>
              <w:right w:val="single" w:color="auto" w:sz="4" w:space="0"/>
            </w:tcBorders>
            <w:vAlign w:val="center"/>
          </w:tcPr>
          <w:p w14:paraId="4EAAD207">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GB16423-2020《金属非金属矿山安全规程》</w:t>
            </w:r>
          </w:p>
          <w:p w14:paraId="0A483CD3">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第6.8.4.3条</w:t>
            </w:r>
          </w:p>
        </w:tc>
        <w:tc>
          <w:tcPr>
            <w:tcW w:w="2502" w:type="dxa"/>
            <w:tcBorders>
              <w:left w:val="single" w:color="auto" w:sz="4" w:space="0"/>
              <w:right w:val="single" w:color="auto" w:sz="4" w:space="0"/>
            </w:tcBorders>
            <w:vAlign w:val="center"/>
          </w:tcPr>
          <w:p w14:paraId="10521BCF">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《可研报告》明确，井下泵站的排水设备，满足规程要求。</w:t>
            </w:r>
          </w:p>
        </w:tc>
        <w:tc>
          <w:tcPr>
            <w:tcW w:w="878" w:type="dxa"/>
            <w:tcBorders>
              <w:left w:val="single" w:color="auto" w:sz="4" w:space="0"/>
              <w:right w:val="single" w:color="auto" w:sz="12" w:space="0"/>
            </w:tcBorders>
            <w:vAlign w:val="center"/>
          </w:tcPr>
          <w:p w14:paraId="39018DAC">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符合</w:t>
            </w:r>
          </w:p>
        </w:tc>
      </w:tr>
      <w:tr w14:paraId="4DA7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left w:val="single" w:color="auto" w:sz="12" w:space="0"/>
              <w:right w:val="single" w:color="auto" w:sz="4" w:space="0"/>
            </w:tcBorders>
            <w:vAlign w:val="center"/>
          </w:tcPr>
          <w:p w14:paraId="4A46E3F5">
            <w:pPr>
              <w:spacing w:line="240" w:lineRule="auto"/>
              <w:ind w:firstLine="0" w:firstLineChars="0"/>
              <w:jc w:val="center"/>
              <w:rPr>
                <w:rFonts w:hint="eastAsia" w:ascii="宋体" w:hAnsi="宋体" w:eastAsia="宋体" w:cs="宋体"/>
                <w:sz w:val="21"/>
                <w:szCs w:val="21"/>
                <w:highlight w:val="black"/>
                <w:lang w:eastAsia="zh-CN"/>
              </w:rPr>
            </w:pPr>
            <w:r>
              <w:rPr>
                <w:rFonts w:hint="eastAsia" w:ascii="宋体" w:hAnsi="宋体" w:cs="宋体"/>
                <w:sz w:val="21"/>
                <w:szCs w:val="21"/>
                <w:highlight w:val="black"/>
                <w:lang w:val="en-US" w:eastAsia="zh-CN"/>
              </w:rPr>
              <w:t>4</w:t>
            </w:r>
          </w:p>
        </w:tc>
        <w:tc>
          <w:tcPr>
            <w:tcW w:w="3390" w:type="dxa"/>
            <w:tcBorders>
              <w:left w:val="single" w:color="auto" w:sz="4" w:space="0"/>
              <w:right w:val="single" w:color="auto" w:sz="4" w:space="0"/>
            </w:tcBorders>
            <w:vAlign w:val="center"/>
          </w:tcPr>
          <w:p w14:paraId="1CA41A34">
            <w:pPr>
              <w:adjustRightInd w:val="0"/>
              <w:snapToGrid w:val="0"/>
              <w:spacing w:line="240" w:lineRule="auto"/>
              <w:ind w:firstLine="0" w:firstLineChars="0"/>
              <w:jc w:val="left"/>
              <w:rPr>
                <w:rFonts w:hint="eastAsia" w:ascii="宋体" w:hAnsi="宋体" w:eastAsia="宋体" w:cs="宋体"/>
                <w:sz w:val="21"/>
                <w:szCs w:val="21"/>
                <w:highlight w:val="black"/>
                <w:lang w:eastAsia="zh-CN"/>
              </w:rPr>
            </w:pPr>
            <w:r>
              <w:rPr>
                <w:rFonts w:hint="eastAsia" w:ascii="宋体" w:hAnsi="宋体" w:cs="宋体"/>
                <w:sz w:val="21"/>
                <w:szCs w:val="21"/>
                <w:highlight w:val="black"/>
              </w:rPr>
              <w:t>井下最低中段的主水聚房出口不少于两个一个通往中段巷道并装设防水门；另一个在水聚房地面7m以上与安全出口连通，或者直接通达上一水平。水系房地面应至少高出水系房入口处巷道底板0.5m</w:t>
            </w:r>
            <w:r>
              <w:rPr>
                <w:rFonts w:hint="eastAsia" w:ascii="宋体" w:hAnsi="宋体" w:cs="宋体"/>
                <w:sz w:val="21"/>
                <w:szCs w:val="21"/>
                <w:highlight w:val="black"/>
                <w:lang w:eastAsia="zh-CN"/>
              </w:rPr>
              <w:t>。</w:t>
            </w:r>
          </w:p>
        </w:tc>
        <w:tc>
          <w:tcPr>
            <w:tcW w:w="1907" w:type="dxa"/>
            <w:tcBorders>
              <w:left w:val="single" w:color="auto" w:sz="4" w:space="0"/>
              <w:right w:val="single" w:color="auto" w:sz="4" w:space="0"/>
            </w:tcBorders>
            <w:vAlign w:val="center"/>
          </w:tcPr>
          <w:p w14:paraId="5E8DFB74">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GB16423-2020《金属非金属矿山安全规程》</w:t>
            </w:r>
          </w:p>
          <w:p w14:paraId="07F484AF">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第6.8.4.2条</w:t>
            </w:r>
          </w:p>
        </w:tc>
        <w:tc>
          <w:tcPr>
            <w:tcW w:w="2502" w:type="dxa"/>
            <w:tcBorders>
              <w:left w:val="single" w:color="auto" w:sz="4" w:space="0"/>
              <w:right w:val="single" w:color="auto" w:sz="4" w:space="0"/>
            </w:tcBorders>
            <w:vAlign w:val="center"/>
          </w:tcPr>
          <w:p w14:paraId="4A92E47F">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《可研报告》明确，井下泵房符合要求。</w:t>
            </w:r>
          </w:p>
        </w:tc>
        <w:tc>
          <w:tcPr>
            <w:tcW w:w="878" w:type="dxa"/>
            <w:tcBorders>
              <w:left w:val="single" w:color="auto" w:sz="4" w:space="0"/>
              <w:right w:val="single" w:color="auto" w:sz="12" w:space="0"/>
            </w:tcBorders>
            <w:vAlign w:val="center"/>
          </w:tcPr>
          <w:p w14:paraId="0054BB73">
            <w:pPr>
              <w:spacing w:line="240" w:lineRule="auto"/>
              <w:ind w:firstLine="0" w:firstLineChars="0"/>
              <w:jc w:val="center"/>
              <w:rPr>
                <w:rFonts w:ascii="宋体" w:hAnsi="宋体" w:cs="宋体"/>
                <w:sz w:val="21"/>
                <w:szCs w:val="21"/>
                <w:highlight w:val="black"/>
              </w:rPr>
            </w:pPr>
            <w:r>
              <w:rPr>
                <w:rFonts w:hint="eastAsia" w:ascii="宋体" w:hAnsi="宋体" w:cs="宋体"/>
                <w:sz w:val="21"/>
                <w:szCs w:val="21"/>
                <w:highlight w:val="black"/>
              </w:rPr>
              <w:t>符合</w:t>
            </w:r>
          </w:p>
        </w:tc>
      </w:tr>
      <w:tr w14:paraId="65F5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left w:val="single" w:color="auto" w:sz="12" w:space="0"/>
              <w:right w:val="single" w:color="auto" w:sz="4" w:space="0"/>
            </w:tcBorders>
            <w:vAlign w:val="center"/>
          </w:tcPr>
          <w:p w14:paraId="3C4B322F">
            <w:pPr>
              <w:pStyle w:val="42"/>
              <w:spacing w:line="240" w:lineRule="auto"/>
              <w:ind w:firstLine="0" w:firstLineChars="0"/>
              <w:jc w:val="center"/>
              <w:rPr>
                <w:rFonts w:hint="eastAsia" w:eastAsia="宋体" w:cs="宋体"/>
                <w:sz w:val="21"/>
                <w:szCs w:val="21"/>
                <w:highlight w:val="black"/>
                <w:lang w:eastAsia="zh-CN"/>
              </w:rPr>
            </w:pPr>
            <w:r>
              <w:rPr>
                <w:rFonts w:hint="eastAsia" w:cs="宋体"/>
                <w:sz w:val="21"/>
                <w:szCs w:val="21"/>
                <w:highlight w:val="black"/>
                <w:lang w:val="en-US" w:eastAsia="zh-CN"/>
              </w:rPr>
              <w:t>5</w:t>
            </w:r>
          </w:p>
        </w:tc>
        <w:tc>
          <w:tcPr>
            <w:tcW w:w="3390" w:type="dxa"/>
            <w:tcBorders>
              <w:left w:val="single" w:color="auto" w:sz="4" w:space="0"/>
              <w:right w:val="single" w:color="auto" w:sz="4" w:space="0"/>
            </w:tcBorders>
            <w:vAlign w:val="center"/>
          </w:tcPr>
          <w:p w14:paraId="2BD106AC">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木材厂、有自然发火危险的排土场、炉渣场，应布置在进风口常年最小频率风向的上风侧80m以外。</w:t>
            </w:r>
          </w:p>
        </w:tc>
        <w:tc>
          <w:tcPr>
            <w:tcW w:w="1907" w:type="dxa"/>
            <w:tcBorders>
              <w:left w:val="single" w:color="auto" w:sz="4" w:space="0"/>
              <w:right w:val="single" w:color="auto" w:sz="4" w:space="0"/>
            </w:tcBorders>
            <w:vAlign w:val="center"/>
          </w:tcPr>
          <w:p w14:paraId="0CF9C6E9">
            <w:pPr>
              <w:pStyle w:val="42"/>
              <w:adjustRightInd w:val="0"/>
              <w:snapToGrid w:val="0"/>
              <w:spacing w:line="240" w:lineRule="auto"/>
              <w:ind w:firstLine="0" w:firstLineChars="0"/>
              <w:jc w:val="center"/>
              <w:rPr>
                <w:rFonts w:cs="宋体"/>
                <w:sz w:val="21"/>
                <w:szCs w:val="21"/>
                <w:highlight w:val="black"/>
              </w:rPr>
            </w:pPr>
            <w:r>
              <w:rPr>
                <w:rFonts w:hint="eastAsia" w:cs="宋体"/>
                <w:sz w:val="21"/>
                <w:szCs w:val="21"/>
                <w:highlight w:val="black"/>
              </w:rPr>
              <w:t>GB16423-2020《金属非金属矿山安全规程》</w:t>
            </w:r>
          </w:p>
          <w:p w14:paraId="655084A0">
            <w:pPr>
              <w:pStyle w:val="42"/>
              <w:adjustRightInd w:val="0"/>
              <w:snapToGrid w:val="0"/>
              <w:spacing w:line="240" w:lineRule="auto"/>
              <w:ind w:firstLine="0" w:firstLineChars="0"/>
              <w:jc w:val="center"/>
              <w:rPr>
                <w:rFonts w:cs="宋体"/>
                <w:sz w:val="21"/>
                <w:szCs w:val="21"/>
                <w:highlight w:val="black"/>
              </w:rPr>
            </w:pPr>
            <w:r>
              <w:rPr>
                <w:rFonts w:hint="eastAsia" w:cs="宋体"/>
                <w:sz w:val="21"/>
                <w:szCs w:val="21"/>
                <w:highlight w:val="black"/>
              </w:rPr>
              <w:t>第6.9.1.6条</w:t>
            </w:r>
          </w:p>
        </w:tc>
        <w:tc>
          <w:tcPr>
            <w:tcW w:w="2502" w:type="dxa"/>
            <w:tcBorders>
              <w:left w:val="single" w:color="auto" w:sz="4" w:space="0"/>
              <w:right w:val="single" w:color="auto" w:sz="4" w:space="0"/>
            </w:tcBorders>
            <w:vAlign w:val="center"/>
          </w:tcPr>
          <w:p w14:paraId="5CFCDFDD">
            <w:pPr>
              <w:pStyle w:val="42"/>
              <w:adjustRightInd w:val="0"/>
              <w:snapToGrid w:val="0"/>
              <w:spacing w:line="240" w:lineRule="auto"/>
              <w:ind w:firstLine="0" w:firstLineChars="0"/>
              <w:rPr>
                <w:rFonts w:hint="eastAsia" w:eastAsia="宋体" w:cs="宋体"/>
                <w:sz w:val="21"/>
                <w:szCs w:val="21"/>
                <w:highlight w:val="black"/>
                <w:lang w:eastAsia="zh-CN"/>
              </w:rPr>
            </w:pPr>
            <w:r>
              <w:rPr>
                <w:rFonts w:hint="eastAsia" w:cs="宋体"/>
                <w:sz w:val="21"/>
                <w:szCs w:val="21"/>
                <w:highlight w:val="black"/>
                <w:lang w:val="en-US" w:eastAsia="zh-CN"/>
              </w:rPr>
              <w:t>不涉及。</w:t>
            </w:r>
          </w:p>
        </w:tc>
        <w:tc>
          <w:tcPr>
            <w:tcW w:w="878" w:type="dxa"/>
            <w:tcBorders>
              <w:left w:val="single" w:color="auto" w:sz="4" w:space="0"/>
              <w:right w:val="single" w:color="auto" w:sz="12" w:space="0"/>
            </w:tcBorders>
            <w:vAlign w:val="center"/>
          </w:tcPr>
          <w:p w14:paraId="6C251725">
            <w:pPr>
              <w:pStyle w:val="42"/>
              <w:spacing w:line="240" w:lineRule="auto"/>
              <w:ind w:firstLine="0" w:firstLineChars="0"/>
              <w:jc w:val="center"/>
              <w:rPr>
                <w:rFonts w:hint="eastAsia" w:eastAsia="宋体" w:cs="宋体"/>
                <w:sz w:val="21"/>
                <w:szCs w:val="21"/>
                <w:highlight w:val="black"/>
                <w:lang w:eastAsia="zh-CN"/>
              </w:rPr>
            </w:pPr>
            <w:r>
              <w:rPr>
                <w:rFonts w:hint="eastAsia" w:cs="宋体"/>
                <w:sz w:val="21"/>
                <w:szCs w:val="21"/>
                <w:highlight w:val="black"/>
                <w:lang w:val="en-US" w:eastAsia="zh-CN"/>
              </w:rPr>
              <w:t>不涉及</w:t>
            </w:r>
          </w:p>
        </w:tc>
      </w:tr>
      <w:tr w14:paraId="1234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tcBorders>
              <w:left w:val="single" w:color="auto" w:sz="12" w:space="0"/>
              <w:right w:val="single" w:color="auto" w:sz="4" w:space="0"/>
            </w:tcBorders>
            <w:vAlign w:val="center"/>
          </w:tcPr>
          <w:p w14:paraId="24030C1C">
            <w:pPr>
              <w:pStyle w:val="42"/>
              <w:spacing w:line="240" w:lineRule="auto"/>
              <w:ind w:firstLine="0" w:firstLineChars="0"/>
              <w:jc w:val="center"/>
              <w:rPr>
                <w:rFonts w:hint="eastAsia" w:eastAsia="宋体" w:cs="宋体"/>
                <w:sz w:val="21"/>
                <w:szCs w:val="21"/>
                <w:highlight w:val="black"/>
                <w:lang w:eastAsia="zh-CN"/>
              </w:rPr>
            </w:pPr>
            <w:r>
              <w:rPr>
                <w:rFonts w:hint="eastAsia" w:cs="宋体"/>
                <w:sz w:val="21"/>
                <w:szCs w:val="21"/>
                <w:highlight w:val="black"/>
                <w:lang w:val="en-US" w:eastAsia="zh-CN"/>
              </w:rPr>
              <w:t>6</w:t>
            </w:r>
          </w:p>
        </w:tc>
        <w:tc>
          <w:tcPr>
            <w:tcW w:w="3390" w:type="dxa"/>
            <w:tcBorders>
              <w:left w:val="single" w:color="auto" w:sz="4" w:space="0"/>
              <w:right w:val="single" w:color="auto" w:sz="4" w:space="0"/>
            </w:tcBorders>
            <w:vAlign w:val="center"/>
          </w:tcPr>
          <w:p w14:paraId="6E89D7D3">
            <w:pPr>
              <w:pStyle w:val="42"/>
              <w:adjustRightInd w:val="0"/>
              <w:snapToGrid w:val="0"/>
              <w:spacing w:line="240" w:lineRule="auto"/>
              <w:ind w:firstLine="0" w:firstLineChars="0"/>
              <w:rPr>
                <w:rFonts w:ascii="宋体" w:hAnsi="宋体" w:cs="宋体"/>
                <w:sz w:val="21"/>
                <w:szCs w:val="21"/>
                <w:highlight w:val="black"/>
              </w:rPr>
            </w:pPr>
            <w:r>
              <w:rPr>
                <w:rFonts w:hint="eastAsia" w:cs="宋体"/>
                <w:sz w:val="21"/>
                <w:szCs w:val="21"/>
                <w:highlight w:val="black"/>
              </w:rPr>
              <w:t>进风井巷空气温度应不低于2℃；低于2℃时，应有空气加热设施，不应采用明火直接加热进入矿井的空气</w:t>
            </w:r>
          </w:p>
        </w:tc>
        <w:tc>
          <w:tcPr>
            <w:tcW w:w="1907" w:type="dxa"/>
            <w:tcBorders>
              <w:left w:val="single" w:color="auto" w:sz="4" w:space="0"/>
              <w:right w:val="single" w:color="auto" w:sz="4" w:space="0"/>
            </w:tcBorders>
            <w:vAlign w:val="center"/>
          </w:tcPr>
          <w:p w14:paraId="3929B0A4">
            <w:pPr>
              <w:pStyle w:val="42"/>
              <w:adjustRightInd w:val="0"/>
              <w:snapToGrid w:val="0"/>
              <w:spacing w:line="240" w:lineRule="auto"/>
              <w:ind w:firstLine="0" w:firstLineChars="0"/>
              <w:jc w:val="center"/>
              <w:rPr>
                <w:rFonts w:cs="宋体"/>
                <w:sz w:val="21"/>
                <w:szCs w:val="21"/>
                <w:highlight w:val="black"/>
              </w:rPr>
            </w:pPr>
            <w:r>
              <w:rPr>
                <w:rFonts w:hint="eastAsia" w:cs="宋体"/>
                <w:sz w:val="21"/>
                <w:szCs w:val="21"/>
                <w:highlight w:val="black"/>
              </w:rPr>
              <w:t>GB16423-2020《金属非金属矿山安全规程》</w:t>
            </w:r>
          </w:p>
          <w:p w14:paraId="0F6A4824">
            <w:pPr>
              <w:pStyle w:val="42"/>
              <w:adjustRightInd w:val="0"/>
              <w:snapToGrid w:val="0"/>
              <w:spacing w:line="240" w:lineRule="auto"/>
              <w:ind w:firstLine="0" w:firstLineChars="0"/>
              <w:jc w:val="center"/>
              <w:rPr>
                <w:rFonts w:cs="宋体"/>
                <w:sz w:val="21"/>
                <w:szCs w:val="21"/>
                <w:highlight w:val="black"/>
              </w:rPr>
            </w:pPr>
            <w:r>
              <w:rPr>
                <w:rFonts w:hint="eastAsia" w:cs="宋体"/>
                <w:sz w:val="21"/>
                <w:szCs w:val="21"/>
                <w:highlight w:val="black"/>
              </w:rPr>
              <w:t>第</w:t>
            </w:r>
            <w:r>
              <w:rPr>
                <w:rFonts w:hint="eastAsia" w:cs="宋体"/>
                <w:sz w:val="21"/>
                <w:szCs w:val="21"/>
                <w:highlight w:val="black"/>
                <w:lang w:val="en-US" w:eastAsia="zh-CN"/>
              </w:rPr>
              <w:t>6.6.1.5</w:t>
            </w:r>
            <w:r>
              <w:rPr>
                <w:rFonts w:hint="eastAsia" w:cs="宋体"/>
                <w:sz w:val="21"/>
                <w:szCs w:val="21"/>
                <w:highlight w:val="black"/>
              </w:rPr>
              <w:t>条</w:t>
            </w:r>
          </w:p>
        </w:tc>
        <w:tc>
          <w:tcPr>
            <w:tcW w:w="2502" w:type="dxa"/>
            <w:tcBorders>
              <w:left w:val="single" w:color="auto" w:sz="4" w:space="0"/>
              <w:right w:val="single" w:color="auto" w:sz="4" w:space="0"/>
            </w:tcBorders>
            <w:vAlign w:val="center"/>
          </w:tcPr>
          <w:p w14:paraId="7B5E4845">
            <w:pPr>
              <w:pStyle w:val="42"/>
              <w:adjustRightInd w:val="0"/>
              <w:snapToGrid w:val="0"/>
              <w:spacing w:line="240" w:lineRule="auto"/>
              <w:ind w:firstLine="0" w:firstLineChars="0"/>
              <w:rPr>
                <w:rFonts w:hint="eastAsia" w:cs="宋体"/>
                <w:sz w:val="21"/>
                <w:szCs w:val="21"/>
                <w:highlight w:val="black"/>
              </w:rPr>
            </w:pPr>
            <w:r>
              <w:rPr>
                <w:rFonts w:hint="eastAsia" w:cs="宋体"/>
                <w:sz w:val="21"/>
                <w:szCs w:val="21"/>
                <w:highlight w:val="black"/>
              </w:rPr>
              <w:t>《可研报告》</w:t>
            </w:r>
            <w:r>
              <w:rPr>
                <w:rFonts w:hint="eastAsia" w:cs="宋体"/>
                <w:sz w:val="21"/>
                <w:szCs w:val="21"/>
                <w:highlight w:val="black"/>
                <w:lang w:val="en-US" w:eastAsia="zh-CN"/>
              </w:rPr>
              <w:t>采用</w:t>
            </w:r>
            <w:r>
              <w:rPr>
                <w:rFonts w:hint="eastAsia" w:cs="宋体"/>
                <w:sz w:val="21"/>
                <w:szCs w:val="21"/>
                <w:highlight w:val="black"/>
              </w:rPr>
              <w:t>矿用远红外热风机组与空气压缩机余热混合加热来调节矿井进风的温度。</w:t>
            </w:r>
          </w:p>
          <w:p w14:paraId="6B076BEF">
            <w:pPr>
              <w:pStyle w:val="42"/>
              <w:adjustRightInd w:val="0"/>
              <w:snapToGrid w:val="0"/>
              <w:spacing w:line="240" w:lineRule="auto"/>
              <w:ind w:firstLine="0" w:firstLineChars="0"/>
              <w:rPr>
                <w:rFonts w:cs="宋体"/>
                <w:sz w:val="21"/>
                <w:szCs w:val="21"/>
                <w:highlight w:val="black"/>
              </w:rPr>
            </w:pPr>
          </w:p>
        </w:tc>
        <w:tc>
          <w:tcPr>
            <w:tcW w:w="878" w:type="dxa"/>
            <w:tcBorders>
              <w:left w:val="single" w:color="auto" w:sz="4" w:space="0"/>
              <w:right w:val="single" w:color="auto" w:sz="12" w:space="0"/>
            </w:tcBorders>
            <w:vAlign w:val="center"/>
          </w:tcPr>
          <w:p w14:paraId="16C4AD2F">
            <w:pPr>
              <w:pStyle w:val="42"/>
              <w:spacing w:line="240" w:lineRule="auto"/>
              <w:ind w:firstLine="0" w:firstLineChars="0"/>
              <w:jc w:val="center"/>
              <w:rPr>
                <w:rFonts w:cs="宋体"/>
                <w:sz w:val="21"/>
                <w:szCs w:val="21"/>
                <w:highlight w:val="black"/>
              </w:rPr>
            </w:pPr>
            <w:r>
              <w:rPr>
                <w:rFonts w:hint="eastAsia" w:cs="宋体"/>
                <w:sz w:val="21"/>
                <w:szCs w:val="21"/>
                <w:highlight w:val="black"/>
              </w:rPr>
              <w:t>不符合</w:t>
            </w:r>
          </w:p>
        </w:tc>
      </w:tr>
      <w:tr w14:paraId="6EB7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left w:val="single" w:color="auto" w:sz="12" w:space="0"/>
              <w:right w:val="single" w:color="auto" w:sz="4" w:space="0"/>
            </w:tcBorders>
            <w:vAlign w:val="center"/>
          </w:tcPr>
          <w:p w14:paraId="7EF5FBD3">
            <w:pPr>
              <w:pStyle w:val="42"/>
              <w:spacing w:line="240" w:lineRule="auto"/>
              <w:ind w:firstLine="0" w:firstLineChars="0"/>
              <w:jc w:val="center"/>
              <w:rPr>
                <w:rFonts w:hint="eastAsia" w:eastAsia="宋体" w:cs="宋体"/>
                <w:sz w:val="21"/>
                <w:szCs w:val="21"/>
                <w:highlight w:val="black"/>
                <w:lang w:eastAsia="zh-CN"/>
              </w:rPr>
            </w:pPr>
            <w:r>
              <w:rPr>
                <w:rFonts w:hint="eastAsia" w:cs="宋体"/>
                <w:sz w:val="21"/>
                <w:szCs w:val="21"/>
                <w:highlight w:val="black"/>
                <w:lang w:val="en-US" w:eastAsia="zh-CN"/>
              </w:rPr>
              <w:t>7</w:t>
            </w:r>
          </w:p>
        </w:tc>
        <w:tc>
          <w:tcPr>
            <w:tcW w:w="3390" w:type="dxa"/>
            <w:tcBorders>
              <w:left w:val="single" w:color="auto" w:sz="4" w:space="0"/>
              <w:right w:val="single" w:color="auto" w:sz="4" w:space="0"/>
            </w:tcBorders>
            <w:vAlign w:val="center"/>
          </w:tcPr>
          <w:p w14:paraId="3DCAB906">
            <w:pPr>
              <w:adjustRightInd w:val="0"/>
              <w:snapToGrid w:val="0"/>
              <w:spacing w:line="240" w:lineRule="auto"/>
              <w:ind w:firstLine="0" w:firstLineChars="0"/>
              <w:jc w:val="left"/>
              <w:rPr>
                <w:rFonts w:ascii="宋体" w:hAnsi="宋体" w:cs="宋体"/>
                <w:sz w:val="21"/>
                <w:szCs w:val="21"/>
                <w:highlight w:val="black"/>
              </w:rPr>
            </w:pPr>
            <w:r>
              <w:rPr>
                <w:rFonts w:hint="eastAsia" w:ascii="宋体" w:hAnsi="宋体" w:cs="宋体"/>
                <w:sz w:val="21"/>
                <w:szCs w:val="21"/>
                <w:highlight w:val="black"/>
              </w:rPr>
              <w:t>硐室内应配备消防器材。</w:t>
            </w:r>
          </w:p>
        </w:tc>
        <w:tc>
          <w:tcPr>
            <w:tcW w:w="1907" w:type="dxa"/>
            <w:tcBorders>
              <w:left w:val="single" w:color="auto" w:sz="4" w:space="0"/>
              <w:right w:val="single" w:color="auto" w:sz="4" w:space="0"/>
            </w:tcBorders>
            <w:vAlign w:val="center"/>
          </w:tcPr>
          <w:p w14:paraId="25290043">
            <w:pPr>
              <w:pStyle w:val="42"/>
              <w:adjustRightInd w:val="0"/>
              <w:snapToGrid w:val="0"/>
              <w:spacing w:line="240" w:lineRule="auto"/>
              <w:ind w:firstLine="0" w:firstLineChars="0"/>
              <w:jc w:val="center"/>
              <w:rPr>
                <w:rFonts w:cs="宋体"/>
                <w:sz w:val="21"/>
                <w:szCs w:val="21"/>
                <w:highlight w:val="black"/>
              </w:rPr>
            </w:pPr>
            <w:r>
              <w:rPr>
                <w:rFonts w:hint="eastAsia" w:cs="宋体"/>
                <w:sz w:val="21"/>
                <w:szCs w:val="21"/>
                <w:highlight w:val="black"/>
              </w:rPr>
              <w:t>GB16423-2020《金属非金属矿山安全规程》</w:t>
            </w:r>
          </w:p>
          <w:p w14:paraId="30FBBF17">
            <w:pPr>
              <w:pStyle w:val="42"/>
              <w:adjustRightInd w:val="0"/>
              <w:snapToGrid w:val="0"/>
              <w:spacing w:line="240" w:lineRule="auto"/>
              <w:ind w:firstLine="0" w:firstLineChars="0"/>
              <w:jc w:val="center"/>
              <w:rPr>
                <w:rFonts w:cs="宋体"/>
                <w:sz w:val="21"/>
                <w:szCs w:val="21"/>
                <w:highlight w:val="black"/>
              </w:rPr>
            </w:pPr>
            <w:r>
              <w:rPr>
                <w:rFonts w:hint="eastAsia" w:cs="宋体"/>
                <w:sz w:val="21"/>
                <w:szCs w:val="21"/>
                <w:highlight w:val="black"/>
              </w:rPr>
              <w:t>第6.7.4.3条</w:t>
            </w:r>
          </w:p>
        </w:tc>
        <w:tc>
          <w:tcPr>
            <w:tcW w:w="2502" w:type="dxa"/>
            <w:tcBorders>
              <w:left w:val="single" w:color="auto" w:sz="4" w:space="0"/>
              <w:right w:val="single" w:color="auto" w:sz="4" w:space="0"/>
            </w:tcBorders>
            <w:vAlign w:val="center"/>
          </w:tcPr>
          <w:p w14:paraId="44DEAA66">
            <w:pPr>
              <w:pStyle w:val="42"/>
              <w:adjustRightInd w:val="0"/>
              <w:snapToGrid w:val="0"/>
              <w:spacing w:line="240" w:lineRule="auto"/>
              <w:ind w:firstLine="0" w:firstLineChars="0"/>
              <w:rPr>
                <w:rFonts w:cs="宋体"/>
                <w:sz w:val="21"/>
                <w:szCs w:val="21"/>
                <w:highlight w:val="black"/>
              </w:rPr>
            </w:pPr>
            <w:r>
              <w:rPr>
                <w:rFonts w:hint="eastAsia" w:cs="宋体"/>
                <w:sz w:val="21"/>
                <w:szCs w:val="21"/>
                <w:highlight w:val="black"/>
              </w:rPr>
              <w:t>《可研报告》中消防设备设施设计齐全。</w:t>
            </w:r>
          </w:p>
        </w:tc>
        <w:tc>
          <w:tcPr>
            <w:tcW w:w="878" w:type="dxa"/>
            <w:tcBorders>
              <w:left w:val="single" w:color="auto" w:sz="4" w:space="0"/>
              <w:right w:val="single" w:color="auto" w:sz="12" w:space="0"/>
            </w:tcBorders>
            <w:vAlign w:val="center"/>
          </w:tcPr>
          <w:p w14:paraId="2D3BEB1D">
            <w:pPr>
              <w:pStyle w:val="42"/>
              <w:spacing w:line="240" w:lineRule="auto"/>
              <w:ind w:firstLine="0" w:firstLineChars="0"/>
              <w:jc w:val="center"/>
              <w:rPr>
                <w:rFonts w:cs="宋体"/>
                <w:sz w:val="21"/>
                <w:szCs w:val="21"/>
                <w:highlight w:val="black"/>
              </w:rPr>
            </w:pPr>
            <w:r>
              <w:rPr>
                <w:rFonts w:hint="eastAsia" w:cs="宋体"/>
                <w:sz w:val="21"/>
                <w:szCs w:val="21"/>
                <w:highlight w:val="black"/>
              </w:rPr>
              <w:t>符合</w:t>
            </w:r>
          </w:p>
        </w:tc>
      </w:tr>
    </w:tbl>
    <w:p w14:paraId="1287AA9A">
      <w:pPr>
        <w:pStyle w:val="4"/>
        <w:ind w:firstLine="0" w:firstLineChars="0"/>
        <w:rPr>
          <w:snapToGrid w:val="0"/>
        </w:rPr>
      </w:pPr>
      <w:r>
        <w:rPr>
          <w:rFonts w:hint="eastAsia"/>
        </w:rPr>
        <w:t>3</w:t>
      </w:r>
      <w:r>
        <w:t>.</w:t>
      </w:r>
      <w:r>
        <w:rPr>
          <w:rFonts w:hint="eastAsia"/>
        </w:rPr>
        <w:t>7</w:t>
      </w:r>
      <w:r>
        <w:t>.3评价结果</w:t>
      </w:r>
      <w:bookmarkEnd w:id="299"/>
      <w:bookmarkEnd w:id="300"/>
      <w:bookmarkEnd w:id="301"/>
    </w:p>
    <w:p w14:paraId="29E9BABC">
      <w:pPr>
        <w:ind w:firstLine="560"/>
        <w:rPr>
          <w:highlight w:val="black"/>
          <w:lang w:val="zh-CN"/>
        </w:rPr>
      </w:pPr>
      <w:bookmarkStart w:id="302" w:name="_Toc422418777"/>
      <w:r>
        <w:rPr>
          <w:rFonts w:hint="eastAsia"/>
          <w:highlight w:val="black"/>
          <w:lang w:val="zh-CN"/>
        </w:rPr>
        <w:t>通过上述检查表检查，本单元安全检查表检查项目</w:t>
      </w:r>
      <w:r>
        <w:rPr>
          <w:rFonts w:hint="eastAsia"/>
          <w:highlight w:val="black"/>
          <w:lang w:val="en-US" w:eastAsia="zh-CN"/>
        </w:rPr>
        <w:t>7</w:t>
      </w:r>
      <w:r>
        <w:rPr>
          <w:rFonts w:hint="eastAsia"/>
          <w:highlight w:val="black"/>
          <w:lang w:val="zh-CN"/>
        </w:rPr>
        <w:t>项，</w:t>
      </w:r>
      <w:r>
        <w:rPr>
          <w:rFonts w:hint="eastAsia"/>
          <w:highlight w:val="black"/>
          <w:lang w:val="en-US" w:eastAsia="zh-CN"/>
        </w:rPr>
        <w:t>其中1项《可研报告》中未提及</w:t>
      </w:r>
      <w:r>
        <w:rPr>
          <w:rFonts w:hint="eastAsia"/>
          <w:highlight w:val="black"/>
          <w:lang w:val="zh-CN"/>
        </w:rPr>
        <w:t>。建议在以后的安全设施设计编制过程中进行补充。</w:t>
      </w:r>
    </w:p>
    <w:p w14:paraId="54982448">
      <w:pPr>
        <w:pStyle w:val="3"/>
        <w:ind w:firstLine="0" w:firstLineChars="0"/>
      </w:pPr>
      <w:bookmarkStart w:id="303" w:name="_Toc10799"/>
      <w:r>
        <w:t>3.</w:t>
      </w:r>
      <w:r>
        <w:rPr>
          <w:rFonts w:hint="eastAsia"/>
        </w:rPr>
        <w:t>8 安全避险“六大系统”</w:t>
      </w:r>
      <w:r>
        <w:t>单元</w:t>
      </w:r>
      <w:bookmarkEnd w:id="302"/>
      <w:bookmarkEnd w:id="303"/>
    </w:p>
    <w:p w14:paraId="6BB4BA64">
      <w:pPr>
        <w:pStyle w:val="4"/>
        <w:ind w:firstLine="0" w:firstLineChars="0"/>
      </w:pPr>
      <w:r>
        <w:rPr>
          <w:rFonts w:hint="eastAsia"/>
        </w:rPr>
        <w:t>3</w:t>
      </w:r>
      <w:r>
        <w:t>.</w:t>
      </w:r>
      <w:r>
        <w:rPr>
          <w:rFonts w:hint="eastAsia"/>
          <w:lang w:val="en-US" w:eastAsia="zh-CN"/>
        </w:rPr>
        <w:t>8</w:t>
      </w:r>
      <w:r>
        <w:t>.1危</w:t>
      </w:r>
      <w:r>
        <w:rPr>
          <w:rFonts w:hint="eastAsia"/>
        </w:rPr>
        <w:t>安全避险“六大系统”</w:t>
      </w:r>
      <w:r>
        <w:t>单元</w:t>
      </w:r>
      <w:r>
        <w:rPr>
          <w:rFonts w:hint="eastAsia"/>
        </w:rPr>
        <w:t>评价</w:t>
      </w:r>
    </w:p>
    <w:p w14:paraId="0F5F7F2C">
      <w:pPr>
        <w:pStyle w:val="30"/>
        <w:jc w:val="center"/>
        <w:outlineLvl w:val="5"/>
        <w:rPr>
          <w:rFonts w:hAnsi="宋体"/>
        </w:rPr>
      </w:pPr>
      <w:r>
        <w:rPr>
          <w:rFonts w:hint="eastAsia" w:hAnsi="宋体"/>
          <w:b/>
          <w:bCs/>
          <w:sz w:val="21"/>
          <w:szCs w:val="21"/>
        </w:rPr>
        <w:t>表3-12 安全避险“六大系统”单元安全检查表</w:t>
      </w:r>
    </w:p>
    <w:tbl>
      <w:tblPr>
        <w:tblStyle w:val="25"/>
        <w:tblW w:w="94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360"/>
        <w:gridCol w:w="2207"/>
        <w:gridCol w:w="2374"/>
        <w:gridCol w:w="745"/>
      </w:tblGrid>
      <w:tr w14:paraId="3DCD1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5" w:type="dxa"/>
            <w:tcBorders>
              <w:tl2br w:val="nil"/>
              <w:tr2bl w:val="nil"/>
            </w:tcBorders>
            <w:vAlign w:val="center"/>
          </w:tcPr>
          <w:p w14:paraId="5D9E83BD">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序号</w:t>
            </w:r>
          </w:p>
        </w:tc>
        <w:tc>
          <w:tcPr>
            <w:tcW w:w="3360" w:type="dxa"/>
            <w:tcBorders>
              <w:tl2br w:val="nil"/>
              <w:tr2bl w:val="nil"/>
            </w:tcBorders>
            <w:vAlign w:val="center"/>
          </w:tcPr>
          <w:p w14:paraId="2530D1D0">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检查内容</w:t>
            </w:r>
          </w:p>
        </w:tc>
        <w:tc>
          <w:tcPr>
            <w:tcW w:w="2207" w:type="dxa"/>
            <w:tcBorders>
              <w:tl2br w:val="nil"/>
              <w:tr2bl w:val="nil"/>
            </w:tcBorders>
            <w:vAlign w:val="center"/>
          </w:tcPr>
          <w:p w14:paraId="5CEDDE78">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评价依据</w:t>
            </w:r>
          </w:p>
        </w:tc>
        <w:tc>
          <w:tcPr>
            <w:tcW w:w="2374" w:type="dxa"/>
            <w:tcBorders>
              <w:tl2br w:val="nil"/>
              <w:tr2bl w:val="nil"/>
            </w:tcBorders>
            <w:vAlign w:val="center"/>
          </w:tcPr>
          <w:p w14:paraId="2C7C8D7E">
            <w:pPr>
              <w:ind w:firstLine="0" w:firstLineChars="0"/>
              <w:jc w:val="center"/>
              <w:rPr>
                <w:rFonts w:ascii="宋体" w:hAnsi="宋体" w:cs="宋体"/>
                <w:b/>
                <w:bCs/>
                <w:color w:val="000000"/>
                <w:sz w:val="21"/>
                <w:szCs w:val="21"/>
                <w:highlight w:val="black"/>
              </w:rPr>
            </w:pPr>
            <w:r>
              <w:rPr>
                <w:rFonts w:hint="eastAsia"/>
                <w:b/>
                <w:bCs/>
                <w:sz w:val="21"/>
                <w:szCs w:val="21"/>
                <w:highlight w:val="black"/>
              </w:rPr>
              <w:t>《可研报告》提出</w:t>
            </w:r>
          </w:p>
        </w:tc>
        <w:tc>
          <w:tcPr>
            <w:tcW w:w="745" w:type="dxa"/>
            <w:tcBorders>
              <w:tl2br w:val="nil"/>
              <w:tr2bl w:val="nil"/>
            </w:tcBorders>
            <w:vAlign w:val="center"/>
          </w:tcPr>
          <w:p w14:paraId="414CE3D4">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检查结论</w:t>
            </w:r>
          </w:p>
        </w:tc>
      </w:tr>
      <w:tr w14:paraId="33F6B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005EDDA4">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一</w:t>
            </w:r>
          </w:p>
        </w:tc>
        <w:tc>
          <w:tcPr>
            <w:tcW w:w="8686" w:type="dxa"/>
            <w:gridSpan w:val="4"/>
            <w:tcBorders>
              <w:tl2br w:val="nil"/>
              <w:tr2bl w:val="nil"/>
            </w:tcBorders>
            <w:vAlign w:val="center"/>
          </w:tcPr>
          <w:p w14:paraId="52697D3F">
            <w:pPr>
              <w:ind w:firstLine="0" w:firstLineChars="0"/>
              <w:jc w:val="center"/>
              <w:rPr>
                <w:rFonts w:ascii="宋体" w:hAnsi="宋体" w:cs="宋体"/>
                <w:b/>
                <w:bCs/>
                <w:color w:val="000000"/>
                <w:sz w:val="21"/>
                <w:szCs w:val="21"/>
                <w:highlight w:val="black"/>
              </w:rPr>
            </w:pPr>
            <w:r>
              <w:rPr>
                <w:rFonts w:hint="eastAsia" w:ascii="宋体" w:hAnsi="宋体" w:cs="宋体"/>
                <w:b/>
                <w:bCs/>
                <w:color w:val="000000"/>
                <w:sz w:val="21"/>
                <w:szCs w:val="21"/>
                <w:highlight w:val="black"/>
              </w:rPr>
              <w:t>监测监控系统</w:t>
            </w:r>
          </w:p>
        </w:tc>
      </w:tr>
      <w:tr w14:paraId="18D88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8" w:hRule="atLeast"/>
          <w:jc w:val="center"/>
        </w:trPr>
        <w:tc>
          <w:tcPr>
            <w:tcW w:w="715" w:type="dxa"/>
            <w:tcBorders>
              <w:tl2br w:val="nil"/>
              <w:tr2bl w:val="nil"/>
            </w:tcBorders>
            <w:vAlign w:val="center"/>
          </w:tcPr>
          <w:p w14:paraId="1B7939B3">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360" w:type="dxa"/>
            <w:tcBorders>
              <w:tl2br w:val="nil"/>
              <w:tr2bl w:val="nil"/>
            </w:tcBorders>
            <w:vAlign w:val="center"/>
          </w:tcPr>
          <w:p w14:paraId="24E1FB85">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主机应安装在地面，并双机备份，且应在矿山生产调度室设置显示终端。</w:t>
            </w:r>
          </w:p>
          <w:p w14:paraId="14A74027">
            <w:pPr>
              <w:ind w:firstLine="420"/>
              <w:rPr>
                <w:rFonts w:ascii="宋体" w:hAnsi="宋体" w:cs="宋体"/>
                <w:color w:val="000000"/>
                <w:sz w:val="21"/>
                <w:szCs w:val="21"/>
                <w:highlight w:val="black"/>
              </w:rPr>
            </w:pPr>
          </w:p>
        </w:tc>
        <w:tc>
          <w:tcPr>
            <w:tcW w:w="2207" w:type="dxa"/>
            <w:tcBorders>
              <w:tl2br w:val="nil"/>
              <w:tr2bl w:val="nil"/>
            </w:tcBorders>
            <w:vAlign w:val="center"/>
          </w:tcPr>
          <w:p w14:paraId="6F54CD8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《金属非金属地下矿山监测监控系统建设规范》</w:t>
            </w:r>
          </w:p>
          <w:p w14:paraId="235D276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(AQ 2032-2011)</w:t>
            </w:r>
          </w:p>
          <w:p w14:paraId="47BC99C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第4.5条</w:t>
            </w:r>
          </w:p>
        </w:tc>
        <w:tc>
          <w:tcPr>
            <w:tcW w:w="2374" w:type="dxa"/>
            <w:tcBorders>
              <w:tl2br w:val="nil"/>
              <w:tr2bl w:val="nil"/>
            </w:tcBorders>
            <w:vAlign w:val="center"/>
          </w:tcPr>
          <w:p w14:paraId="2963D2C4">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《可研报告》确定，主机应安装在地面，并双机备份，且应在矿山生产调度室设置显示终端。</w:t>
            </w:r>
          </w:p>
        </w:tc>
        <w:tc>
          <w:tcPr>
            <w:tcW w:w="745" w:type="dxa"/>
            <w:tcBorders>
              <w:tl2br w:val="nil"/>
              <w:tr2bl w:val="nil"/>
            </w:tcBorders>
            <w:vAlign w:val="center"/>
          </w:tcPr>
          <w:p w14:paraId="75996584">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0D71C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4F19697">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2</w:t>
            </w:r>
          </w:p>
        </w:tc>
        <w:tc>
          <w:tcPr>
            <w:tcW w:w="3360" w:type="dxa"/>
            <w:tcBorders>
              <w:tl2br w:val="nil"/>
              <w:tr2bl w:val="nil"/>
            </w:tcBorders>
            <w:vAlign w:val="center"/>
          </w:tcPr>
          <w:p w14:paraId="032AF2EE">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地下矿山应配置足够的便携式气体检测报警仪。便携式气体检测报警仪应能测量一氧化碳、氧气、二氧化氮浓度，并具有报警参数设置和声光报警功能。</w:t>
            </w:r>
          </w:p>
        </w:tc>
        <w:tc>
          <w:tcPr>
            <w:tcW w:w="2207" w:type="dxa"/>
            <w:tcBorders>
              <w:tl2br w:val="nil"/>
              <w:tr2bl w:val="nil"/>
            </w:tcBorders>
            <w:vAlign w:val="center"/>
          </w:tcPr>
          <w:p w14:paraId="21B6404C">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《金属非金属地下矿山监测监控系统建设规范》（AQ 2032-2011）</w:t>
            </w:r>
          </w:p>
          <w:p w14:paraId="67CD610D">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第5.1条</w:t>
            </w:r>
          </w:p>
        </w:tc>
        <w:tc>
          <w:tcPr>
            <w:tcW w:w="2374" w:type="dxa"/>
            <w:tcBorders>
              <w:tl2br w:val="nil"/>
              <w:tr2bl w:val="nil"/>
            </w:tcBorders>
            <w:vAlign w:val="center"/>
          </w:tcPr>
          <w:p w14:paraId="4D111E77">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《可研报告》确定，该项目配备</w:t>
            </w:r>
            <w:r>
              <w:rPr>
                <w:rFonts w:hint="eastAsia" w:ascii="宋体" w:hAnsi="宋体" w:cs="宋体"/>
                <w:color w:val="000000"/>
                <w:sz w:val="21"/>
                <w:szCs w:val="21"/>
                <w:highlight w:val="black"/>
                <w:lang w:val="en-US" w:eastAsia="zh-CN"/>
              </w:rPr>
              <w:t>14台</w:t>
            </w:r>
            <w:r>
              <w:rPr>
                <w:rFonts w:hint="eastAsia" w:ascii="宋体" w:hAnsi="宋体" w:cs="宋体"/>
                <w:color w:val="000000"/>
                <w:sz w:val="21"/>
                <w:szCs w:val="21"/>
                <w:highlight w:val="black"/>
              </w:rPr>
              <w:t>便携式气体检测报警仪</w:t>
            </w:r>
            <w:r>
              <w:rPr>
                <w:rFonts w:hint="eastAsia" w:ascii="宋体" w:hAnsi="宋体" w:cs="宋体"/>
                <w:color w:val="000000"/>
                <w:sz w:val="21"/>
                <w:szCs w:val="21"/>
                <w:highlight w:val="black"/>
                <w:lang w:eastAsia="zh-CN"/>
              </w:rPr>
              <w:t>，</w:t>
            </w:r>
            <w:r>
              <w:rPr>
                <w:rFonts w:hint="eastAsia" w:ascii="宋体" w:hAnsi="宋体" w:cs="宋体"/>
                <w:color w:val="000000"/>
                <w:sz w:val="21"/>
                <w:szCs w:val="21"/>
                <w:highlight w:val="black"/>
                <w:lang w:val="en-US" w:eastAsia="zh-CN"/>
              </w:rPr>
              <w:t>该</w:t>
            </w:r>
            <w:r>
              <w:rPr>
                <w:rFonts w:hint="eastAsia" w:ascii="宋体" w:hAnsi="宋体" w:cs="宋体"/>
                <w:color w:val="000000"/>
                <w:sz w:val="21"/>
                <w:szCs w:val="21"/>
                <w:highlight w:val="black"/>
              </w:rPr>
              <w:t>便携式气体检测报警仪能测量一氧化碳、氧气、二氧化氮浓度，并具有报警参数设置和声光报警功能。</w:t>
            </w:r>
          </w:p>
        </w:tc>
        <w:tc>
          <w:tcPr>
            <w:tcW w:w="745" w:type="dxa"/>
            <w:tcBorders>
              <w:tl2br w:val="nil"/>
              <w:tr2bl w:val="nil"/>
            </w:tcBorders>
            <w:vAlign w:val="center"/>
          </w:tcPr>
          <w:p w14:paraId="24CAA6E8">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1621B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60D653FC">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3</w:t>
            </w:r>
          </w:p>
        </w:tc>
        <w:tc>
          <w:tcPr>
            <w:tcW w:w="3360" w:type="dxa"/>
            <w:tcBorders>
              <w:tl2br w:val="nil"/>
              <w:tr2bl w:val="nil"/>
            </w:tcBorders>
            <w:vAlign w:val="center"/>
          </w:tcPr>
          <w:p w14:paraId="1960C536">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井下总回风巷、各个生产中段和分段的回风巷应设置风速传感器。</w:t>
            </w:r>
          </w:p>
        </w:tc>
        <w:tc>
          <w:tcPr>
            <w:tcW w:w="2207" w:type="dxa"/>
            <w:tcBorders>
              <w:tl2br w:val="nil"/>
              <w:tr2bl w:val="nil"/>
            </w:tcBorders>
            <w:vAlign w:val="center"/>
          </w:tcPr>
          <w:p w14:paraId="307A7A37">
            <w:pPr>
              <w:ind w:firstLine="0" w:firstLineChars="0"/>
              <w:jc w:val="center"/>
              <w:rPr>
                <w:rFonts w:hint="default" w:ascii="宋体" w:hAnsi="宋体" w:eastAsia="宋体" w:cs="宋体"/>
                <w:color w:val="000000"/>
                <w:sz w:val="21"/>
                <w:szCs w:val="21"/>
                <w:highlight w:val="black"/>
                <w:lang w:val="en-US" w:eastAsia="zh-CN"/>
              </w:rPr>
            </w:pPr>
            <w:r>
              <w:rPr>
                <w:rFonts w:hint="eastAsia" w:ascii="宋体" w:hAnsi="宋体" w:cs="宋体"/>
                <w:color w:val="000000"/>
                <w:sz w:val="21"/>
                <w:szCs w:val="21"/>
                <w:highlight w:val="black"/>
              </w:rPr>
              <w:t>《金属非金属地下矿山监测监控系统建设规范》（AQ 2032-2011）</w:t>
            </w:r>
            <w:r>
              <w:rPr>
                <w:rFonts w:hint="eastAsia" w:ascii="宋体" w:hAnsi="宋体" w:cs="宋体"/>
                <w:color w:val="000000"/>
                <w:sz w:val="21"/>
                <w:szCs w:val="21"/>
                <w:highlight w:val="black"/>
                <w:lang w:val="en-US" w:eastAsia="zh-CN"/>
              </w:rPr>
              <w:t>第6.1条</w:t>
            </w:r>
          </w:p>
        </w:tc>
        <w:tc>
          <w:tcPr>
            <w:tcW w:w="2374" w:type="dxa"/>
            <w:tcBorders>
              <w:tl2br w:val="nil"/>
              <w:tr2bl w:val="nil"/>
            </w:tcBorders>
            <w:vAlign w:val="center"/>
          </w:tcPr>
          <w:p w14:paraId="65AF6266">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《可研报告》确定，该项目井下总回风巷、各个生产中段和分段的回风巷设置</w:t>
            </w:r>
            <w:r>
              <w:rPr>
                <w:rFonts w:hint="eastAsia" w:ascii="宋体" w:hAnsi="宋体" w:cs="宋体"/>
                <w:color w:val="000000"/>
                <w:sz w:val="21"/>
                <w:szCs w:val="21"/>
                <w:highlight w:val="black"/>
                <w:lang w:val="en-US" w:eastAsia="zh-CN"/>
              </w:rPr>
              <w:t>了</w:t>
            </w:r>
            <w:r>
              <w:rPr>
                <w:rFonts w:hint="eastAsia" w:ascii="宋体" w:hAnsi="宋体" w:cs="宋体"/>
                <w:color w:val="000000"/>
                <w:sz w:val="21"/>
                <w:szCs w:val="21"/>
                <w:highlight w:val="black"/>
              </w:rPr>
              <w:t>风速传感器。</w:t>
            </w:r>
          </w:p>
        </w:tc>
        <w:tc>
          <w:tcPr>
            <w:tcW w:w="745" w:type="dxa"/>
            <w:tcBorders>
              <w:tl2br w:val="nil"/>
              <w:tr2bl w:val="nil"/>
            </w:tcBorders>
            <w:vAlign w:val="center"/>
          </w:tcPr>
          <w:p w14:paraId="145EDBC4">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1D01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26D958A1">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4</w:t>
            </w:r>
          </w:p>
        </w:tc>
        <w:tc>
          <w:tcPr>
            <w:tcW w:w="3360" w:type="dxa"/>
            <w:tcBorders>
              <w:tl2br w:val="nil"/>
              <w:tr2bl w:val="nil"/>
            </w:tcBorders>
            <w:vAlign w:val="center"/>
          </w:tcPr>
          <w:p w14:paraId="7B29E79C">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主通风机风压监测：主要通风机应设置风压传感器。</w:t>
            </w:r>
          </w:p>
        </w:tc>
        <w:tc>
          <w:tcPr>
            <w:tcW w:w="2207" w:type="dxa"/>
            <w:tcBorders>
              <w:tl2br w:val="nil"/>
              <w:tr2bl w:val="nil"/>
            </w:tcBorders>
            <w:vAlign w:val="center"/>
          </w:tcPr>
          <w:p w14:paraId="11A744AF">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《金属非金属地下矿山监测监控系统建设规范》（AQ 2032-2011）</w:t>
            </w:r>
          </w:p>
        </w:tc>
        <w:tc>
          <w:tcPr>
            <w:tcW w:w="2374" w:type="dxa"/>
            <w:tcBorders>
              <w:tl2br w:val="nil"/>
              <w:tr2bl w:val="nil"/>
            </w:tcBorders>
            <w:vAlign w:val="center"/>
          </w:tcPr>
          <w:p w14:paraId="5902AE89">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《可研报告》确定，该项目主要通风机设置风压传感器。</w:t>
            </w:r>
          </w:p>
        </w:tc>
        <w:tc>
          <w:tcPr>
            <w:tcW w:w="745" w:type="dxa"/>
            <w:tcBorders>
              <w:tl2br w:val="nil"/>
              <w:tr2bl w:val="nil"/>
            </w:tcBorders>
            <w:vAlign w:val="center"/>
          </w:tcPr>
          <w:p w14:paraId="56EEAA1D">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526B9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C6BED5A">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5</w:t>
            </w:r>
          </w:p>
        </w:tc>
        <w:tc>
          <w:tcPr>
            <w:tcW w:w="3360" w:type="dxa"/>
            <w:tcBorders>
              <w:tl2br w:val="nil"/>
              <w:tr2bl w:val="nil"/>
            </w:tcBorders>
            <w:vAlign w:val="center"/>
          </w:tcPr>
          <w:p w14:paraId="637D73BA">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设备开停监测：主要通风机、辅助通风机、局部通风机应安装开停传感器。</w:t>
            </w:r>
          </w:p>
        </w:tc>
        <w:tc>
          <w:tcPr>
            <w:tcW w:w="2207" w:type="dxa"/>
            <w:tcBorders>
              <w:tl2br w:val="nil"/>
              <w:tr2bl w:val="nil"/>
            </w:tcBorders>
            <w:vAlign w:val="center"/>
          </w:tcPr>
          <w:p w14:paraId="5ECDA533">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《金属非金属地下矿山监测监控系统建设规范》（AQ 2032-2011）</w:t>
            </w:r>
          </w:p>
        </w:tc>
        <w:tc>
          <w:tcPr>
            <w:tcW w:w="2374" w:type="dxa"/>
            <w:tcBorders>
              <w:tl2br w:val="nil"/>
              <w:tr2bl w:val="nil"/>
            </w:tcBorders>
            <w:vAlign w:val="center"/>
          </w:tcPr>
          <w:p w14:paraId="12476E52">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《可研报告》确定，该项目主要通风机局部通风机安装开停传感器。</w:t>
            </w:r>
          </w:p>
        </w:tc>
        <w:tc>
          <w:tcPr>
            <w:tcW w:w="745" w:type="dxa"/>
            <w:tcBorders>
              <w:tl2br w:val="nil"/>
              <w:tr2bl w:val="nil"/>
            </w:tcBorders>
            <w:vAlign w:val="center"/>
          </w:tcPr>
          <w:p w14:paraId="595FFCA1">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59936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04E1759A">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二</w:t>
            </w:r>
          </w:p>
        </w:tc>
        <w:tc>
          <w:tcPr>
            <w:tcW w:w="8686" w:type="dxa"/>
            <w:gridSpan w:val="4"/>
            <w:tcBorders>
              <w:tl2br w:val="nil"/>
              <w:tr2bl w:val="nil"/>
            </w:tcBorders>
            <w:vAlign w:val="center"/>
          </w:tcPr>
          <w:p w14:paraId="58694546">
            <w:pPr>
              <w:ind w:firstLine="0" w:firstLineChars="0"/>
              <w:jc w:val="center"/>
              <w:rPr>
                <w:rFonts w:ascii="宋体" w:hAnsi="宋体" w:cs="宋体"/>
                <w:color w:val="000000"/>
                <w:sz w:val="21"/>
                <w:szCs w:val="21"/>
                <w:highlight w:val="black"/>
              </w:rPr>
            </w:pPr>
            <w:r>
              <w:rPr>
                <w:rFonts w:hint="eastAsia" w:ascii="宋体" w:hAnsi="宋体" w:cs="宋体"/>
                <w:b/>
                <w:bCs/>
                <w:color w:val="000000"/>
                <w:sz w:val="21"/>
                <w:szCs w:val="21"/>
                <w:highlight w:val="black"/>
              </w:rPr>
              <w:t>压风自救系统</w:t>
            </w:r>
          </w:p>
        </w:tc>
      </w:tr>
      <w:tr w14:paraId="495A1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07FCC64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360" w:type="dxa"/>
            <w:tcBorders>
              <w:tl2br w:val="nil"/>
              <w:tr2bl w:val="nil"/>
            </w:tcBorders>
            <w:vAlign w:val="center"/>
          </w:tcPr>
          <w:p w14:paraId="074EDD32">
            <w:pPr>
              <w:ind w:firstLine="420"/>
              <w:rPr>
                <w:rFonts w:ascii="宋体" w:hAnsi="宋体" w:cs="宋体"/>
                <w:sz w:val="21"/>
                <w:szCs w:val="21"/>
                <w:highlight w:val="black"/>
              </w:rPr>
            </w:pPr>
            <w:r>
              <w:rPr>
                <w:rFonts w:hint="eastAsia" w:ascii="宋体" w:hAnsi="宋体" w:cs="宋体"/>
                <w:sz w:val="21"/>
                <w:szCs w:val="21"/>
                <w:highlight w:val="black"/>
              </w:rPr>
              <w:t>压风自救系统的空气压缩机应安装在地面，并能在10min内启动。空气压缩机安装在地面难以保证对井下作业地点有效供风时，可以安装在井下。</w:t>
            </w:r>
          </w:p>
        </w:tc>
        <w:tc>
          <w:tcPr>
            <w:tcW w:w="2207" w:type="dxa"/>
            <w:tcBorders>
              <w:tl2br w:val="nil"/>
              <w:tr2bl w:val="nil"/>
            </w:tcBorders>
            <w:vAlign w:val="center"/>
          </w:tcPr>
          <w:p w14:paraId="77888D5E">
            <w:pPr>
              <w:ind w:firstLine="0" w:firstLineChars="0"/>
              <w:jc w:val="center"/>
              <w:rPr>
                <w:rFonts w:ascii="宋体" w:hAnsi="宋体" w:cs="宋体"/>
                <w:sz w:val="21"/>
                <w:szCs w:val="21"/>
                <w:highlight w:val="black"/>
              </w:rPr>
            </w:pPr>
            <w:r>
              <w:rPr>
                <w:rFonts w:hint="eastAsia" w:ascii="宋体" w:hAnsi="宋体" w:cs="宋体"/>
                <w:sz w:val="21"/>
                <w:szCs w:val="21"/>
                <w:highlight w:val="black"/>
              </w:rPr>
              <w:t>《金属非金属地下矿山压风自救系统建设规范》（AQ/T2034-2023）</w:t>
            </w:r>
          </w:p>
        </w:tc>
        <w:tc>
          <w:tcPr>
            <w:tcW w:w="2374" w:type="dxa"/>
            <w:tcBorders>
              <w:tl2br w:val="nil"/>
              <w:tr2bl w:val="nil"/>
            </w:tcBorders>
            <w:vAlign w:val="center"/>
          </w:tcPr>
          <w:p w14:paraId="4CA456EB">
            <w:pPr>
              <w:ind w:firstLine="0" w:firstLineChars="0"/>
              <w:rPr>
                <w:rFonts w:ascii="宋体" w:hAnsi="宋体" w:cs="宋体"/>
                <w:sz w:val="21"/>
                <w:szCs w:val="21"/>
                <w:highlight w:val="black"/>
              </w:rPr>
            </w:pPr>
            <w:r>
              <w:rPr>
                <w:rFonts w:hint="eastAsia" w:ascii="宋体" w:hAnsi="宋体" w:cs="宋体"/>
                <w:sz w:val="21"/>
                <w:szCs w:val="21"/>
                <w:highlight w:val="black"/>
              </w:rPr>
              <w:t>《可研报告》确定，该项目空气压缩机安装在地面，并能在10min内启动。</w:t>
            </w:r>
          </w:p>
        </w:tc>
        <w:tc>
          <w:tcPr>
            <w:tcW w:w="745" w:type="dxa"/>
            <w:tcBorders>
              <w:tl2br w:val="nil"/>
              <w:tr2bl w:val="nil"/>
            </w:tcBorders>
            <w:vAlign w:val="center"/>
          </w:tcPr>
          <w:p w14:paraId="57A7544E">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4B8BA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1FAABCD7">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2</w:t>
            </w:r>
          </w:p>
        </w:tc>
        <w:tc>
          <w:tcPr>
            <w:tcW w:w="3360" w:type="dxa"/>
            <w:tcBorders>
              <w:tl2br w:val="nil"/>
              <w:tr2bl w:val="nil"/>
            </w:tcBorders>
            <w:vAlign w:val="center"/>
          </w:tcPr>
          <w:p w14:paraId="741B4571">
            <w:pPr>
              <w:ind w:firstLine="420"/>
              <w:rPr>
                <w:rFonts w:ascii="宋体" w:hAnsi="宋体" w:cs="宋体"/>
                <w:sz w:val="21"/>
                <w:szCs w:val="21"/>
                <w:highlight w:val="black"/>
              </w:rPr>
            </w:pPr>
            <w:r>
              <w:rPr>
                <w:rFonts w:hint="eastAsia" w:ascii="宋体" w:hAnsi="宋体" w:cs="宋体"/>
                <w:sz w:val="21"/>
                <w:szCs w:val="21"/>
                <w:highlight w:val="black"/>
              </w:rPr>
              <w:t>压风管道敷设应牢固平直，并延伸到井下采掘作业场所、紧急避险设施、爆破时撤离人员集中地点等主要地点。</w:t>
            </w:r>
          </w:p>
        </w:tc>
        <w:tc>
          <w:tcPr>
            <w:tcW w:w="2207" w:type="dxa"/>
            <w:tcBorders>
              <w:tl2br w:val="nil"/>
              <w:tr2bl w:val="nil"/>
            </w:tcBorders>
            <w:vAlign w:val="center"/>
          </w:tcPr>
          <w:p w14:paraId="5543E8E0">
            <w:pPr>
              <w:ind w:firstLine="0" w:firstLineChars="0"/>
              <w:jc w:val="center"/>
              <w:rPr>
                <w:rFonts w:ascii="宋体" w:hAnsi="宋体" w:cs="宋体"/>
                <w:sz w:val="21"/>
                <w:szCs w:val="21"/>
                <w:highlight w:val="black"/>
              </w:rPr>
            </w:pPr>
            <w:r>
              <w:rPr>
                <w:rFonts w:hint="eastAsia" w:ascii="宋体" w:hAnsi="宋体" w:cs="宋体"/>
                <w:sz w:val="21"/>
                <w:szCs w:val="21"/>
                <w:highlight w:val="black"/>
              </w:rPr>
              <w:t>《金属非金属地下矿山压风自救系统建设规范》（AQ/T2034-2023）</w:t>
            </w:r>
          </w:p>
        </w:tc>
        <w:tc>
          <w:tcPr>
            <w:tcW w:w="2374" w:type="dxa"/>
            <w:tcBorders>
              <w:tl2br w:val="nil"/>
              <w:tr2bl w:val="nil"/>
            </w:tcBorders>
            <w:vAlign w:val="center"/>
          </w:tcPr>
          <w:p w14:paraId="2949B7B6">
            <w:pPr>
              <w:ind w:firstLine="0" w:firstLineChars="0"/>
              <w:rPr>
                <w:rFonts w:ascii="宋体" w:hAnsi="宋体" w:cs="宋体"/>
                <w:sz w:val="21"/>
                <w:szCs w:val="21"/>
                <w:highlight w:val="black"/>
              </w:rPr>
            </w:pPr>
            <w:r>
              <w:rPr>
                <w:rFonts w:hint="eastAsia" w:ascii="宋体" w:hAnsi="宋体" w:cs="宋体"/>
                <w:sz w:val="21"/>
                <w:szCs w:val="21"/>
                <w:highlight w:val="black"/>
              </w:rPr>
              <w:t>《可研报告》确定，压风管道敷设牢固平直，压风管路通到井下各作业地点，并设置供气阀门。</w:t>
            </w:r>
          </w:p>
        </w:tc>
        <w:tc>
          <w:tcPr>
            <w:tcW w:w="745" w:type="dxa"/>
            <w:tcBorders>
              <w:tl2br w:val="nil"/>
              <w:tr2bl w:val="nil"/>
            </w:tcBorders>
            <w:vAlign w:val="center"/>
          </w:tcPr>
          <w:p w14:paraId="0C198EE5">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41829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8D87FD7">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3</w:t>
            </w:r>
          </w:p>
        </w:tc>
        <w:tc>
          <w:tcPr>
            <w:tcW w:w="3360" w:type="dxa"/>
            <w:tcBorders>
              <w:tl2br w:val="nil"/>
              <w:tr2bl w:val="nil"/>
            </w:tcBorders>
            <w:vAlign w:val="center"/>
          </w:tcPr>
          <w:p w14:paraId="34AD39BE">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独头掘进巷道距掘进工作面不大于100m处的压风管道上应安设一组供气阀门，相邻两组供气阀门安设间距应不大于200m。</w:t>
            </w:r>
          </w:p>
        </w:tc>
        <w:tc>
          <w:tcPr>
            <w:tcW w:w="2207" w:type="dxa"/>
            <w:tcBorders>
              <w:tl2br w:val="nil"/>
              <w:tr2bl w:val="nil"/>
            </w:tcBorders>
            <w:vAlign w:val="center"/>
          </w:tcPr>
          <w:p w14:paraId="748CF14E">
            <w:pPr>
              <w:ind w:firstLine="0" w:firstLineChars="0"/>
              <w:jc w:val="center"/>
              <w:rPr>
                <w:rFonts w:ascii="宋体" w:hAnsi="宋体" w:cs="宋体"/>
                <w:color w:val="000000"/>
                <w:sz w:val="21"/>
                <w:szCs w:val="21"/>
                <w:highlight w:val="black"/>
              </w:rPr>
            </w:pPr>
            <w:r>
              <w:rPr>
                <w:rFonts w:hint="eastAsia" w:ascii="宋体" w:hAnsi="宋体" w:cs="宋体"/>
                <w:sz w:val="21"/>
                <w:szCs w:val="21"/>
                <w:highlight w:val="black"/>
              </w:rPr>
              <w:t>《金属非金属地下矿山压风自救系统建设规范》（AQ/T2034-2023）</w:t>
            </w:r>
          </w:p>
        </w:tc>
        <w:tc>
          <w:tcPr>
            <w:tcW w:w="2374" w:type="dxa"/>
            <w:tcBorders>
              <w:tl2br w:val="nil"/>
              <w:tr2bl w:val="nil"/>
            </w:tcBorders>
            <w:vAlign w:val="center"/>
          </w:tcPr>
          <w:p w14:paraId="5E1241E2">
            <w:pPr>
              <w:spacing w:line="506" w:lineRule="exact"/>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《可研报告》确定，独头掘进巷道距掘进工作面不大于100m处的压风管道上应安设一组三通及阀门。相邻两组供气阀门安设间距不大于200m。</w:t>
            </w:r>
          </w:p>
        </w:tc>
        <w:tc>
          <w:tcPr>
            <w:tcW w:w="745" w:type="dxa"/>
            <w:tcBorders>
              <w:tl2br w:val="nil"/>
              <w:tr2bl w:val="nil"/>
            </w:tcBorders>
            <w:vAlign w:val="center"/>
          </w:tcPr>
          <w:p w14:paraId="7D766160">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6685A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AEAD4F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4</w:t>
            </w:r>
          </w:p>
        </w:tc>
        <w:tc>
          <w:tcPr>
            <w:tcW w:w="3360" w:type="dxa"/>
            <w:tcBorders>
              <w:tl2br w:val="nil"/>
              <w:tr2bl w:val="nil"/>
            </w:tcBorders>
            <w:vAlign w:val="center"/>
          </w:tcPr>
          <w:p w14:paraId="2DF82DF8">
            <w:pPr>
              <w:ind w:firstLine="420"/>
              <w:rPr>
                <w:rFonts w:ascii="宋体" w:hAnsi="宋体" w:cs="宋体"/>
                <w:sz w:val="21"/>
                <w:szCs w:val="21"/>
                <w:highlight w:val="black"/>
              </w:rPr>
            </w:pPr>
            <w:r>
              <w:rPr>
                <w:rFonts w:hint="eastAsia" w:ascii="宋体" w:hAnsi="宋体" w:cs="宋体"/>
                <w:sz w:val="21"/>
                <w:szCs w:val="21"/>
                <w:highlight w:val="black"/>
              </w:rPr>
              <w:t>压风自救装置、供气阀门安装地点应宽敞、稳固，安装位置应便于避灾人员使用；阀门应开关灵活。</w:t>
            </w:r>
          </w:p>
        </w:tc>
        <w:tc>
          <w:tcPr>
            <w:tcW w:w="2207" w:type="dxa"/>
            <w:tcBorders>
              <w:tl2br w:val="nil"/>
              <w:tr2bl w:val="nil"/>
            </w:tcBorders>
            <w:vAlign w:val="center"/>
          </w:tcPr>
          <w:p w14:paraId="250845B5">
            <w:pPr>
              <w:ind w:firstLine="0" w:firstLineChars="0"/>
              <w:jc w:val="center"/>
              <w:rPr>
                <w:rFonts w:ascii="宋体" w:hAnsi="宋体" w:cs="宋体"/>
                <w:sz w:val="21"/>
                <w:szCs w:val="21"/>
                <w:highlight w:val="black"/>
              </w:rPr>
            </w:pPr>
            <w:r>
              <w:rPr>
                <w:rFonts w:hint="eastAsia" w:ascii="宋体" w:hAnsi="宋体" w:cs="宋体"/>
                <w:sz w:val="21"/>
                <w:szCs w:val="21"/>
                <w:highlight w:val="black"/>
              </w:rPr>
              <w:t>《金属非金属地下矿山压风自救系统建设规范》（AQ/T2034-2023）</w:t>
            </w:r>
          </w:p>
        </w:tc>
        <w:tc>
          <w:tcPr>
            <w:tcW w:w="2374" w:type="dxa"/>
            <w:tcBorders>
              <w:tl2br w:val="nil"/>
              <w:tr2bl w:val="nil"/>
            </w:tcBorders>
            <w:vAlign w:val="center"/>
          </w:tcPr>
          <w:p w14:paraId="4966F696">
            <w:pPr>
              <w:ind w:firstLine="0" w:firstLineChars="0"/>
              <w:rPr>
                <w:rFonts w:ascii="宋体" w:hAnsi="宋体" w:cs="宋体"/>
                <w:sz w:val="21"/>
                <w:szCs w:val="21"/>
                <w:highlight w:val="black"/>
              </w:rPr>
            </w:pPr>
            <w:r>
              <w:rPr>
                <w:rFonts w:hint="eastAsia" w:ascii="宋体" w:hAnsi="宋体" w:cs="宋体"/>
                <w:sz w:val="21"/>
                <w:szCs w:val="21"/>
                <w:highlight w:val="black"/>
              </w:rPr>
              <w:t>《可研报告》确定，压风自救装置、阀门安装地点应宽敞、稳固，安装位置便于避灾人员使用；阀门开关灵活。</w:t>
            </w:r>
          </w:p>
        </w:tc>
        <w:tc>
          <w:tcPr>
            <w:tcW w:w="745" w:type="dxa"/>
            <w:tcBorders>
              <w:tl2br w:val="nil"/>
              <w:tr2bl w:val="nil"/>
            </w:tcBorders>
            <w:vAlign w:val="center"/>
          </w:tcPr>
          <w:p w14:paraId="0E0EBD6D">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46309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30278A6E">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三</w:t>
            </w:r>
          </w:p>
        </w:tc>
        <w:tc>
          <w:tcPr>
            <w:tcW w:w="8686" w:type="dxa"/>
            <w:gridSpan w:val="4"/>
            <w:tcBorders>
              <w:tl2br w:val="nil"/>
              <w:tr2bl w:val="nil"/>
            </w:tcBorders>
            <w:vAlign w:val="center"/>
          </w:tcPr>
          <w:p w14:paraId="77F67D44">
            <w:pPr>
              <w:ind w:firstLine="0" w:firstLineChars="0"/>
              <w:jc w:val="center"/>
              <w:rPr>
                <w:rFonts w:ascii="宋体" w:hAnsi="宋体" w:cs="宋体"/>
                <w:color w:val="000000"/>
                <w:sz w:val="21"/>
                <w:szCs w:val="21"/>
                <w:highlight w:val="black"/>
              </w:rPr>
            </w:pPr>
            <w:r>
              <w:rPr>
                <w:rFonts w:hint="eastAsia" w:ascii="宋体" w:hAnsi="宋体" w:cs="宋体"/>
                <w:b/>
                <w:bCs/>
                <w:color w:val="000000"/>
                <w:sz w:val="21"/>
                <w:szCs w:val="21"/>
                <w:highlight w:val="black"/>
              </w:rPr>
              <w:t>供水施救系统</w:t>
            </w:r>
          </w:p>
        </w:tc>
      </w:tr>
      <w:tr w14:paraId="2B7ED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51D227EC">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360" w:type="dxa"/>
            <w:tcBorders>
              <w:tl2br w:val="nil"/>
              <w:tr2bl w:val="nil"/>
            </w:tcBorders>
            <w:vAlign w:val="center"/>
          </w:tcPr>
          <w:p w14:paraId="06527948">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供水施救系统管道应采用钢管材料或其他同等强度的阻燃材料，并采取防腐蚀措施。</w:t>
            </w:r>
          </w:p>
        </w:tc>
        <w:tc>
          <w:tcPr>
            <w:tcW w:w="2207" w:type="dxa"/>
            <w:tcBorders>
              <w:tl2br w:val="nil"/>
              <w:tr2bl w:val="nil"/>
            </w:tcBorders>
            <w:vAlign w:val="center"/>
          </w:tcPr>
          <w:p w14:paraId="25036BE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《金属非金属地下矿山供水施救系统建设规范》（AQ/T2035-2023）</w:t>
            </w:r>
          </w:p>
        </w:tc>
        <w:tc>
          <w:tcPr>
            <w:tcW w:w="2374" w:type="dxa"/>
            <w:tcBorders>
              <w:tl2br w:val="nil"/>
              <w:tr2bl w:val="nil"/>
            </w:tcBorders>
            <w:vAlign w:val="center"/>
          </w:tcPr>
          <w:p w14:paraId="0F4ECE2B">
            <w:pPr>
              <w:ind w:firstLine="420"/>
              <w:rPr>
                <w:rFonts w:hint="eastAsia" w:ascii="宋体" w:hAnsi="宋体" w:eastAsia="宋体" w:cs="宋体"/>
                <w:color w:val="000000"/>
                <w:sz w:val="21"/>
                <w:szCs w:val="21"/>
                <w:highlight w:val="black"/>
                <w:lang w:eastAsia="zh-CN"/>
              </w:rPr>
            </w:pPr>
            <w:r>
              <w:rPr>
                <w:rFonts w:hint="eastAsia" w:ascii="宋体" w:hAnsi="宋体" w:cs="宋体"/>
                <w:color w:val="000000"/>
                <w:sz w:val="21"/>
                <w:szCs w:val="21"/>
                <w:highlight w:val="black"/>
              </w:rPr>
              <w:t>《可研报告》采用Φ219×6型镀锌无缝钢管作为消防供水管路</w:t>
            </w:r>
            <w:r>
              <w:rPr>
                <w:rFonts w:hint="eastAsia" w:ascii="宋体" w:hAnsi="宋体" w:cs="宋体"/>
                <w:color w:val="000000"/>
                <w:sz w:val="21"/>
                <w:szCs w:val="21"/>
                <w:highlight w:val="black"/>
                <w:lang w:eastAsia="zh-CN"/>
              </w:rPr>
              <w:t>。</w:t>
            </w:r>
          </w:p>
        </w:tc>
        <w:tc>
          <w:tcPr>
            <w:tcW w:w="745" w:type="dxa"/>
            <w:tcBorders>
              <w:tl2br w:val="nil"/>
              <w:tr2bl w:val="nil"/>
            </w:tcBorders>
            <w:vAlign w:val="center"/>
          </w:tcPr>
          <w:p w14:paraId="5D47EDE8">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2A135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3BF85BBF">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2</w:t>
            </w:r>
          </w:p>
        </w:tc>
        <w:tc>
          <w:tcPr>
            <w:tcW w:w="3360" w:type="dxa"/>
            <w:tcBorders>
              <w:tl2br w:val="nil"/>
              <w:tr2bl w:val="nil"/>
            </w:tcBorders>
            <w:vAlign w:val="center"/>
          </w:tcPr>
          <w:p w14:paraId="41E48767">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供水管道敷设应牢固平直，并延伸到井下采掘作业场所、紧急避险设施、爆破时撤离人员集中地点等主要地点。</w:t>
            </w:r>
          </w:p>
        </w:tc>
        <w:tc>
          <w:tcPr>
            <w:tcW w:w="2207" w:type="dxa"/>
            <w:tcBorders>
              <w:tl2br w:val="nil"/>
              <w:tr2bl w:val="nil"/>
            </w:tcBorders>
            <w:vAlign w:val="center"/>
          </w:tcPr>
          <w:p w14:paraId="772B4C29">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《金属非金属地下矿山供水施救系统建设规范》（AQ/T2035-2023）</w:t>
            </w:r>
          </w:p>
        </w:tc>
        <w:tc>
          <w:tcPr>
            <w:tcW w:w="2374" w:type="dxa"/>
            <w:tcBorders>
              <w:tl2br w:val="nil"/>
              <w:tr2bl w:val="nil"/>
            </w:tcBorders>
            <w:vAlign w:val="center"/>
          </w:tcPr>
          <w:p w14:paraId="5315C79D">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《可研报告》确定，该项目供水管接至井下各作业地点，并设置供水阀门。</w:t>
            </w:r>
          </w:p>
        </w:tc>
        <w:tc>
          <w:tcPr>
            <w:tcW w:w="745" w:type="dxa"/>
            <w:tcBorders>
              <w:tl2br w:val="nil"/>
              <w:tr2bl w:val="nil"/>
            </w:tcBorders>
            <w:vAlign w:val="center"/>
          </w:tcPr>
          <w:p w14:paraId="0597C2A8">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3E163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38C9E83">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3</w:t>
            </w:r>
          </w:p>
        </w:tc>
        <w:tc>
          <w:tcPr>
            <w:tcW w:w="3360" w:type="dxa"/>
            <w:tcBorders>
              <w:tl2br w:val="nil"/>
              <w:tr2bl w:val="nil"/>
            </w:tcBorders>
            <w:vAlign w:val="center"/>
          </w:tcPr>
          <w:p w14:paraId="04A9D49F">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各主要生产中段和分段进风巷道的供水管道上安设的供水阀门，中段和分段间隔应不大于200m。</w:t>
            </w:r>
          </w:p>
        </w:tc>
        <w:tc>
          <w:tcPr>
            <w:tcW w:w="2207" w:type="dxa"/>
            <w:tcBorders>
              <w:tl2br w:val="nil"/>
              <w:tr2bl w:val="nil"/>
            </w:tcBorders>
            <w:vAlign w:val="center"/>
          </w:tcPr>
          <w:p w14:paraId="024E80C0">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《金属非金属地下矿山供水施救系统建设规范》（AQ/T2035-2023）</w:t>
            </w:r>
          </w:p>
        </w:tc>
        <w:tc>
          <w:tcPr>
            <w:tcW w:w="2374" w:type="dxa"/>
            <w:tcBorders>
              <w:tl2br w:val="nil"/>
              <w:tr2bl w:val="nil"/>
            </w:tcBorders>
            <w:vAlign w:val="center"/>
          </w:tcPr>
          <w:p w14:paraId="18AE06F1">
            <w:pPr>
              <w:spacing w:line="490" w:lineRule="exact"/>
              <w:ind w:firstLine="0" w:firstLineChars="0"/>
              <w:rPr>
                <w:sz w:val="21"/>
                <w:szCs w:val="21"/>
                <w:highlight w:val="black"/>
              </w:rPr>
            </w:pPr>
            <w:r>
              <w:rPr>
                <w:rFonts w:hint="eastAsia" w:ascii="宋体" w:hAnsi="宋体" w:cs="宋体"/>
                <w:color w:val="000000"/>
                <w:sz w:val="21"/>
                <w:szCs w:val="21"/>
                <w:highlight w:val="black"/>
              </w:rPr>
              <w:t>《可研报告》确定，</w:t>
            </w:r>
            <w:r>
              <w:rPr>
                <w:sz w:val="21"/>
                <w:szCs w:val="21"/>
                <w:highlight w:val="black"/>
              </w:rPr>
              <w:t>矿山企业于各中段运输巷内每隔200m安设一组三通及阀门</w:t>
            </w:r>
            <w:r>
              <w:rPr>
                <w:rFonts w:hint="eastAsia"/>
                <w:sz w:val="21"/>
                <w:szCs w:val="21"/>
                <w:highlight w:val="black"/>
              </w:rPr>
              <w:t>。</w:t>
            </w:r>
          </w:p>
          <w:p w14:paraId="674D0013">
            <w:pPr>
              <w:ind w:firstLine="0" w:firstLineChars="0"/>
              <w:rPr>
                <w:rFonts w:ascii="宋体" w:hAnsi="宋体" w:cs="宋体"/>
                <w:color w:val="000000"/>
                <w:sz w:val="21"/>
                <w:szCs w:val="21"/>
                <w:highlight w:val="black"/>
              </w:rPr>
            </w:pPr>
          </w:p>
        </w:tc>
        <w:tc>
          <w:tcPr>
            <w:tcW w:w="745" w:type="dxa"/>
            <w:tcBorders>
              <w:tl2br w:val="nil"/>
              <w:tr2bl w:val="nil"/>
            </w:tcBorders>
            <w:vAlign w:val="center"/>
          </w:tcPr>
          <w:p w14:paraId="1008D669">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37F50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754E0E0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4</w:t>
            </w:r>
          </w:p>
        </w:tc>
        <w:tc>
          <w:tcPr>
            <w:tcW w:w="3360" w:type="dxa"/>
            <w:tcBorders>
              <w:tl2br w:val="nil"/>
              <w:tr2bl w:val="nil"/>
            </w:tcBorders>
            <w:vAlign w:val="center"/>
          </w:tcPr>
          <w:p w14:paraId="4E7C49D4">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供水阀门安装地点应宽敞、稳固，安装位置应便于避灾人员使用；阀门应开关灵活。</w:t>
            </w:r>
          </w:p>
        </w:tc>
        <w:tc>
          <w:tcPr>
            <w:tcW w:w="2207" w:type="dxa"/>
            <w:tcBorders>
              <w:tl2br w:val="nil"/>
              <w:tr2bl w:val="nil"/>
            </w:tcBorders>
            <w:vAlign w:val="center"/>
          </w:tcPr>
          <w:p w14:paraId="11292176">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《金属非金属地下矿山供水施救系统建设规范》（AQ/T2035-2023）</w:t>
            </w:r>
          </w:p>
        </w:tc>
        <w:tc>
          <w:tcPr>
            <w:tcW w:w="2374" w:type="dxa"/>
            <w:tcBorders>
              <w:tl2br w:val="nil"/>
              <w:tr2bl w:val="nil"/>
            </w:tcBorders>
            <w:vAlign w:val="center"/>
          </w:tcPr>
          <w:p w14:paraId="71F55E5E">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《可研报告》确定，阀门的地点应宽敞稳固，便于避灾人员使用。</w:t>
            </w:r>
          </w:p>
        </w:tc>
        <w:tc>
          <w:tcPr>
            <w:tcW w:w="745" w:type="dxa"/>
            <w:tcBorders>
              <w:tl2br w:val="nil"/>
              <w:tr2bl w:val="nil"/>
            </w:tcBorders>
            <w:vAlign w:val="center"/>
          </w:tcPr>
          <w:p w14:paraId="6D322652">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79BB2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D1FA5A1">
            <w:pPr>
              <w:ind w:firstLine="0" w:firstLineChars="0"/>
              <w:jc w:val="center"/>
              <w:rPr>
                <w:rFonts w:ascii="宋体" w:hAnsi="宋体" w:cs="宋体"/>
                <w:b/>
                <w:bCs/>
                <w:color w:val="000000"/>
                <w:sz w:val="21"/>
                <w:szCs w:val="21"/>
                <w:highlight w:val="black"/>
              </w:rPr>
            </w:pPr>
            <w:r>
              <w:rPr>
                <w:rFonts w:hint="eastAsia" w:ascii="宋体" w:hAnsi="宋体" w:cs="宋体"/>
                <w:color w:val="000000"/>
                <w:sz w:val="21"/>
                <w:szCs w:val="21"/>
                <w:highlight w:val="black"/>
              </w:rPr>
              <w:t>四</w:t>
            </w:r>
          </w:p>
        </w:tc>
        <w:tc>
          <w:tcPr>
            <w:tcW w:w="8686" w:type="dxa"/>
            <w:gridSpan w:val="4"/>
            <w:tcBorders>
              <w:tl2br w:val="nil"/>
              <w:tr2bl w:val="nil"/>
            </w:tcBorders>
            <w:vAlign w:val="center"/>
          </w:tcPr>
          <w:p w14:paraId="5221E781">
            <w:pPr>
              <w:ind w:firstLine="0" w:firstLineChars="0"/>
              <w:jc w:val="center"/>
              <w:rPr>
                <w:rFonts w:ascii="宋体" w:hAnsi="宋体" w:cs="宋体"/>
                <w:color w:val="000000"/>
                <w:sz w:val="21"/>
                <w:szCs w:val="21"/>
                <w:highlight w:val="black"/>
              </w:rPr>
            </w:pPr>
            <w:r>
              <w:rPr>
                <w:rFonts w:hint="eastAsia" w:ascii="宋体" w:hAnsi="宋体" w:cs="宋体"/>
                <w:b/>
                <w:bCs/>
                <w:color w:val="000000"/>
                <w:sz w:val="21"/>
                <w:szCs w:val="21"/>
                <w:highlight w:val="black"/>
              </w:rPr>
              <w:t>通讯联络系统</w:t>
            </w:r>
          </w:p>
        </w:tc>
      </w:tr>
      <w:tr w14:paraId="0AD31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1CD83D68">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360" w:type="dxa"/>
            <w:tcBorders>
              <w:tl2br w:val="nil"/>
              <w:tr2bl w:val="nil"/>
            </w:tcBorders>
            <w:vAlign w:val="center"/>
          </w:tcPr>
          <w:p w14:paraId="2EB87A0D">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有线通信联络系统应具有以下功能：</w:t>
            </w:r>
          </w:p>
          <w:p w14:paraId="762F1232">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（1）终端设备与控制中心之间的双向语音且无阻塞通信功能。</w:t>
            </w:r>
          </w:p>
          <w:p w14:paraId="06DA0154">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（2）由控制中心发起的组呼、全呼、选呼、强拆、强插、紧呼及监听功能。</w:t>
            </w:r>
          </w:p>
          <w:p w14:paraId="74719C0D">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（3）由终端设备向控制中心发起的紧急呼叫功能。</w:t>
            </w:r>
          </w:p>
          <w:p w14:paraId="457C82D4">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（4）能够显示发起通信的终端设备的位置。</w:t>
            </w:r>
          </w:p>
          <w:p w14:paraId="54B3CC44">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（5）能够储存备份通信历史记录并可进行查询。</w:t>
            </w:r>
          </w:p>
          <w:p w14:paraId="10B030F6">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（6）自动或手动启动的录音功能。</w:t>
            </w:r>
          </w:p>
          <w:p w14:paraId="52530231">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（7）终端设备之间通信联络的功能。</w:t>
            </w:r>
          </w:p>
        </w:tc>
        <w:tc>
          <w:tcPr>
            <w:tcW w:w="2207" w:type="dxa"/>
            <w:tcBorders>
              <w:tl2br w:val="nil"/>
              <w:tr2bl w:val="nil"/>
            </w:tcBorders>
            <w:vAlign w:val="center"/>
          </w:tcPr>
          <w:p w14:paraId="5587EDD0">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《金属非金属地下矿山通讯联络系统建设规范》（AQ 2036-2011）</w:t>
            </w:r>
          </w:p>
          <w:p w14:paraId="5ABB2080">
            <w:pPr>
              <w:ind w:firstLine="0" w:firstLineChars="0"/>
              <w:jc w:val="center"/>
              <w:rPr>
                <w:rFonts w:ascii="宋体" w:hAnsi="宋体" w:cs="宋体"/>
                <w:color w:val="000000"/>
                <w:sz w:val="21"/>
                <w:szCs w:val="21"/>
                <w:highlight w:val="black"/>
              </w:rPr>
            </w:pPr>
          </w:p>
        </w:tc>
        <w:tc>
          <w:tcPr>
            <w:tcW w:w="2374" w:type="dxa"/>
            <w:tcBorders>
              <w:tl2br w:val="nil"/>
              <w:tr2bl w:val="nil"/>
            </w:tcBorders>
            <w:vAlign w:val="center"/>
          </w:tcPr>
          <w:p w14:paraId="57DAA378">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《可研报告》确定，该项目建立完善的井下通信联络系统，功能满足上述要求。</w:t>
            </w:r>
          </w:p>
        </w:tc>
        <w:tc>
          <w:tcPr>
            <w:tcW w:w="745" w:type="dxa"/>
            <w:tcBorders>
              <w:tl2br w:val="nil"/>
              <w:tr2bl w:val="nil"/>
            </w:tcBorders>
            <w:vAlign w:val="center"/>
          </w:tcPr>
          <w:p w14:paraId="79BE0BAE">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677B0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5E4B201E">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2</w:t>
            </w:r>
          </w:p>
        </w:tc>
        <w:tc>
          <w:tcPr>
            <w:tcW w:w="3360" w:type="dxa"/>
            <w:tcBorders>
              <w:tl2br w:val="nil"/>
              <w:tr2bl w:val="nil"/>
            </w:tcBorders>
            <w:vAlign w:val="center"/>
          </w:tcPr>
          <w:p w14:paraId="031C0FBF">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安装通信联络终端设备的地点应包括：井底车场、马头门、井下运输调度室、主要机电硐室、井下变电所、井下各中段采区、主要泵房、主要通风机房、井下紧急避险设施、爆破时撤离人员集中地点、提升机房、井下爆破器材库、装卸矿点等。</w:t>
            </w:r>
          </w:p>
        </w:tc>
        <w:tc>
          <w:tcPr>
            <w:tcW w:w="2207" w:type="dxa"/>
            <w:tcBorders>
              <w:tl2br w:val="nil"/>
              <w:tr2bl w:val="nil"/>
            </w:tcBorders>
            <w:vAlign w:val="center"/>
          </w:tcPr>
          <w:p w14:paraId="6694B4A0">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《金属非金属地下矿山通讯联络系统建设规范》（AQ 2036-2011）</w:t>
            </w:r>
          </w:p>
          <w:p w14:paraId="71E25EB4">
            <w:pPr>
              <w:ind w:firstLine="0" w:firstLineChars="0"/>
              <w:jc w:val="center"/>
              <w:rPr>
                <w:rFonts w:ascii="宋体" w:hAnsi="宋体" w:cs="宋体"/>
                <w:color w:val="000000"/>
                <w:sz w:val="21"/>
                <w:szCs w:val="21"/>
                <w:highlight w:val="black"/>
              </w:rPr>
            </w:pPr>
          </w:p>
        </w:tc>
        <w:tc>
          <w:tcPr>
            <w:tcW w:w="2374" w:type="dxa"/>
            <w:tcBorders>
              <w:tl2br w:val="nil"/>
              <w:tr2bl w:val="nil"/>
            </w:tcBorders>
            <w:vAlign w:val="center"/>
          </w:tcPr>
          <w:p w14:paraId="1458048C">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《可研报告》确定，该项目主要地点，均建立有可靠的通信联络系统。</w:t>
            </w:r>
          </w:p>
        </w:tc>
        <w:tc>
          <w:tcPr>
            <w:tcW w:w="745" w:type="dxa"/>
            <w:tcBorders>
              <w:tl2br w:val="nil"/>
              <w:tr2bl w:val="nil"/>
            </w:tcBorders>
            <w:vAlign w:val="center"/>
          </w:tcPr>
          <w:p w14:paraId="0FB32ABB">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70822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74CC5426">
            <w:pPr>
              <w:ind w:firstLine="0" w:firstLineChars="0"/>
              <w:jc w:val="center"/>
              <w:rPr>
                <w:rFonts w:ascii="宋体" w:hAnsi="宋体" w:cs="宋体"/>
                <w:b/>
                <w:bCs/>
                <w:color w:val="000000"/>
                <w:sz w:val="21"/>
                <w:szCs w:val="21"/>
                <w:highlight w:val="black"/>
              </w:rPr>
            </w:pPr>
            <w:r>
              <w:rPr>
                <w:rFonts w:hint="eastAsia" w:ascii="宋体" w:hAnsi="宋体" w:cs="宋体"/>
                <w:color w:val="000000"/>
                <w:sz w:val="21"/>
                <w:szCs w:val="21"/>
                <w:highlight w:val="black"/>
              </w:rPr>
              <w:t>五</w:t>
            </w:r>
          </w:p>
        </w:tc>
        <w:tc>
          <w:tcPr>
            <w:tcW w:w="8686" w:type="dxa"/>
            <w:gridSpan w:val="4"/>
            <w:tcBorders>
              <w:tl2br w:val="nil"/>
              <w:tr2bl w:val="nil"/>
            </w:tcBorders>
            <w:vAlign w:val="center"/>
          </w:tcPr>
          <w:p w14:paraId="5DC52DFD">
            <w:pPr>
              <w:ind w:firstLine="0" w:firstLineChars="0"/>
              <w:jc w:val="center"/>
              <w:rPr>
                <w:rFonts w:ascii="宋体" w:hAnsi="宋体" w:cs="宋体"/>
                <w:color w:val="000000"/>
                <w:sz w:val="21"/>
                <w:szCs w:val="21"/>
                <w:highlight w:val="black"/>
              </w:rPr>
            </w:pPr>
            <w:r>
              <w:rPr>
                <w:rFonts w:hint="eastAsia" w:ascii="宋体" w:hAnsi="宋体" w:cs="宋体"/>
                <w:b/>
                <w:bCs/>
                <w:color w:val="000000"/>
                <w:sz w:val="21"/>
                <w:szCs w:val="21"/>
                <w:highlight w:val="black"/>
              </w:rPr>
              <w:t>人员定位系统</w:t>
            </w:r>
          </w:p>
        </w:tc>
      </w:tr>
      <w:tr w14:paraId="44097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C9B2C25">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360" w:type="dxa"/>
            <w:tcBorders>
              <w:tl2br w:val="nil"/>
              <w:tr2bl w:val="nil"/>
            </w:tcBorders>
            <w:vAlign w:val="center"/>
          </w:tcPr>
          <w:p w14:paraId="77F95417">
            <w:pPr>
              <w:adjustRightInd w:val="0"/>
              <w:snapToGrid w:val="0"/>
              <w:ind w:firstLine="420"/>
              <w:rPr>
                <w:rFonts w:ascii="宋体" w:hAnsi="宋体" w:cs="宋体"/>
                <w:sz w:val="21"/>
                <w:szCs w:val="21"/>
                <w:highlight w:val="black"/>
              </w:rPr>
            </w:pPr>
            <w:r>
              <w:rPr>
                <w:rFonts w:hint="eastAsia" w:ascii="宋体" w:hAnsi="宋体" w:cs="宋体"/>
                <w:sz w:val="21"/>
                <w:szCs w:val="21"/>
                <w:highlight w:val="black"/>
              </w:rPr>
              <w:t>金属非金属地下矿山在基建过程中应当同步建立人员定位系统。</w:t>
            </w:r>
          </w:p>
        </w:tc>
        <w:tc>
          <w:tcPr>
            <w:tcW w:w="2207" w:type="dxa"/>
            <w:tcBorders>
              <w:tl2br w:val="nil"/>
              <w:tr2bl w:val="nil"/>
            </w:tcBorders>
            <w:vAlign w:val="center"/>
          </w:tcPr>
          <w:p w14:paraId="331BEF97">
            <w:pPr>
              <w:ind w:firstLine="0" w:firstLineChars="0"/>
              <w:jc w:val="left"/>
              <w:rPr>
                <w:rFonts w:ascii="宋体" w:hAnsi="宋体" w:cs="宋体"/>
                <w:sz w:val="21"/>
                <w:szCs w:val="21"/>
                <w:highlight w:val="black"/>
              </w:rPr>
            </w:pPr>
            <w:r>
              <w:rPr>
                <w:rFonts w:hint="eastAsia" w:ascii="宋体" w:hAnsi="宋体" w:cs="宋体"/>
                <w:sz w:val="21"/>
                <w:szCs w:val="21"/>
                <w:highlight w:val="black"/>
              </w:rPr>
              <w:t>根据国家矿山安全监察局关于印发《关于加强非煤矿山安全生产工作的指导意见》的通知（矿安〔2022〕4号文）。</w:t>
            </w:r>
          </w:p>
        </w:tc>
        <w:tc>
          <w:tcPr>
            <w:tcW w:w="2374" w:type="dxa"/>
            <w:tcBorders>
              <w:tl2br w:val="nil"/>
              <w:tr2bl w:val="nil"/>
            </w:tcBorders>
            <w:vAlign w:val="center"/>
          </w:tcPr>
          <w:p w14:paraId="51C349CC">
            <w:pPr>
              <w:ind w:firstLine="0" w:firstLineChars="0"/>
              <w:rPr>
                <w:rFonts w:ascii="宋体" w:hAnsi="宋体" w:cs="宋体"/>
                <w:sz w:val="21"/>
                <w:szCs w:val="21"/>
                <w:highlight w:val="black"/>
              </w:rPr>
            </w:pPr>
            <w:r>
              <w:rPr>
                <w:rFonts w:hint="eastAsia" w:ascii="宋体" w:hAnsi="宋体" w:cs="宋体"/>
                <w:sz w:val="21"/>
                <w:szCs w:val="21"/>
                <w:highlight w:val="black"/>
              </w:rPr>
              <w:t>《可研报告》确定，该矿应在基建过程中应当同步建立人员定位系统。</w:t>
            </w:r>
          </w:p>
        </w:tc>
        <w:tc>
          <w:tcPr>
            <w:tcW w:w="745" w:type="dxa"/>
            <w:tcBorders>
              <w:tl2br w:val="nil"/>
              <w:tr2bl w:val="nil"/>
            </w:tcBorders>
            <w:vAlign w:val="center"/>
          </w:tcPr>
          <w:p w14:paraId="4BF2FE0F">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48700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39E68589">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六</w:t>
            </w:r>
          </w:p>
        </w:tc>
        <w:tc>
          <w:tcPr>
            <w:tcW w:w="8686" w:type="dxa"/>
            <w:gridSpan w:val="4"/>
            <w:tcBorders>
              <w:tl2br w:val="nil"/>
              <w:tr2bl w:val="nil"/>
            </w:tcBorders>
            <w:vAlign w:val="center"/>
          </w:tcPr>
          <w:p w14:paraId="5B9D9BD4">
            <w:pPr>
              <w:ind w:firstLine="0" w:firstLineChars="0"/>
              <w:jc w:val="center"/>
              <w:rPr>
                <w:rFonts w:ascii="宋体" w:hAnsi="宋体" w:cs="宋体"/>
                <w:color w:val="000000"/>
                <w:sz w:val="21"/>
                <w:szCs w:val="21"/>
                <w:highlight w:val="black"/>
              </w:rPr>
            </w:pPr>
            <w:r>
              <w:rPr>
                <w:rFonts w:hint="eastAsia" w:ascii="宋体" w:hAnsi="宋体" w:cs="宋体"/>
                <w:b/>
                <w:bCs/>
                <w:color w:val="000000"/>
                <w:sz w:val="21"/>
                <w:szCs w:val="21"/>
                <w:highlight w:val="black"/>
              </w:rPr>
              <w:t>紧急避险系统</w:t>
            </w:r>
          </w:p>
        </w:tc>
      </w:tr>
      <w:tr w14:paraId="2C232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0C49369A">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1</w:t>
            </w:r>
          </w:p>
        </w:tc>
        <w:tc>
          <w:tcPr>
            <w:tcW w:w="3360" w:type="dxa"/>
            <w:tcBorders>
              <w:tl2br w:val="nil"/>
              <w:tr2bl w:val="nil"/>
            </w:tcBorders>
            <w:vAlign w:val="center"/>
          </w:tcPr>
          <w:p w14:paraId="6FC05B01">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应为入井人员配备额定防护时间不少于30min的自救器，并按入井总人数的10%配备备用自救器。</w:t>
            </w:r>
          </w:p>
        </w:tc>
        <w:tc>
          <w:tcPr>
            <w:tcW w:w="2207" w:type="dxa"/>
            <w:tcBorders>
              <w:tl2br w:val="nil"/>
              <w:tr2bl w:val="nil"/>
            </w:tcBorders>
            <w:vAlign w:val="center"/>
          </w:tcPr>
          <w:p w14:paraId="417023E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《金属非金属地下矿山紧急避险系统建设规范》（AQ/T2033-2023）</w:t>
            </w:r>
          </w:p>
        </w:tc>
        <w:tc>
          <w:tcPr>
            <w:tcW w:w="2374" w:type="dxa"/>
            <w:tcBorders>
              <w:tl2br w:val="nil"/>
              <w:tr2bl w:val="nil"/>
            </w:tcBorders>
            <w:vAlign w:val="center"/>
          </w:tcPr>
          <w:p w14:paraId="061D6BF3">
            <w:pPr>
              <w:spacing w:line="490" w:lineRule="exact"/>
              <w:ind w:firstLine="0" w:firstLineChars="0"/>
              <w:rPr>
                <w:sz w:val="21"/>
                <w:szCs w:val="21"/>
                <w:highlight w:val="black"/>
              </w:rPr>
            </w:pPr>
            <w:r>
              <w:rPr>
                <w:rFonts w:hint="eastAsia" w:ascii="宋体" w:hAnsi="宋体" w:cs="宋体"/>
                <w:color w:val="000000"/>
                <w:sz w:val="21"/>
                <w:szCs w:val="21"/>
                <w:highlight w:val="black"/>
              </w:rPr>
              <w:t>《可研报告》确定，该矿入井人员配备额定防护时间为30min的自救器，本矿人数为81人</w:t>
            </w:r>
            <w:r>
              <w:rPr>
                <w:rFonts w:hint="eastAsia"/>
                <w:sz w:val="21"/>
                <w:szCs w:val="21"/>
                <w:highlight w:val="black"/>
              </w:rPr>
              <w:t>，</w:t>
            </w:r>
            <w:r>
              <w:rPr>
                <w:sz w:val="21"/>
                <w:szCs w:val="21"/>
                <w:highlight w:val="black"/>
              </w:rPr>
              <w:t>矿山配备</w:t>
            </w:r>
            <w:r>
              <w:rPr>
                <w:rFonts w:hint="eastAsia"/>
                <w:sz w:val="21"/>
                <w:szCs w:val="21"/>
                <w:highlight w:val="black"/>
              </w:rPr>
              <w:t>90</w:t>
            </w:r>
            <w:r>
              <w:rPr>
                <w:sz w:val="21"/>
                <w:szCs w:val="21"/>
                <w:highlight w:val="black"/>
              </w:rPr>
              <w:t>台自救器。</w:t>
            </w:r>
          </w:p>
          <w:p w14:paraId="31C2EA66">
            <w:pPr>
              <w:ind w:firstLine="0" w:firstLineChars="0"/>
              <w:rPr>
                <w:rFonts w:ascii="宋体" w:hAnsi="宋体" w:cs="宋体"/>
                <w:color w:val="000000"/>
                <w:sz w:val="21"/>
                <w:szCs w:val="21"/>
                <w:highlight w:val="black"/>
              </w:rPr>
            </w:pPr>
          </w:p>
        </w:tc>
        <w:tc>
          <w:tcPr>
            <w:tcW w:w="745" w:type="dxa"/>
            <w:tcBorders>
              <w:tl2br w:val="nil"/>
              <w:tr2bl w:val="nil"/>
            </w:tcBorders>
            <w:vAlign w:val="center"/>
          </w:tcPr>
          <w:p w14:paraId="1DA70979">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1A660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5B7D31B1">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2</w:t>
            </w:r>
          </w:p>
        </w:tc>
        <w:tc>
          <w:tcPr>
            <w:tcW w:w="3360" w:type="dxa"/>
            <w:tcBorders>
              <w:tl2br w:val="nil"/>
              <w:tr2bl w:val="nil"/>
            </w:tcBorders>
            <w:vAlign w:val="center"/>
          </w:tcPr>
          <w:p w14:paraId="6CE831DC">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所有入井人员必须随身携带自救器。</w:t>
            </w:r>
          </w:p>
        </w:tc>
        <w:tc>
          <w:tcPr>
            <w:tcW w:w="2207" w:type="dxa"/>
            <w:tcBorders>
              <w:tl2br w:val="nil"/>
              <w:tr2bl w:val="nil"/>
            </w:tcBorders>
            <w:vAlign w:val="center"/>
          </w:tcPr>
          <w:p w14:paraId="22CDA79B">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《金属非金属地下矿山紧急避险系统建设规范》（AQ/T2033-2023）</w:t>
            </w:r>
          </w:p>
        </w:tc>
        <w:tc>
          <w:tcPr>
            <w:tcW w:w="2374" w:type="dxa"/>
            <w:tcBorders>
              <w:tl2br w:val="nil"/>
              <w:tr2bl w:val="nil"/>
            </w:tcBorders>
            <w:vAlign w:val="center"/>
          </w:tcPr>
          <w:p w14:paraId="46A3A153">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《可研报告》确定，该项目所有入井人员必须随身携带自救器。</w:t>
            </w:r>
          </w:p>
        </w:tc>
        <w:tc>
          <w:tcPr>
            <w:tcW w:w="745" w:type="dxa"/>
            <w:tcBorders>
              <w:tl2br w:val="nil"/>
              <w:tr2bl w:val="nil"/>
            </w:tcBorders>
            <w:vAlign w:val="center"/>
          </w:tcPr>
          <w:p w14:paraId="0E70D9F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7AF96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5862F6A4">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3</w:t>
            </w:r>
          </w:p>
        </w:tc>
        <w:tc>
          <w:tcPr>
            <w:tcW w:w="3360" w:type="dxa"/>
            <w:tcBorders>
              <w:tl2br w:val="nil"/>
              <w:tr2bl w:val="nil"/>
            </w:tcBorders>
            <w:vAlign w:val="center"/>
          </w:tcPr>
          <w:p w14:paraId="679CD1DC">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每个矿井至少要有两个独立的直达地面的安全出口，安全出口间距不小于30m；</w:t>
            </w:r>
          </w:p>
          <w:p w14:paraId="062BCE6D">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每个生产水平或中段至少应有两个便于行人的安全出口，并和通往地面的安全出口相通；</w:t>
            </w:r>
          </w:p>
          <w:p w14:paraId="599AD57B">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每个采区至少应有两个便于行人的安全出口，并经上、下巷道与通往地面的安全出口相通。</w:t>
            </w:r>
          </w:p>
        </w:tc>
        <w:tc>
          <w:tcPr>
            <w:tcW w:w="2207" w:type="dxa"/>
            <w:tcBorders>
              <w:tl2br w:val="nil"/>
              <w:tr2bl w:val="nil"/>
            </w:tcBorders>
            <w:vAlign w:val="center"/>
          </w:tcPr>
          <w:p w14:paraId="23FCBE21">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《金属非金属地下矿山紧急避险系统建设规范》（AQ/T2033-2023）</w:t>
            </w:r>
          </w:p>
        </w:tc>
        <w:tc>
          <w:tcPr>
            <w:tcW w:w="2374" w:type="dxa"/>
            <w:tcBorders>
              <w:tl2br w:val="nil"/>
              <w:tr2bl w:val="nil"/>
            </w:tcBorders>
            <w:vAlign w:val="center"/>
          </w:tcPr>
          <w:p w14:paraId="3216C7CA">
            <w:pPr>
              <w:ind w:firstLine="0" w:firstLineChars="0"/>
              <w:rPr>
                <w:rFonts w:ascii="宋体" w:hAnsi="宋体" w:cs="宋体"/>
                <w:color w:val="000000"/>
                <w:sz w:val="21"/>
                <w:szCs w:val="21"/>
                <w:highlight w:val="black"/>
              </w:rPr>
            </w:pPr>
            <w:r>
              <w:rPr>
                <w:rFonts w:hint="eastAsia" w:ascii="宋体" w:hAnsi="宋体" w:cs="宋体"/>
                <w:color w:val="000000"/>
                <w:sz w:val="21"/>
                <w:szCs w:val="21"/>
                <w:highlight w:val="black"/>
              </w:rPr>
              <w:t>《可研报告》确定，该项目有两个独立的直达地面的安全出口，安全出口间距大于30m；每个生产水平或中段至少应有两个便于行人的安全出口，并和通往地面的安全出口相通；每个采区至少应有两个便于行人的安全出口，并经上、下巷道与通往地面的安全出口相通。</w:t>
            </w:r>
          </w:p>
        </w:tc>
        <w:tc>
          <w:tcPr>
            <w:tcW w:w="745" w:type="dxa"/>
            <w:tcBorders>
              <w:tl2br w:val="nil"/>
              <w:tr2bl w:val="nil"/>
            </w:tcBorders>
            <w:vAlign w:val="center"/>
          </w:tcPr>
          <w:p w14:paraId="2EFB5505">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r w14:paraId="12B42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l2br w:val="nil"/>
              <w:tr2bl w:val="nil"/>
            </w:tcBorders>
            <w:vAlign w:val="center"/>
          </w:tcPr>
          <w:p w14:paraId="4C56F992">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4</w:t>
            </w:r>
          </w:p>
        </w:tc>
        <w:tc>
          <w:tcPr>
            <w:tcW w:w="3360" w:type="dxa"/>
            <w:tcBorders>
              <w:tl2br w:val="nil"/>
              <w:tr2bl w:val="nil"/>
            </w:tcBorders>
            <w:vAlign w:val="center"/>
          </w:tcPr>
          <w:p w14:paraId="3FB12D7B">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应编制事故应急预案，根据矿山事故风险辨识评估结论，制定相应灾害的避灾路线，绘制井下避灾线路图，并按照GB14161-2008的规定，做好井下避灾路线的标识。井巷的所有分道口要有醒目的路标，注明其所在地点及通往地面出口的方向，并定期检查维护避灾路线，保持其通畅。</w:t>
            </w:r>
          </w:p>
        </w:tc>
        <w:tc>
          <w:tcPr>
            <w:tcW w:w="2207" w:type="dxa"/>
            <w:tcBorders>
              <w:tl2br w:val="nil"/>
              <w:tr2bl w:val="nil"/>
            </w:tcBorders>
            <w:vAlign w:val="center"/>
          </w:tcPr>
          <w:p w14:paraId="0B2AA08D">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《金属非金属地下矿山紧急避险系统建设规范》（AQ/T2033-2023）</w:t>
            </w:r>
          </w:p>
        </w:tc>
        <w:tc>
          <w:tcPr>
            <w:tcW w:w="2374" w:type="dxa"/>
            <w:tcBorders>
              <w:tl2br w:val="nil"/>
              <w:tr2bl w:val="nil"/>
            </w:tcBorders>
            <w:vAlign w:val="center"/>
          </w:tcPr>
          <w:p w14:paraId="7D5E0508">
            <w:pPr>
              <w:ind w:firstLine="420"/>
              <w:rPr>
                <w:rFonts w:ascii="宋体" w:hAnsi="宋体" w:cs="宋体"/>
                <w:color w:val="000000"/>
                <w:sz w:val="21"/>
                <w:szCs w:val="21"/>
                <w:highlight w:val="black"/>
              </w:rPr>
            </w:pPr>
            <w:r>
              <w:rPr>
                <w:rFonts w:hint="eastAsia" w:ascii="宋体" w:hAnsi="宋体" w:cs="宋体"/>
                <w:color w:val="000000"/>
                <w:sz w:val="21"/>
                <w:szCs w:val="21"/>
                <w:highlight w:val="black"/>
              </w:rPr>
              <w:t>《可研报告》确定，要求企业应编制事故应急预案，制定各种灾害的避灾路线，绘制井下避灾线路图，并按照《矿山安全标志》（GB 14161-2008）的规定，做好井下避灾路线的标识。井巷的所有分道口要有醒目的路标，注明其所在地点及通往地面出口的方向，并定期检查维护避灾路线，保持其畅通。</w:t>
            </w:r>
          </w:p>
          <w:p w14:paraId="1AF3EC82">
            <w:pPr>
              <w:ind w:firstLine="0" w:firstLineChars="0"/>
              <w:rPr>
                <w:rFonts w:ascii="宋体" w:hAnsi="宋体" w:cs="宋体"/>
                <w:color w:val="000000"/>
                <w:sz w:val="21"/>
                <w:szCs w:val="21"/>
                <w:highlight w:val="black"/>
              </w:rPr>
            </w:pPr>
          </w:p>
        </w:tc>
        <w:tc>
          <w:tcPr>
            <w:tcW w:w="745" w:type="dxa"/>
            <w:tcBorders>
              <w:tl2br w:val="nil"/>
              <w:tr2bl w:val="nil"/>
            </w:tcBorders>
            <w:vAlign w:val="center"/>
          </w:tcPr>
          <w:p w14:paraId="1AC50095">
            <w:pPr>
              <w:ind w:firstLine="0" w:firstLineChars="0"/>
              <w:jc w:val="center"/>
              <w:rPr>
                <w:rFonts w:ascii="宋体" w:hAnsi="宋体" w:cs="宋体"/>
                <w:color w:val="000000"/>
                <w:sz w:val="21"/>
                <w:szCs w:val="21"/>
                <w:highlight w:val="black"/>
              </w:rPr>
            </w:pPr>
            <w:r>
              <w:rPr>
                <w:rFonts w:hint="eastAsia" w:ascii="宋体" w:hAnsi="宋体" w:cs="宋体"/>
                <w:color w:val="000000"/>
                <w:sz w:val="21"/>
                <w:szCs w:val="21"/>
                <w:highlight w:val="black"/>
              </w:rPr>
              <w:t>符合</w:t>
            </w:r>
          </w:p>
        </w:tc>
      </w:tr>
    </w:tbl>
    <w:p w14:paraId="24548047">
      <w:pPr>
        <w:pStyle w:val="4"/>
        <w:ind w:firstLine="0" w:firstLineChars="0"/>
      </w:pPr>
      <w:r>
        <w:rPr>
          <w:rFonts w:hint="eastAsia"/>
        </w:rPr>
        <w:t>3</w:t>
      </w:r>
      <w:r>
        <w:t>.</w:t>
      </w:r>
      <w:r>
        <w:rPr>
          <w:rFonts w:hint="eastAsia"/>
        </w:rPr>
        <w:t>8.</w:t>
      </w:r>
      <w:r>
        <w:rPr>
          <w:rFonts w:hint="eastAsia"/>
          <w:lang w:val="en-US" w:eastAsia="zh-CN"/>
        </w:rPr>
        <w:t>2</w:t>
      </w:r>
      <w:r>
        <w:rPr>
          <w:rFonts w:hint="eastAsia"/>
        </w:rPr>
        <w:t xml:space="preserve"> 评价结果</w:t>
      </w:r>
    </w:p>
    <w:p w14:paraId="58C9EC53">
      <w:pPr>
        <w:ind w:firstLine="560"/>
        <w:rPr>
          <w:highlight w:val="black"/>
          <w:lang w:val="zh-CN"/>
        </w:rPr>
      </w:pPr>
      <w:bookmarkStart w:id="304" w:name="_Toc422418778"/>
      <w:r>
        <w:rPr>
          <w:rFonts w:hint="eastAsia"/>
          <w:highlight w:val="black"/>
          <w:lang w:val="zh-CN"/>
        </w:rPr>
        <w:t>通过上述检查表检查，本单元安全检查表检查项目</w:t>
      </w:r>
      <w:r>
        <w:rPr>
          <w:rFonts w:hint="eastAsia"/>
          <w:highlight w:val="black"/>
        </w:rPr>
        <w:t>20</w:t>
      </w:r>
      <w:r>
        <w:rPr>
          <w:rFonts w:hint="eastAsia"/>
          <w:highlight w:val="black"/>
          <w:lang w:val="zh-CN"/>
        </w:rPr>
        <w:t>项，</w:t>
      </w:r>
      <w:r>
        <w:rPr>
          <w:rFonts w:hint="eastAsia"/>
          <w:highlight w:val="black"/>
        </w:rPr>
        <w:t>其中1项《可研报告》中未提及，</w:t>
      </w:r>
      <w:r>
        <w:rPr>
          <w:rFonts w:hint="eastAsia"/>
          <w:highlight w:val="black"/>
          <w:lang w:val="zh-CN"/>
        </w:rPr>
        <w:t>建议在以后的安全设施设计编制过程中进行补充。</w:t>
      </w:r>
    </w:p>
    <w:p w14:paraId="557BFF66">
      <w:pPr>
        <w:pStyle w:val="3"/>
        <w:ind w:firstLine="0" w:firstLineChars="0"/>
      </w:pPr>
      <w:bookmarkStart w:id="305" w:name="_Toc13446"/>
      <w:r>
        <w:t>3.</w:t>
      </w:r>
      <w:r>
        <w:rPr>
          <w:rFonts w:hint="eastAsia"/>
        </w:rPr>
        <w:t xml:space="preserve">9 </w:t>
      </w:r>
      <w:r>
        <w:t>安全管理及其他单元</w:t>
      </w:r>
      <w:bookmarkEnd w:id="304"/>
      <w:bookmarkEnd w:id="305"/>
    </w:p>
    <w:p w14:paraId="4CB02F56">
      <w:pPr>
        <w:pStyle w:val="7"/>
        <w:numPr>
          <w:ilvl w:val="0"/>
          <w:numId w:val="0"/>
        </w:numPr>
        <w:ind w:firstLine="560" w:firstLineChars="200"/>
        <w:rPr>
          <w:rFonts w:hint="default" w:eastAsia="宋体"/>
          <w:highlight w:val="black"/>
          <w:lang w:val="en-US" w:eastAsia="zh-CN"/>
        </w:rPr>
      </w:pPr>
      <w:bookmarkStart w:id="306" w:name="_Toc505723235"/>
      <w:bookmarkStart w:id="307" w:name="_Toc2249"/>
      <w:bookmarkStart w:id="308" w:name="_Toc454915738"/>
      <w:bookmarkStart w:id="309" w:name="_Toc56554659"/>
      <w:bookmarkStart w:id="310" w:name="_Toc180734307"/>
      <w:bookmarkStart w:id="311" w:name="_Toc169854404"/>
      <w:bookmarkStart w:id="312" w:name="_Toc178849956"/>
      <w:bookmarkStart w:id="313" w:name="_Toc194557912"/>
      <w:bookmarkStart w:id="314" w:name="_Toc167603192"/>
      <w:r>
        <w:rPr>
          <w:highlight w:val="black"/>
        </w:rPr>
        <w:t>安全生产管理措施是安全生产技术措施得以实现和有效运行的保障。《</w:t>
      </w:r>
      <w:r>
        <w:rPr>
          <w:rFonts w:hint="eastAsia"/>
          <w:highlight w:val="black"/>
          <w:lang w:val="en-US" w:eastAsia="zh-CN"/>
        </w:rPr>
        <w:t>可研报告</w:t>
      </w:r>
      <w:r>
        <w:rPr>
          <w:highlight w:val="black"/>
        </w:rPr>
        <w:t>》中提出</w:t>
      </w:r>
      <w:r>
        <w:rPr>
          <w:rFonts w:hint="eastAsia"/>
          <w:highlight w:val="black"/>
          <w:lang w:val="en-US" w:eastAsia="zh-CN"/>
        </w:rPr>
        <w:t>的</w:t>
      </w:r>
      <w:r>
        <w:rPr>
          <w:highlight w:val="black"/>
        </w:rPr>
        <w:t>安全生产管理方面的</w:t>
      </w:r>
      <w:r>
        <w:rPr>
          <w:rFonts w:hint="eastAsia"/>
          <w:highlight w:val="black"/>
          <w:lang w:val="en-US" w:eastAsia="zh-CN"/>
        </w:rPr>
        <w:t>内容较为全面</w:t>
      </w:r>
      <w:r>
        <w:rPr>
          <w:highlight w:val="black"/>
        </w:rPr>
        <w:t>，</w:t>
      </w:r>
      <w:r>
        <w:rPr>
          <w:rFonts w:hint="eastAsia"/>
          <w:highlight w:val="black"/>
          <w:lang w:val="en-US" w:eastAsia="zh-CN"/>
        </w:rPr>
        <w:t>本次评价报告在第四章节“安全管理单元安全对策措施”中给予补充，在今后的安全设施设计编制过程中应予以采纳。</w:t>
      </w:r>
    </w:p>
    <w:p w14:paraId="3ACE10B4">
      <w:pPr>
        <w:bidi w:val="0"/>
        <w:rPr>
          <w:highlight w:val="black"/>
        </w:rPr>
      </w:pPr>
      <w:r>
        <w:rPr>
          <w:highlight w:val="black"/>
        </w:rPr>
        <w:t>建设单位在以后的生产中，</w:t>
      </w:r>
      <w:r>
        <w:rPr>
          <w:rFonts w:hint="eastAsia"/>
          <w:highlight w:val="black"/>
          <w:lang w:val="en-US" w:eastAsia="zh-CN"/>
        </w:rPr>
        <w:t>应</w:t>
      </w:r>
      <w:r>
        <w:rPr>
          <w:highlight w:val="black"/>
        </w:rPr>
        <w:t>落实本报告在安全管理方面提出的措施，建立安全管理机构、安全管理制度、应急救援预案，并要对安全管理人员和特种作业人员进行培训，生产中要落实矿领导带班下井制度等各项制度，以确保安全生产管理有效的运用于施工及生产的各个环节，就能够最大限度的确保本项目的安全生产。</w:t>
      </w:r>
    </w:p>
    <w:p w14:paraId="0AEF60EE">
      <w:pPr>
        <w:pStyle w:val="3"/>
        <w:ind w:firstLine="0" w:firstLineChars="0"/>
      </w:pPr>
      <w:r>
        <w:rPr>
          <w:rFonts w:hint="eastAsia"/>
        </w:rPr>
        <w:t xml:space="preserve">3.10 </w:t>
      </w:r>
      <w:r>
        <w:t>重大危险源辨识单元</w:t>
      </w:r>
      <w:bookmarkEnd w:id="306"/>
      <w:bookmarkEnd w:id="307"/>
      <w:bookmarkEnd w:id="308"/>
      <w:bookmarkEnd w:id="309"/>
    </w:p>
    <w:p w14:paraId="1C6637B8">
      <w:pPr>
        <w:ind w:firstLine="560"/>
        <w:rPr>
          <w:highlight w:val="black"/>
        </w:rPr>
      </w:pPr>
      <w:r>
        <w:rPr>
          <w:rFonts w:hint="eastAsia"/>
          <w:highlight w:val="black"/>
        </w:rPr>
        <w:t>因</w:t>
      </w:r>
      <w:r>
        <w:rPr>
          <w:highlight w:val="black"/>
        </w:rPr>
        <w:t>《关于开展重大危险源监督管理工作的指导意见》（安监管协调字</w:t>
      </w:r>
      <w:r>
        <w:rPr>
          <w:rFonts w:hint="eastAsia"/>
          <w:highlight w:val="black"/>
        </w:rPr>
        <w:t>〔</w:t>
      </w:r>
      <w:r>
        <w:rPr>
          <w:highlight w:val="black"/>
        </w:rPr>
        <w:t>2004</w:t>
      </w:r>
      <w:r>
        <w:rPr>
          <w:rFonts w:hint="eastAsia"/>
          <w:highlight w:val="black"/>
        </w:rPr>
        <w:t>〕</w:t>
      </w:r>
      <w:r>
        <w:rPr>
          <w:highlight w:val="black"/>
        </w:rPr>
        <w:t>56号）</w:t>
      </w:r>
      <w:r>
        <w:rPr>
          <w:rFonts w:hint="eastAsia"/>
          <w:highlight w:val="black"/>
        </w:rPr>
        <w:t>已经废止，矿山</w:t>
      </w:r>
      <w:r>
        <w:rPr>
          <w:highlight w:val="black"/>
        </w:rPr>
        <w:t>重大危险源辨识</w:t>
      </w:r>
      <w:r>
        <w:rPr>
          <w:rFonts w:hint="eastAsia"/>
          <w:highlight w:val="black"/>
        </w:rPr>
        <w:t>只依据《危险化学品重大危险源辨识》（</w:t>
      </w:r>
      <w:r>
        <w:rPr>
          <w:highlight w:val="black"/>
        </w:rPr>
        <w:t>GB18218</w:t>
      </w:r>
      <w:r>
        <w:rPr>
          <w:rFonts w:hint="eastAsia"/>
          <w:highlight w:val="black"/>
        </w:rPr>
        <w:t>-20</w:t>
      </w:r>
      <w:r>
        <w:rPr>
          <w:highlight w:val="black"/>
        </w:rPr>
        <w:t>18</w:t>
      </w:r>
      <w:r>
        <w:rPr>
          <w:rFonts w:hint="eastAsia"/>
          <w:highlight w:val="black"/>
        </w:rPr>
        <w:t>），通过分析可知，矿山不存在危险化学品，因此，不存在重大危险源。</w:t>
      </w:r>
    </w:p>
    <w:bookmarkEnd w:id="310"/>
    <w:bookmarkEnd w:id="311"/>
    <w:bookmarkEnd w:id="312"/>
    <w:bookmarkEnd w:id="313"/>
    <w:bookmarkEnd w:id="314"/>
    <w:p w14:paraId="18745C99">
      <w:pPr>
        <w:pStyle w:val="2"/>
        <w:numPr>
          <w:ilvl w:val="0"/>
          <w:numId w:val="0"/>
        </w:numPr>
        <w:jc w:val="center"/>
      </w:pPr>
      <w:bookmarkStart w:id="315" w:name="_Toc141753597"/>
      <w:bookmarkStart w:id="316" w:name="_Toc122427257"/>
      <w:bookmarkStart w:id="317" w:name="_Toc258772321"/>
      <w:bookmarkStart w:id="318" w:name="_Toc202516817"/>
      <w:bookmarkStart w:id="319" w:name="_Toc140292253"/>
      <w:bookmarkStart w:id="320" w:name="_Toc127330238"/>
      <w:bookmarkStart w:id="321" w:name="_Toc163035779"/>
      <w:bookmarkStart w:id="322" w:name="_Toc234119873"/>
      <w:bookmarkStart w:id="323" w:name="_Toc227574870"/>
      <w:bookmarkStart w:id="324" w:name="_Toc266540197"/>
      <w:bookmarkStart w:id="325" w:name="_Toc202329533"/>
      <w:bookmarkStart w:id="326" w:name="_Toc132941158"/>
      <w:bookmarkStart w:id="327" w:name="_Toc266543834"/>
      <w:bookmarkStart w:id="328" w:name="_Toc261411754"/>
      <w:bookmarkStart w:id="329" w:name="_Toc178363358"/>
      <w:bookmarkStart w:id="330" w:name="_Toc22094"/>
      <w:bookmarkStart w:id="331" w:name="_Toc505723236"/>
      <w:bookmarkStart w:id="332" w:name="_Toc56554660"/>
    </w:p>
    <w:p w14:paraId="43110963">
      <w:pPr>
        <w:ind w:firstLine="560"/>
      </w:pPr>
    </w:p>
    <w:p w14:paraId="7FA1F074">
      <w:pPr>
        <w:ind w:firstLine="560"/>
      </w:pPr>
    </w:p>
    <w:p w14:paraId="02929C03">
      <w:pPr>
        <w:ind w:firstLine="560"/>
      </w:pPr>
    </w:p>
    <w:p w14:paraId="4D77DAF5">
      <w:pPr>
        <w:ind w:firstLine="560"/>
      </w:pPr>
    </w:p>
    <w:p w14:paraId="0A17C7DE">
      <w:pPr>
        <w:ind w:firstLine="560"/>
      </w:pPr>
    </w:p>
    <w:p w14:paraId="4D5B587A">
      <w:pPr>
        <w:ind w:firstLine="560"/>
      </w:pPr>
    </w:p>
    <w:p w14:paraId="445E2F70">
      <w:pPr>
        <w:ind w:firstLine="560"/>
      </w:pPr>
    </w:p>
    <w:p w14:paraId="6C4EC3D6">
      <w:pPr>
        <w:ind w:firstLine="560"/>
      </w:pPr>
    </w:p>
    <w:p w14:paraId="24BBD504">
      <w:pPr>
        <w:ind w:firstLine="560"/>
      </w:pPr>
    </w:p>
    <w:p w14:paraId="54E7C010">
      <w:pPr>
        <w:ind w:firstLine="560"/>
      </w:pPr>
    </w:p>
    <w:p w14:paraId="59BFF5D6">
      <w:pPr>
        <w:ind w:firstLine="560"/>
      </w:pPr>
    </w:p>
    <w:p w14:paraId="3446EC48">
      <w:pPr>
        <w:ind w:firstLine="560"/>
      </w:pPr>
    </w:p>
    <w:p w14:paraId="1FE36252">
      <w:pPr>
        <w:ind w:firstLine="560"/>
      </w:pPr>
    </w:p>
    <w:p w14:paraId="7287E67A">
      <w:pPr>
        <w:ind w:firstLine="560"/>
      </w:pPr>
    </w:p>
    <w:p w14:paraId="320201B3">
      <w:pPr>
        <w:pStyle w:val="2"/>
        <w:numPr>
          <w:ilvl w:val="0"/>
          <w:numId w:val="0"/>
        </w:numPr>
        <w:jc w:val="center"/>
      </w:pPr>
      <w:bookmarkStart w:id="333" w:name="_Toc23061"/>
      <w:r>
        <w:rPr>
          <w:rFonts w:hint="eastAsia"/>
        </w:rPr>
        <w:t xml:space="preserve">第四章 </w:t>
      </w:r>
      <w:r>
        <w:t>安全对策措施</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t>建议</w:t>
      </w:r>
      <w:bookmarkEnd w:id="330"/>
      <w:bookmarkEnd w:id="331"/>
      <w:bookmarkEnd w:id="332"/>
      <w:bookmarkEnd w:id="333"/>
    </w:p>
    <w:p w14:paraId="120809DF">
      <w:pPr>
        <w:ind w:firstLine="560"/>
        <w:rPr>
          <w:highlight w:val="black"/>
        </w:rPr>
      </w:pPr>
      <w:r>
        <w:rPr>
          <w:rFonts w:hint="eastAsia"/>
          <w:highlight w:val="black"/>
        </w:rPr>
        <w:t>《可研报告》</w:t>
      </w:r>
      <w:r>
        <w:rPr>
          <w:highlight w:val="black"/>
        </w:rPr>
        <w:t>提出的安全对策措施与本安全预评价报告提出的安全对策措施都为</w:t>
      </w:r>
      <w:r>
        <w:rPr>
          <w:rFonts w:hint="eastAsia"/>
          <w:highlight w:val="black"/>
        </w:rPr>
        <w:t>《</w:t>
      </w:r>
      <w:r>
        <w:rPr>
          <w:highlight w:val="black"/>
        </w:rPr>
        <w:t>安全设施设计</w:t>
      </w:r>
      <w:r>
        <w:rPr>
          <w:rFonts w:hint="eastAsia"/>
          <w:highlight w:val="black"/>
        </w:rPr>
        <w:t>》</w:t>
      </w:r>
      <w:r>
        <w:rPr>
          <w:highlight w:val="black"/>
        </w:rPr>
        <w:t>的编制提供依据</w:t>
      </w:r>
      <w:r>
        <w:rPr>
          <w:rFonts w:hint="eastAsia"/>
          <w:highlight w:val="black"/>
        </w:rPr>
        <w:t>，</w:t>
      </w:r>
      <w:r>
        <w:rPr>
          <w:highlight w:val="black"/>
        </w:rPr>
        <w:t>本预评价报告补充以下安全对策措施。</w:t>
      </w:r>
    </w:p>
    <w:p w14:paraId="596F5B52">
      <w:pPr>
        <w:pStyle w:val="3"/>
        <w:ind w:firstLine="0" w:firstLineChars="0"/>
      </w:pPr>
      <w:bookmarkStart w:id="334" w:name="_Toc53310180"/>
      <w:bookmarkEnd w:id="334"/>
      <w:bookmarkStart w:id="335" w:name="_Toc17446"/>
      <w:r>
        <w:rPr>
          <w:rFonts w:hint="eastAsia"/>
        </w:rPr>
        <w:t>4</w:t>
      </w:r>
      <w:r>
        <w:t>.1总平面布置</w:t>
      </w:r>
      <w:r>
        <w:rPr>
          <w:rFonts w:hint="eastAsia"/>
        </w:rPr>
        <w:t>单元对策措施</w:t>
      </w:r>
      <w:bookmarkEnd w:id="335"/>
    </w:p>
    <w:p w14:paraId="200F322E">
      <w:pPr>
        <w:ind w:firstLine="560"/>
        <w:rPr>
          <w:highlight w:val="black"/>
        </w:rPr>
      </w:pPr>
      <w:r>
        <w:rPr>
          <w:rFonts w:hint="eastAsia"/>
          <w:highlight w:val="black"/>
        </w:rPr>
        <w:t xml:space="preserve">（1）矿山企业的办公区、生活区、工业场地、地面建筑等，不应设在危崖处，不应设在受粉尘、污风影响区域内，不应受洪水、泥石流、爆破威胁。 </w:t>
      </w:r>
    </w:p>
    <w:p w14:paraId="0204DCF1">
      <w:pPr>
        <w:ind w:firstLine="560"/>
        <w:rPr>
          <w:highlight w:val="black"/>
        </w:rPr>
      </w:pPr>
      <w:r>
        <w:rPr>
          <w:rFonts w:hint="eastAsia"/>
          <w:highlight w:val="black"/>
        </w:rPr>
        <w:t>（2）地表主要建构筑物、主要开拓工程入口应布置在不受地表滑坡、滚石、泥石流、雪崩等危险因素影响的安全地带。</w:t>
      </w:r>
    </w:p>
    <w:p w14:paraId="0F9CAEF1">
      <w:pPr>
        <w:pStyle w:val="3"/>
        <w:ind w:firstLine="0" w:firstLineChars="0"/>
      </w:pPr>
      <w:bookmarkStart w:id="336" w:name="_Toc21385"/>
      <w:r>
        <w:rPr>
          <w:rFonts w:hint="eastAsia"/>
        </w:rPr>
        <w:t>4.2开拓单元对策措施</w:t>
      </w:r>
      <w:bookmarkEnd w:id="336"/>
    </w:p>
    <w:p w14:paraId="08F01F89">
      <w:pPr>
        <w:ind w:firstLine="560"/>
        <w:rPr>
          <w:highlight w:val="black"/>
        </w:rPr>
      </w:pPr>
      <w:r>
        <w:rPr>
          <w:highlight w:val="black"/>
        </w:rPr>
        <w:t>（1）巷道维修和砌筑封闭墙前应先制定操作规程，并组织所有</w:t>
      </w:r>
      <w:r>
        <w:rPr>
          <w:rFonts w:hint="eastAsia"/>
          <w:highlight w:val="black"/>
        </w:rPr>
        <w:t>作业人员</w:t>
      </w:r>
      <w:r>
        <w:rPr>
          <w:highlight w:val="black"/>
        </w:rPr>
        <w:t>学习。</w:t>
      </w:r>
    </w:p>
    <w:p w14:paraId="7EF675ED">
      <w:pPr>
        <w:ind w:firstLine="560"/>
        <w:rPr>
          <w:highlight w:val="black"/>
        </w:rPr>
      </w:pPr>
      <w:r>
        <w:rPr>
          <w:highlight w:val="black"/>
        </w:rPr>
        <w:t>（2）巷道必须严格按设计要求对井巷选择合理的支护方式进行支护。</w:t>
      </w:r>
    </w:p>
    <w:p w14:paraId="5016F6EA">
      <w:pPr>
        <w:ind w:firstLine="560"/>
        <w:rPr>
          <w:highlight w:val="black"/>
        </w:rPr>
      </w:pPr>
      <w:r>
        <w:rPr>
          <w:highlight w:val="black"/>
        </w:rPr>
        <w:t>（3）巷道维修和砌筑封闭墙必须从外向里依次进行，不准多段同时作业，必须严格执行敲帮问顶作业要求。</w:t>
      </w:r>
    </w:p>
    <w:p w14:paraId="1C0B458D">
      <w:pPr>
        <w:ind w:firstLine="560"/>
        <w:rPr>
          <w:highlight w:val="black"/>
        </w:rPr>
      </w:pPr>
      <w:r>
        <w:rPr>
          <w:highlight w:val="black"/>
        </w:rPr>
        <w:t>（4）巷道维修和砌筑封闭墙必须有带班</w:t>
      </w:r>
      <w:r>
        <w:rPr>
          <w:rFonts w:hint="eastAsia"/>
          <w:highlight w:val="black"/>
        </w:rPr>
        <w:t>领导</w:t>
      </w:r>
      <w:r>
        <w:rPr>
          <w:highlight w:val="black"/>
        </w:rPr>
        <w:t>和安全员在场跟班作业。</w:t>
      </w:r>
    </w:p>
    <w:p w14:paraId="77780431">
      <w:pPr>
        <w:ind w:firstLine="560"/>
        <w:rPr>
          <w:highlight w:val="black"/>
        </w:rPr>
      </w:pPr>
      <w:r>
        <w:rPr>
          <w:highlight w:val="black"/>
        </w:rPr>
        <w:t>（5）独头巷道维修必须先通风，待检测空气质量合格方可作业。</w:t>
      </w:r>
    </w:p>
    <w:p w14:paraId="5245C110">
      <w:pPr>
        <w:ind w:firstLine="560"/>
        <w:rPr>
          <w:highlight w:val="black"/>
        </w:rPr>
      </w:pPr>
      <w:r>
        <w:rPr>
          <w:highlight w:val="black"/>
        </w:rPr>
        <w:t>（6）封闭墙砌筑要选在巷道围岩稳定地点，如果围岩不稳定要先支护后砌筑封闭墙。</w:t>
      </w:r>
    </w:p>
    <w:p w14:paraId="590C66FE">
      <w:pPr>
        <w:ind w:firstLine="560"/>
        <w:rPr>
          <w:highlight w:val="black"/>
        </w:rPr>
      </w:pPr>
      <w:r>
        <w:rPr>
          <w:highlight w:val="black"/>
        </w:rPr>
        <w:t>（7）每班必须清理干净巷道杂物，保证行人通道畅通。</w:t>
      </w:r>
    </w:p>
    <w:p w14:paraId="4BD7F27E">
      <w:pPr>
        <w:ind w:firstLine="560"/>
        <w:rPr>
          <w:highlight w:val="black"/>
        </w:rPr>
      </w:pPr>
      <w:r>
        <w:rPr>
          <w:highlight w:val="black"/>
        </w:rPr>
        <w:t>（8）作业地点要有完好的通讯电话及良好的照片设施。</w:t>
      </w:r>
    </w:p>
    <w:p w14:paraId="367EABE8">
      <w:pPr>
        <w:ind w:firstLine="560"/>
        <w:rPr>
          <w:highlight w:val="black"/>
        </w:rPr>
      </w:pPr>
      <w:r>
        <w:rPr>
          <w:highlight w:val="black"/>
        </w:rPr>
        <w:t>（9）</w:t>
      </w:r>
      <w:r>
        <w:rPr>
          <w:highlight w:val="black"/>
          <w:lang w:val="zh-CN"/>
        </w:rPr>
        <w:t>封闭时严禁任何人员进入采空区。</w:t>
      </w:r>
    </w:p>
    <w:p w14:paraId="3495BED8">
      <w:pPr>
        <w:ind w:firstLine="560"/>
        <w:rPr>
          <w:highlight w:val="black"/>
        </w:rPr>
      </w:pPr>
      <w:r>
        <w:rPr>
          <w:highlight w:val="black"/>
        </w:rPr>
        <w:t>（</w:t>
      </w:r>
      <w:r>
        <w:rPr>
          <w:rFonts w:hint="eastAsia"/>
          <w:highlight w:val="black"/>
        </w:rPr>
        <w:t>10</w:t>
      </w:r>
      <w:r>
        <w:rPr>
          <w:highlight w:val="black"/>
        </w:rPr>
        <w:t>）贯通前距贯通侧20m处时巷道贯通一侧停止施工，撤出人员，加强警戒，严禁人员进入。</w:t>
      </w:r>
    </w:p>
    <w:p w14:paraId="6FC73CF5">
      <w:pPr>
        <w:ind w:firstLine="560"/>
        <w:rPr>
          <w:highlight w:val="black"/>
          <w:lang w:val="zh-CN"/>
        </w:rPr>
      </w:pPr>
      <w:r>
        <w:rPr>
          <w:rFonts w:hint="eastAsia"/>
          <w:highlight w:val="black"/>
        </w:rPr>
        <w:t>（11）</w:t>
      </w:r>
      <w:r>
        <w:rPr>
          <w:highlight w:val="black"/>
          <w:lang w:val="zh-CN"/>
        </w:rPr>
        <w:t>贯通前，要穿凿超前钻孔，探明对向工程方位，确保施工的安全进行。</w:t>
      </w:r>
    </w:p>
    <w:p w14:paraId="497A70B3">
      <w:pPr>
        <w:ind w:firstLine="560"/>
        <w:rPr>
          <w:highlight w:val="black"/>
          <w:lang w:val="zh-CN"/>
        </w:rPr>
      </w:pPr>
      <w:r>
        <w:rPr>
          <w:highlight w:val="black"/>
        </w:rPr>
        <w:t>（</w:t>
      </w:r>
      <w:r>
        <w:rPr>
          <w:rFonts w:hint="eastAsia"/>
          <w:highlight w:val="black"/>
        </w:rPr>
        <w:t>12</w:t>
      </w:r>
      <w:r>
        <w:rPr>
          <w:highlight w:val="black"/>
        </w:rPr>
        <w:t>）</w:t>
      </w:r>
      <w:r>
        <w:rPr>
          <w:highlight w:val="black"/>
          <w:lang w:val="zh-CN"/>
        </w:rPr>
        <w:t>掘进施工中要及时测量，并采用单向掘进，控制与对向工程之间的距离。</w:t>
      </w:r>
    </w:p>
    <w:p w14:paraId="794259DE">
      <w:pPr>
        <w:ind w:firstLine="560"/>
        <w:rPr>
          <w:highlight w:val="black"/>
        </w:rPr>
      </w:pPr>
      <w:r>
        <w:rPr>
          <w:highlight w:val="black"/>
        </w:rPr>
        <w:t>（</w:t>
      </w:r>
      <w:r>
        <w:rPr>
          <w:rFonts w:hint="eastAsia"/>
          <w:highlight w:val="black"/>
        </w:rPr>
        <w:t>13</w:t>
      </w:r>
      <w:r>
        <w:rPr>
          <w:highlight w:val="black"/>
        </w:rPr>
        <w:t>）贯通后及时对贯通点进行可靠的支护。调节通风系统，确保通风合理。</w:t>
      </w:r>
    </w:p>
    <w:p w14:paraId="017E877F">
      <w:pPr>
        <w:ind w:firstLine="560"/>
        <w:rPr>
          <w:highlight w:val="black"/>
        </w:rPr>
      </w:pPr>
      <w:r>
        <w:rPr>
          <w:rFonts w:hint="eastAsia"/>
          <w:highlight w:val="black"/>
        </w:rPr>
        <w:t>（14）</w:t>
      </w:r>
      <w:r>
        <w:rPr>
          <w:highlight w:val="black"/>
        </w:rPr>
        <w:t>人行道的水沟必须设置盖板，盖板厚度满足行人安全要求，铺设平整，不出现踩踏跷动现象。</w:t>
      </w:r>
    </w:p>
    <w:p w14:paraId="6E20D1B3">
      <w:pPr>
        <w:ind w:firstLine="560"/>
        <w:rPr>
          <w:highlight w:val="black"/>
        </w:rPr>
      </w:pPr>
      <w:r>
        <w:rPr>
          <w:rFonts w:hint="eastAsia"/>
          <w:highlight w:val="black"/>
        </w:rPr>
        <w:t>（15）应严格保持矿柱（含顶柱、底柱和间柱等）的尺寸、形状和直立度，应有专人检查和管理，以保证其在整个利用期间的稳定性。</w:t>
      </w:r>
    </w:p>
    <w:p w14:paraId="7C19B391">
      <w:pPr>
        <w:ind w:firstLine="560"/>
        <w:rPr>
          <w:highlight w:val="black"/>
        </w:rPr>
      </w:pPr>
      <w:r>
        <w:rPr>
          <w:rFonts w:hint="eastAsia"/>
          <w:highlight w:val="black"/>
        </w:rPr>
        <w:t>（16）在不稳固岩层中掘进井巷，最大控顶距要保持在作业规程规定的范围内，并经常检查巷道支护情况，如有损坏，应及时修理和维护。</w:t>
      </w:r>
    </w:p>
    <w:p w14:paraId="010AAA81">
      <w:pPr>
        <w:ind w:firstLine="560"/>
        <w:rPr>
          <w:highlight w:val="black"/>
        </w:rPr>
      </w:pPr>
      <w:r>
        <w:rPr>
          <w:rFonts w:hint="eastAsia"/>
          <w:highlight w:val="black"/>
        </w:rPr>
        <w:t>（17）井巷的分道口应有路标，注明其所在地点及通往地面出口的方向。所有井下作业人员，均应熟悉安全出口。通往安全出口的道路应畅通。保持安全出口的照明及安全出口畅通。</w:t>
      </w:r>
    </w:p>
    <w:p w14:paraId="113BCED7">
      <w:pPr>
        <w:ind w:firstLine="560"/>
        <w:rPr>
          <w:highlight w:val="black"/>
        </w:rPr>
      </w:pPr>
      <w:r>
        <w:rPr>
          <w:rFonts w:hint="eastAsia"/>
          <w:highlight w:val="black"/>
        </w:rPr>
        <w:t>（18）人行天井作为安全出口，应有行人的梯子并保证照明良好。</w:t>
      </w:r>
    </w:p>
    <w:p w14:paraId="3E7AB585">
      <w:pPr>
        <w:ind w:firstLine="560"/>
        <w:rPr>
          <w:highlight w:val="black"/>
        </w:rPr>
      </w:pPr>
      <w:r>
        <w:rPr>
          <w:rFonts w:hint="eastAsia"/>
          <w:highlight w:val="black"/>
          <w:lang w:eastAsia="zh-CN"/>
        </w:rPr>
        <w:t>（</w:t>
      </w:r>
      <w:r>
        <w:rPr>
          <w:rFonts w:hint="eastAsia"/>
          <w:highlight w:val="black"/>
          <w:lang w:val="en-US" w:eastAsia="zh-CN"/>
        </w:rPr>
        <w:t>19</w:t>
      </w:r>
      <w:r>
        <w:rPr>
          <w:rFonts w:hint="eastAsia"/>
          <w:highlight w:val="black"/>
          <w:lang w:eastAsia="zh-CN"/>
        </w:rPr>
        <w:t>）</w:t>
      </w:r>
      <w:r>
        <w:rPr>
          <w:rFonts w:hint="eastAsia"/>
          <w:highlight w:val="black"/>
        </w:rPr>
        <w:t>不稳固岩层中掘进井巷，应及时支护，并经常检查巷道支护情况，如有损坏，应及时修理和维护。巷道穿过破碎带部位或地表风化带部位应加强支护。</w:t>
      </w:r>
    </w:p>
    <w:p w14:paraId="04928321">
      <w:pPr>
        <w:ind w:firstLine="560"/>
        <w:rPr>
          <w:rFonts w:hint="eastAsia"/>
          <w:highlight w:val="black"/>
        </w:rPr>
      </w:pPr>
      <w:r>
        <w:rPr>
          <w:rFonts w:hint="eastAsia"/>
          <w:highlight w:val="black"/>
        </w:rPr>
        <w:t>（</w:t>
      </w:r>
      <w:r>
        <w:rPr>
          <w:rFonts w:hint="eastAsia"/>
          <w:highlight w:val="black"/>
          <w:lang w:val="en-US" w:eastAsia="zh-CN"/>
        </w:rPr>
        <w:t>20</w:t>
      </w:r>
      <w:r>
        <w:rPr>
          <w:rFonts w:hint="eastAsia"/>
          <w:highlight w:val="black"/>
        </w:rPr>
        <w:t>）矿山井巷工程施工应按设计要求进行施工，保证施工质量。</w:t>
      </w:r>
    </w:p>
    <w:p w14:paraId="54906115">
      <w:pPr>
        <w:ind w:firstLine="560"/>
        <w:rPr>
          <w:rFonts w:hint="eastAsia" w:eastAsia="宋体"/>
          <w:highlight w:val="black"/>
          <w:lang w:eastAsia="zh-CN"/>
        </w:rPr>
      </w:pPr>
      <w:r>
        <w:rPr>
          <w:rFonts w:hint="eastAsia"/>
          <w:highlight w:val="black"/>
          <w:lang w:eastAsia="zh-CN"/>
        </w:rPr>
        <w:t>（</w:t>
      </w:r>
      <w:r>
        <w:rPr>
          <w:rFonts w:hint="eastAsia"/>
          <w:highlight w:val="black"/>
          <w:lang w:val="en-US" w:eastAsia="zh-CN"/>
        </w:rPr>
        <w:t>21</w:t>
      </w:r>
      <w:r>
        <w:rPr>
          <w:rFonts w:hint="eastAsia"/>
          <w:highlight w:val="black"/>
          <w:lang w:eastAsia="zh-CN"/>
        </w:rPr>
        <w:t>）报废的井巷和硐室的入口，应及时封闭。封闭之前，入口处应设有明显标志，禁止人员入内。报废的竖井、斜井和平巷，地面入口周围还应设有高度不低于1.5m的栅栏，并标明原来井巷的名称。</w:t>
      </w:r>
    </w:p>
    <w:p w14:paraId="03BD2FA8">
      <w:pPr>
        <w:pStyle w:val="3"/>
        <w:ind w:firstLine="0" w:firstLineChars="0"/>
      </w:pPr>
      <w:bookmarkStart w:id="337" w:name="_Toc17996"/>
      <w:r>
        <w:rPr>
          <w:rFonts w:hint="eastAsia"/>
        </w:rPr>
        <w:t>4.3运输单元对策措施</w:t>
      </w:r>
      <w:bookmarkEnd w:id="337"/>
    </w:p>
    <w:p w14:paraId="0BD9E905">
      <w:pPr>
        <w:ind w:firstLine="560"/>
        <w:rPr>
          <w:highlight w:val="black"/>
        </w:rPr>
      </w:pPr>
      <w:r>
        <w:rPr>
          <w:highlight w:val="black"/>
        </w:rPr>
        <w:t>（1）出车前，必须检查车所属安全设备：手脚刹车、灯光、喇叭、转向机构、轮气压、散热器的水是否良好，安全可靠，发现问题立即修好，方准开车。</w:t>
      </w:r>
    </w:p>
    <w:p w14:paraId="41CD2601">
      <w:pPr>
        <w:ind w:firstLine="560"/>
        <w:rPr>
          <w:highlight w:val="black"/>
        </w:rPr>
      </w:pPr>
      <w:r>
        <w:rPr>
          <w:highlight w:val="black"/>
        </w:rPr>
        <w:t>（2）在驾驶中，要注意观察仪表，倾听发动机，离合器，变速器及转动装置的声音，如有不正常的声音，应立即停车检查，修好后方准开车。</w:t>
      </w:r>
    </w:p>
    <w:p w14:paraId="7637CF40">
      <w:pPr>
        <w:ind w:firstLine="560"/>
        <w:rPr>
          <w:highlight w:val="black"/>
        </w:rPr>
      </w:pPr>
      <w:r>
        <w:rPr>
          <w:highlight w:val="black"/>
        </w:rPr>
        <w:t>（3）</w:t>
      </w:r>
      <w:r>
        <w:rPr>
          <w:rFonts w:hint="eastAsia"/>
          <w:highlight w:val="black"/>
        </w:rPr>
        <w:t>地下运矿车及地下运人车</w:t>
      </w:r>
      <w:r>
        <w:rPr>
          <w:highlight w:val="black"/>
        </w:rPr>
        <w:t>必须使用内置封闭式湿式制动器。</w:t>
      </w:r>
    </w:p>
    <w:p w14:paraId="5616B0C0">
      <w:pPr>
        <w:ind w:firstLine="560"/>
        <w:rPr>
          <w:highlight w:val="black"/>
        </w:rPr>
      </w:pPr>
      <w:r>
        <w:rPr>
          <w:highlight w:val="black"/>
        </w:rPr>
        <w:t>（4）有下列情况之一者，严禁驾驶车辆：</w:t>
      </w:r>
    </w:p>
    <w:p w14:paraId="3F87A22C">
      <w:pPr>
        <w:ind w:firstLine="560"/>
        <w:rPr>
          <w:highlight w:val="black"/>
        </w:rPr>
      </w:pPr>
      <w:r>
        <w:rPr>
          <w:rFonts w:hint="eastAsia"/>
          <w:highlight w:val="black"/>
        </w:rPr>
        <w:t>①</w:t>
      </w:r>
      <w:r>
        <w:rPr>
          <w:highlight w:val="black"/>
        </w:rPr>
        <w:t>酒后开车</w:t>
      </w:r>
    </w:p>
    <w:p w14:paraId="51654574">
      <w:pPr>
        <w:ind w:firstLine="560"/>
        <w:rPr>
          <w:highlight w:val="black"/>
        </w:rPr>
      </w:pPr>
      <w:r>
        <w:rPr>
          <w:rFonts w:hint="eastAsia"/>
          <w:highlight w:val="black"/>
        </w:rPr>
        <w:t>②</w:t>
      </w:r>
      <w:r>
        <w:rPr>
          <w:highlight w:val="black"/>
        </w:rPr>
        <w:t>驾驶室内超员</w:t>
      </w:r>
    </w:p>
    <w:p w14:paraId="35265A51">
      <w:pPr>
        <w:ind w:firstLine="560"/>
        <w:rPr>
          <w:highlight w:val="black"/>
        </w:rPr>
      </w:pPr>
      <w:r>
        <w:rPr>
          <w:rFonts w:hint="eastAsia"/>
          <w:highlight w:val="black"/>
        </w:rPr>
        <w:t>③</w:t>
      </w:r>
      <w:r>
        <w:rPr>
          <w:highlight w:val="black"/>
        </w:rPr>
        <w:t>非驾驶人员开车</w:t>
      </w:r>
    </w:p>
    <w:p w14:paraId="1B63B3D7">
      <w:pPr>
        <w:ind w:firstLine="560"/>
        <w:rPr>
          <w:highlight w:val="black"/>
        </w:rPr>
      </w:pPr>
      <w:r>
        <w:rPr>
          <w:rFonts w:hint="eastAsia"/>
          <w:highlight w:val="black"/>
        </w:rPr>
        <w:t>④</w:t>
      </w:r>
      <w:r>
        <w:rPr>
          <w:highlight w:val="black"/>
        </w:rPr>
        <w:t>精神不振开车</w:t>
      </w:r>
    </w:p>
    <w:p w14:paraId="5AF6ED7C">
      <w:pPr>
        <w:ind w:firstLine="560"/>
        <w:rPr>
          <w:highlight w:val="black"/>
        </w:rPr>
      </w:pPr>
      <w:r>
        <w:rPr>
          <w:rFonts w:hint="eastAsia"/>
          <w:highlight w:val="black"/>
        </w:rPr>
        <w:t>⑤</w:t>
      </w:r>
      <w:r>
        <w:rPr>
          <w:highlight w:val="black"/>
        </w:rPr>
        <w:t>将驾驶证转借他人</w:t>
      </w:r>
    </w:p>
    <w:p w14:paraId="4E019898">
      <w:pPr>
        <w:ind w:firstLine="560"/>
        <w:rPr>
          <w:highlight w:val="black"/>
        </w:rPr>
      </w:pPr>
      <w:r>
        <w:rPr>
          <w:rFonts w:hint="eastAsia"/>
          <w:highlight w:val="black"/>
        </w:rPr>
        <w:t>⑥</w:t>
      </w:r>
      <w:r>
        <w:rPr>
          <w:highlight w:val="black"/>
        </w:rPr>
        <w:t>驾驶室内存放易燃、易爆物品</w:t>
      </w:r>
    </w:p>
    <w:p w14:paraId="2E47E44C">
      <w:pPr>
        <w:ind w:firstLine="560"/>
        <w:rPr>
          <w:highlight w:val="black"/>
        </w:rPr>
      </w:pPr>
      <w:r>
        <w:rPr>
          <w:highlight w:val="black"/>
        </w:rPr>
        <w:t>（5）各种型号汽车的脚踏板严禁站人。</w:t>
      </w:r>
    </w:p>
    <w:p w14:paraId="170E12BA">
      <w:pPr>
        <w:ind w:firstLine="560"/>
        <w:rPr>
          <w:highlight w:val="black"/>
        </w:rPr>
      </w:pPr>
      <w:r>
        <w:rPr>
          <w:highlight w:val="black"/>
        </w:rPr>
        <w:t>（6）汽车的载重量不准超过所规定的负荷量，装卸货物时要拉住手刹车，用起重设备装卸时，司机必须走出驾驶室，不准车在装卸时，检查修理车辆，倒车时必须有人指挥。</w:t>
      </w:r>
    </w:p>
    <w:p w14:paraId="11F11841">
      <w:pPr>
        <w:ind w:firstLine="560"/>
        <w:rPr>
          <w:highlight w:val="black"/>
        </w:rPr>
      </w:pPr>
      <w:r>
        <w:rPr>
          <w:highlight w:val="black"/>
        </w:rPr>
        <w:t>（7）厂区内或车间内行驶时，只准走规定的道路，不准从工程脚手架和低的电线下通过。</w:t>
      </w:r>
    </w:p>
    <w:p w14:paraId="693C2F4E">
      <w:pPr>
        <w:ind w:firstLine="560"/>
        <w:rPr>
          <w:highlight w:val="black"/>
        </w:rPr>
      </w:pPr>
      <w:r>
        <w:rPr>
          <w:highlight w:val="black"/>
        </w:rPr>
        <w:t>（8）驾驶时发现方向盘太重，不易转动时，应立即检查校正。</w:t>
      </w:r>
    </w:p>
    <w:p w14:paraId="44EFBE4B">
      <w:pPr>
        <w:ind w:firstLine="560"/>
        <w:rPr>
          <w:highlight w:val="black"/>
        </w:rPr>
      </w:pPr>
      <w:r>
        <w:rPr>
          <w:highlight w:val="black"/>
        </w:rPr>
        <w:t>（9）转弯</w:t>
      </w:r>
      <w:r>
        <w:rPr>
          <w:rFonts w:hint="eastAsia"/>
          <w:highlight w:val="black"/>
        </w:rPr>
        <w:t>时</w:t>
      </w:r>
      <w:r>
        <w:rPr>
          <w:highlight w:val="black"/>
        </w:rPr>
        <w:t>必须做到：减速、鸣喇叭、靠右行。</w:t>
      </w:r>
    </w:p>
    <w:p w14:paraId="3C641FDC">
      <w:pPr>
        <w:ind w:firstLine="560"/>
        <w:rPr>
          <w:highlight w:val="black"/>
        </w:rPr>
      </w:pPr>
      <w:r>
        <w:rPr>
          <w:highlight w:val="black"/>
        </w:rPr>
        <w:t>（10）两车同一方向行驶时，前后车距不得小于30米，防止前车突然刹车时两车相撞。</w:t>
      </w:r>
    </w:p>
    <w:p w14:paraId="682701E0">
      <w:pPr>
        <w:ind w:firstLine="560"/>
        <w:rPr>
          <w:highlight w:val="black"/>
        </w:rPr>
      </w:pPr>
      <w:r>
        <w:rPr>
          <w:highlight w:val="black"/>
        </w:rPr>
        <w:t>（11）每日工作结束后，应做好下列检查：</w:t>
      </w:r>
    </w:p>
    <w:p w14:paraId="3B7FEF1A">
      <w:pPr>
        <w:ind w:firstLine="560"/>
        <w:rPr>
          <w:highlight w:val="black"/>
        </w:rPr>
      </w:pPr>
      <w:r>
        <w:rPr>
          <w:rFonts w:hint="eastAsia"/>
          <w:highlight w:val="black"/>
        </w:rPr>
        <w:t>①</w:t>
      </w:r>
      <w:r>
        <w:rPr>
          <w:highlight w:val="black"/>
        </w:rPr>
        <w:t>检查转向装置，横向拉杆头是否牢靠。</w:t>
      </w:r>
    </w:p>
    <w:p w14:paraId="36049488">
      <w:pPr>
        <w:ind w:firstLine="560"/>
        <w:rPr>
          <w:highlight w:val="black"/>
        </w:rPr>
      </w:pPr>
      <w:r>
        <w:rPr>
          <w:rFonts w:hint="eastAsia"/>
          <w:highlight w:val="black"/>
        </w:rPr>
        <w:t>②</w:t>
      </w:r>
      <w:r>
        <w:rPr>
          <w:highlight w:val="black"/>
        </w:rPr>
        <w:t>检查手脚制动器是否灵活有效。</w:t>
      </w:r>
    </w:p>
    <w:p w14:paraId="68C3084F">
      <w:pPr>
        <w:ind w:firstLine="560"/>
        <w:rPr>
          <w:highlight w:val="black"/>
        </w:rPr>
      </w:pPr>
      <w:r>
        <w:rPr>
          <w:rFonts w:hint="eastAsia"/>
          <w:highlight w:val="black"/>
        </w:rPr>
        <w:t>③</w:t>
      </w:r>
      <w:r>
        <w:rPr>
          <w:highlight w:val="black"/>
        </w:rPr>
        <w:t>冬季应放出引擎和水箱的水。</w:t>
      </w:r>
    </w:p>
    <w:p w14:paraId="1D22B5EA">
      <w:pPr>
        <w:ind w:firstLine="560"/>
        <w:rPr>
          <w:highlight w:val="black"/>
        </w:rPr>
      </w:pPr>
      <w:r>
        <w:rPr>
          <w:highlight w:val="black"/>
        </w:rPr>
        <w:t>（12）斜坡道施工过程中，随着巷道掘进，每隔50m设置躲避硐。</w:t>
      </w:r>
    </w:p>
    <w:p w14:paraId="57A9851C">
      <w:pPr>
        <w:ind w:firstLine="560"/>
        <w:rPr>
          <w:highlight w:val="black"/>
        </w:rPr>
      </w:pPr>
      <w:r>
        <w:rPr>
          <w:highlight w:val="black"/>
        </w:rPr>
        <w:t>（13）运输巷道的底板应平整、无大块，巷道的坡度应小于设备的爬坡能力，弯道的曲线半径应适合运输设备的要求。</w:t>
      </w:r>
    </w:p>
    <w:p w14:paraId="1D64585E">
      <w:pPr>
        <w:ind w:firstLine="560"/>
        <w:rPr>
          <w:highlight w:val="black"/>
        </w:rPr>
      </w:pPr>
      <w:r>
        <w:rPr>
          <w:highlight w:val="black"/>
        </w:rPr>
        <w:t>（14）运行车辆遇到人员时，应停车让行人通过，或者人员在巷道躲避硐内，让车辆通过。</w:t>
      </w:r>
    </w:p>
    <w:p w14:paraId="2D9ED5C8">
      <w:pPr>
        <w:ind w:firstLine="560"/>
        <w:rPr>
          <w:highlight w:val="black"/>
        </w:rPr>
      </w:pPr>
      <w:r>
        <w:rPr>
          <w:highlight w:val="black"/>
        </w:rPr>
        <w:t>（15）运输设备应遵守以下规定：</w:t>
      </w:r>
    </w:p>
    <w:p w14:paraId="417C2602">
      <w:pPr>
        <w:ind w:firstLine="560"/>
        <w:rPr>
          <w:highlight w:val="black"/>
        </w:rPr>
      </w:pPr>
      <w:r>
        <w:rPr>
          <w:highlight w:val="black"/>
        </w:rPr>
        <w:t>运输设备应定期维护保养，保证安全运行。</w:t>
      </w:r>
    </w:p>
    <w:p w14:paraId="52CAF816">
      <w:pPr>
        <w:ind w:firstLine="560"/>
        <w:rPr>
          <w:highlight w:val="black"/>
        </w:rPr>
      </w:pPr>
      <w:r>
        <w:rPr>
          <w:highlight w:val="black"/>
        </w:rPr>
        <w:t>采用汽车运输时汽车顶部与顶板的距离应</w:t>
      </w:r>
      <w:r>
        <w:rPr>
          <w:rFonts w:hint="eastAsia"/>
          <w:highlight w:val="black"/>
        </w:rPr>
        <w:t>不</w:t>
      </w:r>
      <w:r>
        <w:rPr>
          <w:highlight w:val="black"/>
        </w:rPr>
        <w:t>小于0.6m。</w:t>
      </w:r>
    </w:p>
    <w:p w14:paraId="4F9C4A45">
      <w:pPr>
        <w:ind w:firstLine="560"/>
        <w:rPr>
          <w:highlight w:val="black"/>
        </w:rPr>
      </w:pPr>
      <w:r>
        <w:rPr>
          <w:highlight w:val="black"/>
        </w:rPr>
        <w:t>车辆运行时，不应熄火下滑。</w:t>
      </w:r>
    </w:p>
    <w:p w14:paraId="39DA1095">
      <w:pPr>
        <w:ind w:firstLine="560"/>
        <w:rPr>
          <w:highlight w:val="black"/>
        </w:rPr>
      </w:pPr>
      <w:r>
        <w:rPr>
          <w:highlight w:val="black"/>
        </w:rPr>
        <w:t>在斜坡上停车时，应采取措施。</w:t>
      </w:r>
    </w:p>
    <w:p w14:paraId="7DBB03F5">
      <w:pPr>
        <w:ind w:firstLine="560"/>
        <w:rPr>
          <w:highlight w:val="black"/>
        </w:rPr>
      </w:pPr>
      <w:r>
        <w:rPr>
          <w:highlight w:val="black"/>
        </w:rPr>
        <w:t>每台车应配备必要的灭火装置。</w:t>
      </w:r>
    </w:p>
    <w:p w14:paraId="0A93DA6C">
      <w:pPr>
        <w:ind w:firstLine="560"/>
        <w:rPr>
          <w:highlight w:val="black"/>
        </w:rPr>
      </w:pPr>
      <w:r>
        <w:rPr>
          <w:highlight w:val="black"/>
        </w:rPr>
        <w:t>（16）运输巷道必须满足运输要求，巷道坡度、弯道曲率半径、巷道高度、巷道支护必须符合运输要求。运输车辆必须保证完好，外形规格必须适应巷道规格，严禁超载、超宽、超高运输，严禁超速行驶，车上严禁搭乘人员，运送物资不得超出箱板高度，平板运输必须采取固定措施。</w:t>
      </w:r>
    </w:p>
    <w:p w14:paraId="652F23FE">
      <w:pPr>
        <w:ind w:firstLine="560"/>
        <w:rPr>
          <w:highlight w:val="black"/>
        </w:rPr>
      </w:pPr>
      <w:r>
        <w:rPr>
          <w:highlight w:val="black"/>
        </w:rPr>
        <w:t>（17）加强通风，降低空气湿度，增强视线效果，防止车辆尾气积聚。</w:t>
      </w:r>
    </w:p>
    <w:p w14:paraId="5C84C168">
      <w:pPr>
        <w:ind w:firstLine="560"/>
        <w:rPr>
          <w:highlight w:val="black"/>
        </w:rPr>
      </w:pPr>
      <w:r>
        <w:rPr>
          <w:highlight w:val="black"/>
        </w:rPr>
        <w:t>（18）及时发出鸣笛警示；工作面设专人指挥车辆调头及装卸。控制装车量，杜绝超载。</w:t>
      </w:r>
    </w:p>
    <w:p w14:paraId="6BFC8F77">
      <w:pPr>
        <w:ind w:firstLine="560"/>
        <w:rPr>
          <w:highlight w:val="black"/>
        </w:rPr>
      </w:pPr>
      <w:r>
        <w:rPr>
          <w:highlight w:val="black"/>
        </w:rPr>
        <w:t>（19）教育职工及时躲避车辆，杜绝人员乘坐重载车辆上部，加强运输巷道管理，及时清理大块。</w:t>
      </w:r>
    </w:p>
    <w:p w14:paraId="5318BC85">
      <w:pPr>
        <w:ind w:firstLine="560"/>
        <w:rPr>
          <w:highlight w:val="black"/>
        </w:rPr>
      </w:pPr>
      <w:r>
        <w:rPr>
          <w:highlight w:val="black"/>
        </w:rPr>
        <w:t>（20）保证井下运输巷道断面满足运输要求，巷道及地面道路质量，道路坡度、弯度、宽度符合《厂（矿）车辆道路标准》，路面平整，单车道要有可供车辆会车的位置。</w:t>
      </w:r>
    </w:p>
    <w:p w14:paraId="7705108E">
      <w:pPr>
        <w:ind w:firstLine="560"/>
        <w:rPr>
          <w:highlight w:val="black"/>
        </w:rPr>
      </w:pPr>
      <w:r>
        <w:rPr>
          <w:highlight w:val="black"/>
        </w:rPr>
        <w:t>（21）运输车辆严禁运载易燃、易爆物品；驾驶室外平台、脚踏板及车斗不准载人，禁止在运行中升降车斗。</w:t>
      </w:r>
    </w:p>
    <w:p w14:paraId="18591A6A">
      <w:pPr>
        <w:ind w:firstLine="560"/>
        <w:rPr>
          <w:highlight w:val="black"/>
        </w:rPr>
      </w:pPr>
      <w:r>
        <w:rPr>
          <w:highlight w:val="black"/>
        </w:rPr>
        <w:t>（22）保证照明，夜间装卸车地点，应有良好照明。</w:t>
      </w:r>
    </w:p>
    <w:p w14:paraId="2D570DAE">
      <w:pPr>
        <w:ind w:firstLine="560"/>
        <w:rPr>
          <w:highlight w:val="black"/>
        </w:rPr>
      </w:pPr>
      <w:r>
        <w:rPr>
          <w:highlight w:val="black"/>
        </w:rPr>
        <w:t>（23）拆卸车轮和轮胎充气，要先检查车轮压条和钢圈完好情况，如有缺损，应先放气后拆卸。在举升的车斗下检修时，必须采取可靠的安全措施。</w:t>
      </w:r>
    </w:p>
    <w:p w14:paraId="7FB49663">
      <w:pPr>
        <w:ind w:firstLine="560"/>
        <w:rPr>
          <w:highlight w:val="black"/>
        </w:rPr>
      </w:pPr>
      <w:r>
        <w:rPr>
          <w:highlight w:val="black"/>
        </w:rPr>
        <w:t>（24）汽车司机应经过驾驶学习，考试合格，取得相应车辆驾驶证的人员担任，其他人员不得驾驶。</w:t>
      </w:r>
    </w:p>
    <w:p w14:paraId="4DFA4D6C">
      <w:pPr>
        <w:ind w:firstLine="560"/>
        <w:rPr>
          <w:highlight w:val="black"/>
        </w:rPr>
      </w:pPr>
      <w:r>
        <w:rPr>
          <w:highlight w:val="black"/>
        </w:rPr>
        <w:t>（25）使用的汽车应该经常检修、保养，及时发现并</w:t>
      </w:r>
      <w:r>
        <w:rPr>
          <w:rFonts w:hint="eastAsia"/>
          <w:highlight w:val="black"/>
        </w:rPr>
        <w:t>排除故障</w:t>
      </w:r>
      <w:r>
        <w:rPr>
          <w:highlight w:val="black"/>
        </w:rPr>
        <w:t>，严禁车辆带故障运行。</w:t>
      </w:r>
    </w:p>
    <w:p w14:paraId="16791303">
      <w:pPr>
        <w:ind w:firstLine="560"/>
        <w:rPr>
          <w:highlight w:val="black"/>
        </w:rPr>
      </w:pPr>
      <w:r>
        <w:rPr>
          <w:highlight w:val="black"/>
        </w:rPr>
        <w:t>（26）运送矿石或废石的汽车不准承载司机及跟车人员以外的其他人员。</w:t>
      </w:r>
    </w:p>
    <w:p w14:paraId="3DDB0759">
      <w:pPr>
        <w:ind w:firstLine="560"/>
        <w:rPr>
          <w:highlight w:val="black"/>
        </w:rPr>
      </w:pPr>
      <w:r>
        <w:rPr>
          <w:highlight w:val="black"/>
        </w:rPr>
        <w:t>（27）矿山应建立车辆运输管理调度。</w:t>
      </w:r>
    </w:p>
    <w:p w14:paraId="16B5B016">
      <w:pPr>
        <w:ind w:firstLine="560"/>
        <w:rPr>
          <w:highlight w:val="black"/>
        </w:rPr>
      </w:pPr>
      <w:r>
        <w:rPr>
          <w:highlight w:val="black"/>
        </w:rPr>
        <w:t>（28）矿山地表运输道路应严格按设计参数布置，确保路面宽度、坡度符合设计要求。</w:t>
      </w:r>
    </w:p>
    <w:p w14:paraId="5330EBCC">
      <w:pPr>
        <w:ind w:firstLine="560"/>
        <w:rPr>
          <w:highlight w:val="black"/>
        </w:rPr>
      </w:pPr>
      <w:r>
        <w:rPr>
          <w:highlight w:val="black"/>
        </w:rPr>
        <w:t>（29）地表山坡填方的弯道、坡度较大的填方地段以及高堤路基路段外侧应设置护栏、挡车墙。</w:t>
      </w:r>
    </w:p>
    <w:p w14:paraId="16D2C69B">
      <w:pPr>
        <w:ind w:firstLine="560"/>
        <w:rPr>
          <w:highlight w:val="black"/>
        </w:rPr>
      </w:pPr>
      <w:r>
        <w:rPr>
          <w:highlight w:val="black"/>
        </w:rPr>
        <w:t>（30）冬季雨雪天气应停止地表运输车辆运行，及时清除路面冰雪，确保路面行驶安全后方可恢复运行。</w:t>
      </w:r>
    </w:p>
    <w:p w14:paraId="2F19E574">
      <w:pPr>
        <w:ind w:firstLine="560"/>
        <w:rPr>
          <w:highlight w:val="black"/>
        </w:rPr>
      </w:pPr>
      <w:r>
        <w:rPr>
          <w:rFonts w:hint="eastAsia"/>
          <w:highlight w:val="black"/>
        </w:rPr>
        <w:t>（31）</w:t>
      </w:r>
      <w:r>
        <w:rPr>
          <w:highlight w:val="black"/>
        </w:rPr>
        <w:t>运输车均购买具有安标的合格产品，每辆运输车均配备尾气净化装置，净化后的废气中有害物质浓度符合相关规定；每台运输车均配备1个灭火器。</w:t>
      </w:r>
    </w:p>
    <w:p w14:paraId="0F844F03">
      <w:pPr>
        <w:ind w:firstLine="560"/>
        <w:rPr>
          <w:highlight w:val="black"/>
        </w:rPr>
      </w:pPr>
      <w:r>
        <w:rPr>
          <w:rFonts w:hint="eastAsia"/>
          <w:highlight w:val="black"/>
        </w:rPr>
        <w:t>（32）</w:t>
      </w:r>
      <w:r>
        <w:rPr>
          <w:highlight w:val="black"/>
        </w:rPr>
        <w:t>斜坡道内人行道宽度设计为</w:t>
      </w:r>
      <w:r>
        <w:rPr>
          <w:rFonts w:hint="eastAsia"/>
          <w:highlight w:val="black"/>
        </w:rPr>
        <w:t>1.4</w:t>
      </w:r>
      <w:r>
        <w:rPr>
          <w:highlight w:val="black"/>
        </w:rPr>
        <w:t>m，高度不小于</w:t>
      </w:r>
      <w:r>
        <w:rPr>
          <w:rFonts w:hint="eastAsia"/>
          <w:highlight w:val="black"/>
        </w:rPr>
        <w:t>3.78</w:t>
      </w:r>
      <w:r>
        <w:rPr>
          <w:highlight w:val="black"/>
        </w:rPr>
        <w:t>m。</w:t>
      </w:r>
    </w:p>
    <w:p w14:paraId="61D7DE96">
      <w:pPr>
        <w:ind w:firstLine="560"/>
        <w:rPr>
          <w:highlight w:val="black"/>
        </w:rPr>
      </w:pPr>
      <w:r>
        <w:rPr>
          <w:rFonts w:hint="eastAsia"/>
          <w:highlight w:val="black"/>
        </w:rPr>
        <w:t>（33）</w:t>
      </w:r>
      <w:r>
        <w:rPr>
          <w:highlight w:val="black"/>
        </w:rPr>
        <w:t>斜坡道硐口设置值班室，用于管理出入斜坡道人员及车辆，防止无关人员进入，斜坡道进口处设置门禁系统。</w:t>
      </w:r>
    </w:p>
    <w:p w14:paraId="3182F8AF">
      <w:pPr>
        <w:ind w:firstLine="560"/>
        <w:rPr>
          <w:highlight w:val="black"/>
        </w:rPr>
      </w:pPr>
      <w:r>
        <w:rPr>
          <w:rFonts w:hint="eastAsia"/>
          <w:highlight w:val="black"/>
        </w:rPr>
        <w:t>（34）</w:t>
      </w:r>
      <w:r>
        <w:rPr>
          <w:highlight w:val="black"/>
        </w:rPr>
        <w:t>矿山建立斜坡道无轨运输信号系统。</w:t>
      </w:r>
    </w:p>
    <w:p w14:paraId="088B2366">
      <w:pPr>
        <w:ind w:firstLine="560"/>
        <w:rPr>
          <w:highlight w:val="black"/>
        </w:rPr>
      </w:pPr>
      <w:r>
        <w:rPr>
          <w:rFonts w:hint="eastAsia"/>
          <w:highlight w:val="black"/>
        </w:rPr>
        <w:t>（35）</w:t>
      </w:r>
      <w:r>
        <w:rPr>
          <w:highlight w:val="black"/>
        </w:rPr>
        <w:t>缓坡段长度</w:t>
      </w:r>
      <w:r>
        <w:rPr>
          <w:rFonts w:hint="eastAsia"/>
          <w:highlight w:val="black"/>
        </w:rPr>
        <w:t>3</w:t>
      </w:r>
      <w:r>
        <w:rPr>
          <w:highlight w:val="black"/>
        </w:rPr>
        <w:t>0m，宽度</w:t>
      </w:r>
      <w:r>
        <w:rPr>
          <w:rFonts w:hint="eastAsia"/>
          <w:highlight w:val="black"/>
        </w:rPr>
        <w:t>8</w:t>
      </w:r>
      <w:r>
        <w:rPr>
          <w:highlight w:val="black"/>
        </w:rPr>
        <w:t>m，</w:t>
      </w:r>
      <w:r>
        <w:rPr>
          <w:rFonts w:hint="eastAsia"/>
          <w:highlight w:val="black"/>
        </w:rPr>
        <w:t>错车道兼顾缓坡段，</w:t>
      </w:r>
      <w:r>
        <w:rPr>
          <w:highlight w:val="black"/>
        </w:rPr>
        <w:t>缓坡段坡度为3％</w:t>
      </w:r>
      <w:r>
        <w:rPr>
          <w:rFonts w:hint="eastAsia"/>
          <w:highlight w:val="black"/>
        </w:rPr>
        <w:t>。</w:t>
      </w:r>
    </w:p>
    <w:p w14:paraId="5CD9C104">
      <w:pPr>
        <w:ind w:firstLine="560"/>
        <w:rPr>
          <w:highlight w:val="black"/>
        </w:rPr>
      </w:pPr>
      <w:r>
        <w:rPr>
          <w:rFonts w:hint="eastAsia"/>
          <w:highlight w:val="black"/>
        </w:rPr>
        <w:t>（36）无轨运输设备与支护之间的间隙，应不小于0.3m。</w:t>
      </w:r>
    </w:p>
    <w:p w14:paraId="28CEA2CD">
      <w:pPr>
        <w:ind w:firstLine="560"/>
        <w:rPr>
          <w:highlight w:val="black"/>
        </w:rPr>
      </w:pPr>
      <w:r>
        <w:rPr>
          <w:rFonts w:hint="eastAsia"/>
          <w:highlight w:val="black"/>
        </w:rPr>
        <w:t>（37）应选用具有矿用安全标志的合格产品。</w:t>
      </w:r>
    </w:p>
    <w:p w14:paraId="1A485EFA">
      <w:pPr>
        <w:pStyle w:val="3"/>
        <w:ind w:firstLine="602"/>
      </w:pPr>
      <w:bookmarkStart w:id="338" w:name="_Toc11823"/>
      <w:r>
        <w:rPr>
          <w:rFonts w:hint="eastAsia"/>
        </w:rPr>
        <w:t>4.4 采剥单元对策措施</w:t>
      </w:r>
      <w:bookmarkEnd w:id="338"/>
    </w:p>
    <w:p w14:paraId="657061C1">
      <w:pPr>
        <w:ind w:firstLine="560"/>
        <w:rPr>
          <w:highlight w:val="black"/>
        </w:rPr>
      </w:pPr>
      <w:r>
        <w:rPr>
          <w:rFonts w:hint="eastAsia"/>
          <w:highlight w:val="black"/>
        </w:rPr>
        <w:t>（1）</w:t>
      </w:r>
      <w:r>
        <w:rPr>
          <w:highlight w:val="black"/>
        </w:rPr>
        <w:t>凿岩、出渣及砌筑等工作应在工作盘保护下进行。</w:t>
      </w:r>
    </w:p>
    <w:p w14:paraId="23630726">
      <w:pPr>
        <w:ind w:firstLine="560"/>
        <w:rPr>
          <w:highlight w:val="black"/>
        </w:rPr>
      </w:pPr>
      <w:r>
        <w:rPr>
          <w:rFonts w:hint="eastAsia"/>
          <w:highlight w:val="black"/>
        </w:rPr>
        <w:t>（2）</w:t>
      </w:r>
      <w:r>
        <w:rPr>
          <w:highlight w:val="black"/>
        </w:rPr>
        <w:t>作业前应派有经验的工人进入工作面进行</w:t>
      </w:r>
      <w:r>
        <w:rPr>
          <w:rFonts w:hint="eastAsia"/>
          <w:highlight w:val="black"/>
        </w:rPr>
        <w:t>“</w:t>
      </w:r>
      <w:r>
        <w:rPr>
          <w:highlight w:val="black"/>
        </w:rPr>
        <w:t>敲帮问顶</w:t>
      </w:r>
      <w:r>
        <w:rPr>
          <w:rFonts w:hint="eastAsia"/>
          <w:highlight w:val="black"/>
        </w:rPr>
        <w:t>”</w:t>
      </w:r>
      <w:r>
        <w:rPr>
          <w:highlight w:val="black"/>
        </w:rPr>
        <w:t>，检查清理顶板和两帮的松动岩石，然后再进行下一道工序的作业。处理作面空间有无松动浮石时，要从安全地点由外向里逐步进行，处理时人员要站在安全地点，使用长柄工具。</w:t>
      </w:r>
    </w:p>
    <w:p w14:paraId="29161512">
      <w:pPr>
        <w:ind w:firstLine="560"/>
        <w:rPr>
          <w:highlight w:val="black"/>
        </w:rPr>
      </w:pPr>
      <w:r>
        <w:rPr>
          <w:rFonts w:hint="eastAsia"/>
          <w:highlight w:val="black"/>
        </w:rPr>
        <w:t>（3）</w:t>
      </w:r>
      <w:r>
        <w:rPr>
          <w:highlight w:val="black"/>
        </w:rPr>
        <w:t>井下所有作业地点、安全通道和通往作业地点的人行道，都应有照明。天井必须设有标志、照明。</w:t>
      </w:r>
    </w:p>
    <w:p w14:paraId="4F332C54">
      <w:pPr>
        <w:ind w:firstLine="560"/>
        <w:rPr>
          <w:highlight w:val="black"/>
        </w:rPr>
      </w:pPr>
      <w:r>
        <w:rPr>
          <w:rFonts w:hint="eastAsia"/>
          <w:highlight w:val="black"/>
        </w:rPr>
        <w:t>（4）</w:t>
      </w:r>
      <w:r>
        <w:rPr>
          <w:highlight w:val="black"/>
        </w:rPr>
        <w:t>上、下人员梯子或横撑的支持点应位于井框横梁上，梯子的倾角不得大于80º。</w:t>
      </w:r>
    </w:p>
    <w:p w14:paraId="793875B8">
      <w:pPr>
        <w:ind w:firstLine="560"/>
        <w:rPr>
          <w:highlight w:val="black"/>
        </w:rPr>
      </w:pPr>
      <w:r>
        <w:rPr>
          <w:rFonts w:hint="eastAsia"/>
          <w:highlight w:val="black"/>
        </w:rPr>
        <w:t>（5）</w:t>
      </w:r>
      <w:r>
        <w:rPr>
          <w:highlight w:val="black"/>
        </w:rPr>
        <w:t xml:space="preserve"> 建立完善的安全操作规程并执行。</w:t>
      </w:r>
    </w:p>
    <w:p w14:paraId="06090092">
      <w:pPr>
        <w:ind w:firstLine="560"/>
        <w:rPr>
          <w:highlight w:val="black"/>
        </w:rPr>
      </w:pPr>
      <w:r>
        <w:rPr>
          <w:rFonts w:hint="eastAsia"/>
          <w:highlight w:val="black"/>
        </w:rPr>
        <w:t>（6）</w:t>
      </w:r>
      <w:r>
        <w:rPr>
          <w:highlight w:val="black"/>
        </w:rPr>
        <w:t xml:space="preserve"> 制定超前探水措施，制定封水、导水措施，防止突然涌水。</w:t>
      </w:r>
    </w:p>
    <w:p w14:paraId="226783BC">
      <w:pPr>
        <w:ind w:firstLine="560"/>
        <w:rPr>
          <w:highlight w:val="black"/>
        </w:rPr>
      </w:pPr>
      <w:r>
        <w:rPr>
          <w:rFonts w:hint="eastAsia"/>
          <w:highlight w:val="black"/>
        </w:rPr>
        <w:t>（7）</w:t>
      </w:r>
      <w:r>
        <w:rPr>
          <w:highlight w:val="black"/>
        </w:rPr>
        <w:t xml:space="preserve"> 发现有透水或大量涌水的征兆，应立即停止掘井作业，撤出作业人员并采取措施。</w:t>
      </w:r>
    </w:p>
    <w:p w14:paraId="78357A97">
      <w:pPr>
        <w:ind w:firstLine="560"/>
        <w:rPr>
          <w:highlight w:val="black"/>
        </w:rPr>
      </w:pPr>
      <w:r>
        <w:rPr>
          <w:rFonts w:hint="eastAsia"/>
          <w:highlight w:val="black"/>
        </w:rPr>
        <w:t>（8）</w:t>
      </w:r>
      <w:r>
        <w:rPr>
          <w:highlight w:val="black"/>
        </w:rPr>
        <w:t xml:space="preserve"> 出渣前，应检查和处理工作面顶、帮浮石。</w:t>
      </w:r>
    </w:p>
    <w:p w14:paraId="36ACF502">
      <w:pPr>
        <w:ind w:firstLine="560"/>
        <w:rPr>
          <w:highlight w:val="black"/>
        </w:rPr>
      </w:pPr>
      <w:r>
        <w:rPr>
          <w:rFonts w:hint="eastAsia"/>
          <w:highlight w:val="black"/>
        </w:rPr>
        <w:t>（9）</w:t>
      </w:r>
      <w:r>
        <w:rPr>
          <w:highlight w:val="black"/>
        </w:rPr>
        <w:t>矿床开采必须</w:t>
      </w:r>
      <w:r>
        <w:rPr>
          <w:rFonts w:hint="eastAsia"/>
          <w:highlight w:val="black"/>
        </w:rPr>
        <w:t>按照</w:t>
      </w:r>
      <w:r>
        <w:rPr>
          <w:highlight w:val="black"/>
        </w:rPr>
        <w:t>《金属非金属矿山安全规程》</w:t>
      </w:r>
      <w:r>
        <w:rPr>
          <w:rFonts w:hint="eastAsia"/>
          <w:highlight w:val="black"/>
        </w:rPr>
        <w:t>（</w:t>
      </w:r>
      <w:r>
        <w:rPr>
          <w:highlight w:val="black"/>
        </w:rPr>
        <w:t>GB16423</w:t>
      </w:r>
      <w:r>
        <w:rPr>
          <w:rFonts w:hint="eastAsia"/>
          <w:highlight w:val="black"/>
        </w:rPr>
        <w:t>-</w:t>
      </w:r>
      <w:r>
        <w:rPr>
          <w:highlight w:val="black"/>
        </w:rPr>
        <w:t>2020</w:t>
      </w:r>
      <w:r>
        <w:rPr>
          <w:rFonts w:hint="eastAsia"/>
          <w:highlight w:val="black"/>
        </w:rPr>
        <w:t>）</w:t>
      </w:r>
      <w:r>
        <w:rPr>
          <w:highlight w:val="black"/>
        </w:rPr>
        <w:t>的规定进行设计和施工，局部岩石、矿石不稳固地段</w:t>
      </w:r>
      <w:r>
        <w:rPr>
          <w:rFonts w:hint="eastAsia"/>
          <w:highlight w:val="black"/>
        </w:rPr>
        <w:t>（</w:t>
      </w:r>
      <w:r>
        <w:rPr>
          <w:highlight w:val="black"/>
        </w:rPr>
        <w:t>如构造破碎带</w:t>
      </w:r>
      <w:r>
        <w:rPr>
          <w:rFonts w:hint="eastAsia"/>
          <w:highlight w:val="black"/>
        </w:rPr>
        <w:t>）</w:t>
      </w:r>
      <w:r>
        <w:rPr>
          <w:highlight w:val="black"/>
        </w:rPr>
        <w:t>加强支护。</w:t>
      </w:r>
    </w:p>
    <w:p w14:paraId="244014D6">
      <w:pPr>
        <w:ind w:firstLine="560"/>
        <w:rPr>
          <w:highlight w:val="black"/>
        </w:rPr>
      </w:pPr>
      <w:r>
        <w:rPr>
          <w:rFonts w:hint="eastAsia"/>
          <w:highlight w:val="black"/>
        </w:rPr>
        <w:t>（10）</w:t>
      </w:r>
      <w:r>
        <w:rPr>
          <w:highlight w:val="black"/>
        </w:rPr>
        <w:t xml:space="preserve"> 采矿场爆破时要严格执行</w:t>
      </w:r>
      <w:r>
        <w:rPr>
          <w:rFonts w:hint="eastAsia"/>
          <w:highlight w:val="black"/>
        </w:rPr>
        <w:t>《</w:t>
      </w:r>
      <w:r>
        <w:rPr>
          <w:highlight w:val="black"/>
        </w:rPr>
        <w:t>爆破安全规程</w:t>
      </w:r>
      <w:r>
        <w:rPr>
          <w:rFonts w:hint="eastAsia"/>
          <w:highlight w:val="black"/>
        </w:rPr>
        <w:t>》</w:t>
      </w:r>
      <w:r>
        <w:rPr>
          <w:highlight w:val="black"/>
        </w:rPr>
        <w:t>(GB6722</w:t>
      </w:r>
      <w:r>
        <w:rPr>
          <w:rFonts w:hint="eastAsia"/>
          <w:highlight w:val="black"/>
        </w:rPr>
        <w:t>-</w:t>
      </w:r>
      <w:r>
        <w:rPr>
          <w:highlight w:val="black"/>
        </w:rPr>
        <w:t>20</w:t>
      </w:r>
      <w:r>
        <w:rPr>
          <w:rFonts w:hint="eastAsia"/>
          <w:highlight w:val="black"/>
        </w:rPr>
        <w:t>14</w:t>
      </w:r>
      <w:r>
        <w:rPr>
          <w:highlight w:val="black"/>
        </w:rPr>
        <w:t>)，放炮后须经安全员认真检查工作面，确认爆破地点安全后才能恢复作业。</w:t>
      </w:r>
    </w:p>
    <w:p w14:paraId="496C17AE">
      <w:pPr>
        <w:ind w:firstLine="560"/>
        <w:rPr>
          <w:highlight w:val="black"/>
        </w:rPr>
      </w:pPr>
      <w:r>
        <w:rPr>
          <w:rFonts w:hint="eastAsia"/>
          <w:highlight w:val="black"/>
        </w:rPr>
        <w:t>（11）</w:t>
      </w:r>
      <w:r>
        <w:rPr>
          <w:highlight w:val="black"/>
        </w:rPr>
        <w:t>处理好采场浮石，禁止在同一采场同时进行凿岩和处理浮石，作业中发现冒顶预兆，应停止作业。禁止同一垂直线上的空场里同时作业。</w:t>
      </w:r>
    </w:p>
    <w:p w14:paraId="52D5420E">
      <w:pPr>
        <w:ind w:firstLine="560"/>
        <w:rPr>
          <w:highlight w:val="black"/>
        </w:rPr>
      </w:pPr>
      <w:r>
        <w:rPr>
          <w:rFonts w:hint="eastAsia"/>
          <w:highlight w:val="black"/>
        </w:rPr>
        <w:t>（12）</w:t>
      </w:r>
      <w:r>
        <w:rPr>
          <w:highlight w:val="black"/>
        </w:rPr>
        <w:t>每个采场必须设有两个安全出口，并连通上、下中段巷道</w:t>
      </w:r>
      <w:r>
        <w:rPr>
          <w:rFonts w:hint="eastAsia"/>
          <w:highlight w:val="black"/>
        </w:rPr>
        <w:t>，</w:t>
      </w:r>
      <w:r>
        <w:rPr>
          <w:highlight w:val="black"/>
        </w:rPr>
        <w:t>避灾路线必须保证畅通无阻，且保证通风和照明。</w:t>
      </w:r>
    </w:p>
    <w:p w14:paraId="5A53F6BD">
      <w:pPr>
        <w:ind w:firstLine="560"/>
        <w:rPr>
          <w:highlight w:val="black"/>
        </w:rPr>
      </w:pPr>
      <w:r>
        <w:rPr>
          <w:rFonts w:hint="eastAsia"/>
          <w:highlight w:val="black"/>
        </w:rPr>
        <w:t>（13）</w:t>
      </w:r>
      <w:r>
        <w:rPr>
          <w:highlight w:val="black"/>
        </w:rPr>
        <w:t>需要支护的井巷，支护方法、支护与工作面间的距离，应在施工设计中规定；中途停止掘进时，支护应及时跟至工作面</w:t>
      </w:r>
      <w:r>
        <w:rPr>
          <w:rFonts w:hint="eastAsia"/>
          <w:highlight w:val="black"/>
        </w:rPr>
        <w:t>。</w:t>
      </w:r>
    </w:p>
    <w:p w14:paraId="622DA0D3">
      <w:pPr>
        <w:ind w:firstLine="560"/>
        <w:rPr>
          <w:highlight w:val="black"/>
        </w:rPr>
      </w:pPr>
      <w:r>
        <w:rPr>
          <w:rFonts w:hint="eastAsia"/>
          <w:highlight w:val="black"/>
        </w:rPr>
        <w:t>（14）</w:t>
      </w:r>
      <w:r>
        <w:rPr>
          <w:highlight w:val="black"/>
        </w:rPr>
        <w:t>回采顺序为从采场的</w:t>
      </w:r>
      <w:r>
        <w:rPr>
          <w:rFonts w:hint="eastAsia"/>
          <w:highlight w:val="black"/>
        </w:rPr>
        <w:t>下</w:t>
      </w:r>
      <w:r>
        <w:rPr>
          <w:highlight w:val="black"/>
        </w:rPr>
        <w:t>部向</w:t>
      </w:r>
      <w:r>
        <w:rPr>
          <w:rFonts w:hint="eastAsia"/>
          <w:highlight w:val="black"/>
        </w:rPr>
        <w:t>上</w:t>
      </w:r>
      <w:r>
        <w:rPr>
          <w:highlight w:val="black"/>
        </w:rPr>
        <w:t>部开采</w:t>
      </w:r>
      <w:r>
        <w:rPr>
          <w:rFonts w:hint="eastAsia"/>
          <w:highlight w:val="black"/>
        </w:rPr>
        <w:t>。</w:t>
      </w:r>
    </w:p>
    <w:p w14:paraId="0B7FBBA3">
      <w:pPr>
        <w:ind w:firstLine="560"/>
        <w:rPr>
          <w:highlight w:val="black"/>
        </w:rPr>
      </w:pPr>
      <w:r>
        <w:rPr>
          <w:rFonts w:hint="eastAsia"/>
          <w:highlight w:val="black"/>
        </w:rPr>
        <w:t>（15）</w:t>
      </w:r>
      <w:r>
        <w:rPr>
          <w:highlight w:val="black"/>
        </w:rPr>
        <w:t>采场出现悬拱或立槽时，人员不应进入悬拱、立槽下方危险区进行处理</w:t>
      </w:r>
      <w:r>
        <w:rPr>
          <w:rFonts w:hint="eastAsia"/>
          <w:highlight w:val="black"/>
        </w:rPr>
        <w:t>。</w:t>
      </w:r>
    </w:p>
    <w:p w14:paraId="3E4E0ECB">
      <w:pPr>
        <w:ind w:firstLine="560"/>
        <w:rPr>
          <w:highlight w:val="black"/>
        </w:rPr>
      </w:pPr>
      <w:r>
        <w:rPr>
          <w:rFonts w:hint="eastAsia"/>
          <w:highlight w:val="black"/>
        </w:rPr>
        <w:t>（16）</w:t>
      </w:r>
      <w:r>
        <w:rPr>
          <w:highlight w:val="black"/>
        </w:rPr>
        <w:t>合理划分开采单元，使矿房顶板避开断裂构造的影响，必要时，采场内需采取支护措施</w:t>
      </w:r>
      <w:r>
        <w:rPr>
          <w:rFonts w:hint="eastAsia"/>
          <w:highlight w:val="black"/>
        </w:rPr>
        <w:t>。</w:t>
      </w:r>
    </w:p>
    <w:p w14:paraId="539A4C86">
      <w:pPr>
        <w:ind w:firstLine="560"/>
        <w:rPr>
          <w:highlight w:val="black"/>
        </w:rPr>
      </w:pPr>
      <w:r>
        <w:rPr>
          <w:rFonts w:hint="eastAsia"/>
          <w:highlight w:val="black"/>
        </w:rPr>
        <w:t>（17）</w:t>
      </w:r>
      <w:r>
        <w:rPr>
          <w:highlight w:val="black"/>
        </w:rPr>
        <w:t>使用符合国家标准或部颁标准的爆破器材。严格检查生产厂家、合格证及爆破器材是否受潮。</w:t>
      </w:r>
    </w:p>
    <w:p w14:paraId="61769528">
      <w:pPr>
        <w:ind w:firstLine="560"/>
        <w:rPr>
          <w:highlight w:val="black"/>
        </w:rPr>
      </w:pPr>
      <w:r>
        <w:rPr>
          <w:rFonts w:hint="eastAsia"/>
          <w:highlight w:val="black"/>
        </w:rPr>
        <w:t>（18）</w:t>
      </w:r>
      <w:r>
        <w:rPr>
          <w:highlight w:val="black"/>
        </w:rPr>
        <w:t>爆破作业必须先有爆破设计，严格遵循《爆破安全规程》(GB6722-20</w:t>
      </w:r>
      <w:r>
        <w:rPr>
          <w:rFonts w:hint="eastAsia"/>
          <w:highlight w:val="black"/>
        </w:rPr>
        <w:t>14</w:t>
      </w:r>
      <w:r>
        <w:rPr>
          <w:highlight w:val="black"/>
        </w:rPr>
        <w:t>)，按审批的爆破设计书或爆破说明进行，并应有防止危及人身安全和中毒窒息的安全预防措施。</w:t>
      </w:r>
    </w:p>
    <w:p w14:paraId="1D450FA0">
      <w:pPr>
        <w:ind w:firstLine="560"/>
        <w:rPr>
          <w:highlight w:val="black"/>
        </w:rPr>
      </w:pPr>
      <w:r>
        <w:rPr>
          <w:rFonts w:hint="eastAsia"/>
          <w:highlight w:val="black"/>
        </w:rPr>
        <w:t>（19）</w:t>
      </w:r>
      <w:r>
        <w:rPr>
          <w:highlight w:val="black"/>
        </w:rPr>
        <w:t>必须有专职的爆破员持证上岗爆破，要使用同厂、同批、未超贮存期的爆破器材。</w:t>
      </w:r>
    </w:p>
    <w:p w14:paraId="7D753CC5">
      <w:pPr>
        <w:ind w:firstLine="560"/>
        <w:rPr>
          <w:highlight w:val="black"/>
        </w:rPr>
      </w:pPr>
      <w:r>
        <w:rPr>
          <w:rFonts w:hint="eastAsia"/>
          <w:highlight w:val="black"/>
        </w:rPr>
        <w:t>（20）</w:t>
      </w:r>
      <w:r>
        <w:rPr>
          <w:highlight w:val="black"/>
        </w:rPr>
        <w:t>最后一响，通风15min以上后爆破人员方可进入现场检查、排险，确认爆破点安全后方准人员进入，决不允许过早进入工作面。每次爆破后，爆破员应认真填写爆破</w:t>
      </w:r>
      <w:r>
        <w:rPr>
          <w:rFonts w:hint="eastAsia"/>
          <w:highlight w:val="black"/>
        </w:rPr>
        <w:t>记录</w:t>
      </w:r>
      <w:r>
        <w:rPr>
          <w:highlight w:val="black"/>
        </w:rPr>
        <w:t>。</w:t>
      </w:r>
    </w:p>
    <w:p w14:paraId="15A954FE">
      <w:pPr>
        <w:ind w:firstLine="560"/>
        <w:rPr>
          <w:highlight w:val="black"/>
        </w:rPr>
      </w:pPr>
      <w:r>
        <w:rPr>
          <w:rFonts w:hint="eastAsia"/>
          <w:highlight w:val="black"/>
        </w:rPr>
        <w:t>（21）</w:t>
      </w:r>
      <w:r>
        <w:rPr>
          <w:highlight w:val="black"/>
        </w:rPr>
        <w:t>携带爆破材料上下井时，携带炸药材料的人员不得与他人同上下。炸药和雷管由爆破员分装背包</w:t>
      </w:r>
      <w:r>
        <w:rPr>
          <w:rFonts w:hint="eastAsia"/>
          <w:highlight w:val="black"/>
        </w:rPr>
        <w:t>（</w:t>
      </w:r>
      <w:r>
        <w:rPr>
          <w:highlight w:val="black"/>
        </w:rPr>
        <w:t>木箱</w:t>
      </w:r>
      <w:r>
        <w:rPr>
          <w:rFonts w:hint="eastAsia"/>
          <w:highlight w:val="black"/>
        </w:rPr>
        <w:t>）</w:t>
      </w:r>
      <w:r>
        <w:rPr>
          <w:highlight w:val="black"/>
        </w:rPr>
        <w:t>内独立运到爆破地点，应有专人看管和监用，中间不得在井口或井底车场停留。</w:t>
      </w:r>
    </w:p>
    <w:p w14:paraId="1C2E5ED4">
      <w:pPr>
        <w:ind w:firstLine="560"/>
        <w:rPr>
          <w:highlight w:val="black"/>
        </w:rPr>
      </w:pPr>
      <w:r>
        <w:rPr>
          <w:rFonts w:hint="eastAsia"/>
          <w:highlight w:val="black"/>
        </w:rPr>
        <w:t>（22）</w:t>
      </w:r>
      <w:r>
        <w:rPr>
          <w:highlight w:val="black"/>
        </w:rPr>
        <w:t>不得在上下班或人员集中时间搬运。</w:t>
      </w:r>
    </w:p>
    <w:p w14:paraId="39F8BA97">
      <w:pPr>
        <w:ind w:firstLine="560"/>
        <w:rPr>
          <w:highlight w:val="black"/>
        </w:rPr>
      </w:pPr>
      <w:r>
        <w:rPr>
          <w:rFonts w:hint="eastAsia"/>
          <w:highlight w:val="black"/>
        </w:rPr>
        <w:t>（23）</w:t>
      </w:r>
      <w:r>
        <w:rPr>
          <w:highlight w:val="black"/>
        </w:rPr>
        <w:t>用木制炮棍装药，用炮泥封孔，炮泥占炮孔的2/5。</w:t>
      </w:r>
    </w:p>
    <w:p w14:paraId="161B08F3">
      <w:pPr>
        <w:ind w:firstLine="560"/>
        <w:rPr>
          <w:highlight w:val="black"/>
        </w:rPr>
      </w:pPr>
      <w:r>
        <w:rPr>
          <w:rFonts w:hint="eastAsia"/>
          <w:highlight w:val="black"/>
        </w:rPr>
        <w:t>（24）</w:t>
      </w:r>
      <w:r>
        <w:rPr>
          <w:highlight w:val="black"/>
        </w:rPr>
        <w:t>遇到盲炮时，经检查确认炮孔的起爆线路完好时，可重新起爆</w:t>
      </w:r>
      <w:r>
        <w:rPr>
          <w:rFonts w:hint="eastAsia"/>
          <w:highlight w:val="black"/>
        </w:rPr>
        <w:t>，若起爆线路损坏时应先修复起爆线路再重新起爆</w:t>
      </w:r>
      <w:r>
        <w:rPr>
          <w:highlight w:val="black"/>
        </w:rPr>
        <w:t>。严禁打残眼。距盲炮孔0.3m处打平孔装药爆破。</w:t>
      </w:r>
    </w:p>
    <w:p w14:paraId="263320CE">
      <w:pPr>
        <w:ind w:firstLine="560"/>
        <w:rPr>
          <w:highlight w:val="black"/>
        </w:rPr>
      </w:pPr>
      <w:r>
        <w:rPr>
          <w:rFonts w:hint="eastAsia"/>
          <w:highlight w:val="black"/>
        </w:rPr>
        <w:t>（25）</w:t>
      </w:r>
      <w:r>
        <w:rPr>
          <w:highlight w:val="black"/>
        </w:rPr>
        <w:t>盲炮必须当班处理。未处理前不许进行作业，严禁拉出或掏出起爆药包。</w:t>
      </w:r>
    </w:p>
    <w:p w14:paraId="127E401A">
      <w:pPr>
        <w:ind w:firstLine="560"/>
        <w:rPr>
          <w:highlight w:val="black"/>
        </w:rPr>
      </w:pPr>
      <w:r>
        <w:rPr>
          <w:rFonts w:hint="eastAsia"/>
          <w:highlight w:val="black"/>
        </w:rPr>
        <w:t>（26）</w:t>
      </w:r>
      <w:r>
        <w:rPr>
          <w:highlight w:val="black"/>
        </w:rPr>
        <w:t>独头巷道掘进工作面爆破时，应进行充分的通风，并用水清洒爆堆。</w:t>
      </w:r>
    </w:p>
    <w:p w14:paraId="106DE0F1">
      <w:pPr>
        <w:ind w:firstLine="560"/>
        <w:rPr>
          <w:highlight w:val="black"/>
        </w:rPr>
      </w:pPr>
      <w:r>
        <w:rPr>
          <w:rFonts w:hint="eastAsia"/>
          <w:highlight w:val="black"/>
        </w:rPr>
        <w:t>（27）</w:t>
      </w:r>
      <w:r>
        <w:rPr>
          <w:highlight w:val="black"/>
        </w:rPr>
        <w:t>井筒掘进使用电力起爆时，应使用绝缘的柔性电线作爆破导线；电爆网路的所有接头都应用绝缘胶布严密包裹并高出水面。</w:t>
      </w:r>
    </w:p>
    <w:p w14:paraId="625B3991">
      <w:pPr>
        <w:ind w:firstLine="560"/>
        <w:rPr>
          <w:highlight w:val="black"/>
        </w:rPr>
      </w:pPr>
      <w:r>
        <w:rPr>
          <w:rFonts w:hint="eastAsia"/>
          <w:highlight w:val="black"/>
        </w:rPr>
        <w:t>（28）</w:t>
      </w:r>
      <w:r>
        <w:rPr>
          <w:highlight w:val="black"/>
        </w:rPr>
        <w:t>与爆破作业无关的人员应撤离</w:t>
      </w:r>
      <w:r>
        <w:rPr>
          <w:rFonts w:hint="eastAsia"/>
          <w:highlight w:val="black"/>
        </w:rPr>
        <w:t>斜坡道</w:t>
      </w:r>
      <w:r>
        <w:rPr>
          <w:highlight w:val="black"/>
        </w:rPr>
        <w:t>口。</w:t>
      </w:r>
    </w:p>
    <w:p w14:paraId="60BC5C78">
      <w:pPr>
        <w:ind w:firstLine="560"/>
        <w:rPr>
          <w:highlight w:val="black"/>
        </w:rPr>
      </w:pPr>
      <w:r>
        <w:rPr>
          <w:rFonts w:hint="eastAsia"/>
          <w:highlight w:val="black"/>
        </w:rPr>
        <w:t>（29）</w:t>
      </w:r>
      <w:r>
        <w:rPr>
          <w:highlight w:val="black"/>
        </w:rPr>
        <w:t>应通风良好，支护可靠，设有</w:t>
      </w:r>
      <w:r>
        <w:rPr>
          <w:rFonts w:hint="eastAsia"/>
          <w:highlight w:val="black"/>
        </w:rPr>
        <w:t>两</w:t>
      </w:r>
      <w:r>
        <w:rPr>
          <w:highlight w:val="black"/>
        </w:rPr>
        <w:t>个或</w:t>
      </w:r>
      <w:r>
        <w:rPr>
          <w:rFonts w:hint="eastAsia"/>
          <w:highlight w:val="black"/>
        </w:rPr>
        <w:t>两</w:t>
      </w:r>
      <w:r>
        <w:rPr>
          <w:highlight w:val="black"/>
        </w:rPr>
        <w:t>个以上的安全出口。</w:t>
      </w:r>
    </w:p>
    <w:p w14:paraId="35345DE8">
      <w:pPr>
        <w:ind w:firstLine="560"/>
        <w:rPr>
          <w:highlight w:val="black"/>
        </w:rPr>
      </w:pPr>
      <w:r>
        <w:rPr>
          <w:rFonts w:hint="eastAsia"/>
          <w:highlight w:val="black"/>
        </w:rPr>
        <w:t>（30）炸药雷管运输，要分装分运，运行速度应不超过2m/s。</w:t>
      </w:r>
    </w:p>
    <w:p w14:paraId="35035FDA">
      <w:pPr>
        <w:ind w:firstLine="560"/>
        <w:rPr>
          <w:highlight w:val="black"/>
        </w:rPr>
      </w:pPr>
      <w:r>
        <w:rPr>
          <w:rFonts w:hint="eastAsia"/>
          <w:highlight w:val="black"/>
        </w:rPr>
        <w:t>（31）先对空区底部联络道的封堵情况进行检查，确定空区充填具备条件后，方可进行废石充填。</w:t>
      </w:r>
    </w:p>
    <w:p w14:paraId="5D810E7A">
      <w:pPr>
        <w:ind w:firstLine="560"/>
        <w:rPr>
          <w:highlight w:val="black"/>
        </w:rPr>
      </w:pPr>
      <w:r>
        <w:rPr>
          <w:rFonts w:hint="eastAsia"/>
          <w:highlight w:val="black"/>
        </w:rPr>
        <w:t>（32）制定充填操作规程和责任制，严格按操作程序进行充填作业。</w:t>
      </w:r>
    </w:p>
    <w:p w14:paraId="3B1547D2">
      <w:pPr>
        <w:ind w:firstLine="560"/>
        <w:rPr>
          <w:highlight w:val="black"/>
        </w:rPr>
      </w:pPr>
      <w:r>
        <w:rPr>
          <w:rFonts w:hint="eastAsia"/>
          <w:highlight w:val="black"/>
        </w:rPr>
        <w:t>（33）井下安装防潮电话，确保充填作业上下联系畅通无阻。</w:t>
      </w:r>
    </w:p>
    <w:p w14:paraId="3A71138A">
      <w:pPr>
        <w:ind w:firstLine="560"/>
        <w:rPr>
          <w:highlight w:val="black"/>
        </w:rPr>
      </w:pPr>
      <w:r>
        <w:rPr>
          <w:rFonts w:hint="eastAsia"/>
          <w:highlight w:val="black"/>
        </w:rPr>
        <w:t>（34）制定发生事故应急处理预案，要有紧急处置措施。</w:t>
      </w:r>
    </w:p>
    <w:p w14:paraId="1F075D37">
      <w:pPr>
        <w:ind w:firstLine="560"/>
      </w:pPr>
      <w:r>
        <w:rPr>
          <w:rFonts w:hint="eastAsia"/>
          <w:highlight w:val="black"/>
        </w:rPr>
        <w:t>（35）采空区附近设置警示牌，外人勿入；采空区入口处设置照明，提醒注意；采空区操作处设置栅栏，防止充填操作过程中坠入采空区。</w:t>
      </w:r>
    </w:p>
    <w:p w14:paraId="788FD6C7">
      <w:pPr>
        <w:pStyle w:val="3"/>
        <w:ind w:firstLine="0" w:firstLineChars="0"/>
      </w:pPr>
      <w:bookmarkStart w:id="339" w:name="_Toc3379"/>
      <w:r>
        <w:rPr>
          <w:rFonts w:hint="eastAsia"/>
        </w:rPr>
        <w:t>4.5通风单元对策安全措施</w:t>
      </w:r>
      <w:bookmarkEnd w:id="339"/>
    </w:p>
    <w:p w14:paraId="412F7B4A">
      <w:pPr>
        <w:ind w:firstLine="560"/>
        <w:rPr>
          <w:highlight w:val="black"/>
        </w:rPr>
      </w:pPr>
      <w:r>
        <w:rPr>
          <w:highlight w:val="black"/>
        </w:rPr>
        <w:t>（1）矿井必须按设计要求建立完善的机械通风系统，保证风质、风量、风速及井下空气成分符合《规程》要求。</w:t>
      </w:r>
    </w:p>
    <w:p w14:paraId="5599AE68">
      <w:pPr>
        <w:ind w:firstLine="560"/>
        <w:rPr>
          <w:highlight w:val="black"/>
        </w:rPr>
      </w:pPr>
      <w:r>
        <w:rPr>
          <w:highlight w:val="black"/>
        </w:rPr>
        <w:t>（2）矿井必须建立完善的机械通风系统，主扇必须具有同型号和规格的备用电动机，主扇应有使矿井风流在10min内反风的措施。配置有毒有害气体检测报警设备。</w:t>
      </w:r>
    </w:p>
    <w:p w14:paraId="03C4B489">
      <w:pPr>
        <w:ind w:firstLine="560"/>
        <w:rPr>
          <w:highlight w:val="black"/>
        </w:rPr>
      </w:pPr>
      <w:r>
        <w:rPr>
          <w:highlight w:val="black"/>
        </w:rPr>
        <w:t>（3）掘进工作面和通风不良的采场，应安装局部通风设备，局扇应有完善的保护装置，杜绝局扇循环风。</w:t>
      </w:r>
    </w:p>
    <w:p w14:paraId="2C4E9CB3">
      <w:pPr>
        <w:ind w:firstLine="560"/>
        <w:rPr>
          <w:highlight w:val="black"/>
        </w:rPr>
      </w:pPr>
      <w:r>
        <w:rPr>
          <w:highlight w:val="black"/>
        </w:rPr>
        <w:t>（4）主要进风巷和回风巷，要经常维护，保持清洁和风流畅通，禁止堆放材料和设备。</w:t>
      </w:r>
    </w:p>
    <w:p w14:paraId="5EDE49F4">
      <w:pPr>
        <w:ind w:firstLine="560"/>
        <w:rPr>
          <w:highlight w:val="black"/>
        </w:rPr>
      </w:pPr>
      <w:r>
        <w:rPr>
          <w:highlight w:val="black"/>
        </w:rPr>
        <w:t>（5）矿井通风系统有效风量率应不低于60%。</w:t>
      </w:r>
    </w:p>
    <w:p w14:paraId="10C8080F">
      <w:pPr>
        <w:ind w:firstLine="560"/>
        <w:rPr>
          <w:highlight w:val="black"/>
        </w:rPr>
      </w:pPr>
      <w:r>
        <w:rPr>
          <w:highlight w:val="black"/>
        </w:rPr>
        <w:t>（6）采场形成通风系统之前，不应进行回采作业。矿井主要进风风流，不得通过采空区和塌陷区，需要通过时应砌筑严密的通风假墙引流。</w:t>
      </w:r>
    </w:p>
    <w:p w14:paraId="64E9E8EF">
      <w:pPr>
        <w:ind w:firstLine="560"/>
        <w:rPr>
          <w:highlight w:val="black"/>
        </w:rPr>
      </w:pPr>
      <w:r>
        <w:rPr>
          <w:highlight w:val="black"/>
        </w:rPr>
        <w:t>（7）进风井的空气不应受到有害气体的污染，从矿井排出的污风不应对空气造成污染。</w:t>
      </w:r>
    </w:p>
    <w:p w14:paraId="7C9A0F95">
      <w:pPr>
        <w:ind w:firstLine="560"/>
        <w:rPr>
          <w:highlight w:val="black"/>
        </w:rPr>
      </w:pPr>
      <w:r>
        <w:rPr>
          <w:highlight w:val="black"/>
        </w:rPr>
        <w:t>（8）采空区应及时封闭。采场开采结束后，应封闭所有与采空区相通的巷道。</w:t>
      </w:r>
    </w:p>
    <w:p w14:paraId="3D54C383">
      <w:pPr>
        <w:ind w:firstLine="560"/>
        <w:rPr>
          <w:highlight w:val="black"/>
        </w:rPr>
      </w:pPr>
      <w:r>
        <w:rPr>
          <w:highlight w:val="black"/>
        </w:rPr>
        <w:t>（9）每年进行一次反风试验，并测定主要风路反风后的风量。</w:t>
      </w:r>
    </w:p>
    <w:p w14:paraId="77DD4025">
      <w:pPr>
        <w:ind w:firstLine="560"/>
        <w:rPr>
          <w:highlight w:val="black"/>
        </w:rPr>
      </w:pPr>
      <w:r>
        <w:rPr>
          <w:highlight w:val="black"/>
        </w:rPr>
        <w:t>（10）主扇风机房应有测量风压、风量、电流、电压和轴承温度的仪表，每班都应对扇风机运转情况进行检查，并填写记录，有自动监控及测试的主扇，每2周进行一次自控系统检查。</w:t>
      </w:r>
    </w:p>
    <w:p w14:paraId="7DF2B72F">
      <w:pPr>
        <w:ind w:firstLine="560"/>
        <w:rPr>
          <w:highlight w:val="black"/>
        </w:rPr>
      </w:pPr>
      <w:r>
        <w:rPr>
          <w:highlight w:val="black"/>
        </w:rPr>
        <w:t>（11）要根据生产变化，及时调整矿井通风系统，并绘制全矿通风系统图。通风系统图要标明风流的方向和风量、与通风系统分离的区域、所有风机和通风构筑物的位置等。</w:t>
      </w:r>
    </w:p>
    <w:p w14:paraId="636A8E11">
      <w:pPr>
        <w:ind w:firstLine="560"/>
        <w:rPr>
          <w:highlight w:val="black"/>
        </w:rPr>
      </w:pPr>
      <w:r>
        <w:rPr>
          <w:highlight w:val="black"/>
        </w:rPr>
        <w:t>（12）必须合理设置和开启风门，防止发生风流短路。</w:t>
      </w:r>
    </w:p>
    <w:p w14:paraId="09D91618">
      <w:pPr>
        <w:ind w:firstLine="560"/>
        <w:rPr>
          <w:highlight w:val="black"/>
        </w:rPr>
      </w:pPr>
      <w:r>
        <w:rPr>
          <w:highlight w:val="black"/>
        </w:rPr>
        <w:t>（13）加强通风安全管理，配备通风管理人员，制定通风管理制度并严格落实，确保通风安全。</w:t>
      </w:r>
    </w:p>
    <w:p w14:paraId="68314A1E">
      <w:pPr>
        <w:ind w:firstLine="560"/>
        <w:rPr>
          <w:highlight w:val="black"/>
          <w:lang w:val="de-DE"/>
        </w:rPr>
      </w:pPr>
      <w:r>
        <w:rPr>
          <w:highlight w:val="black"/>
        </w:rPr>
        <w:t>（14）</w:t>
      </w:r>
      <w:r>
        <w:rPr>
          <w:highlight w:val="black"/>
          <w:lang w:val="de-DE"/>
        </w:rPr>
        <w:t>停止作业并已撤出通风设备而又无贯穿风流通风的采场、独头上山和较长的独头巷道，应设栅栏和标志，防止人员进入。如需重新进入，必须进行通风和分析空气成分，确认安全后方准进入。</w:t>
      </w:r>
    </w:p>
    <w:p w14:paraId="45F551F7">
      <w:pPr>
        <w:ind w:firstLine="560"/>
        <w:rPr>
          <w:highlight w:val="black"/>
        </w:rPr>
      </w:pPr>
      <w:r>
        <w:rPr>
          <w:highlight w:val="black"/>
        </w:rPr>
        <w:t>（1</w:t>
      </w:r>
      <w:r>
        <w:rPr>
          <w:rFonts w:hint="eastAsia"/>
          <w:highlight w:val="black"/>
        </w:rPr>
        <w:t>5</w:t>
      </w:r>
      <w:r>
        <w:rPr>
          <w:highlight w:val="black"/>
        </w:rPr>
        <w:t>）矿山必须设置通风管理科室，配备专职通风管理人员，并制定相应的安全管理制度。</w:t>
      </w:r>
      <w:bookmarkStart w:id="340" w:name="ref_[1]_16823161"/>
      <w:bookmarkStart w:id="341" w:name="ref_[2]_16823161"/>
    </w:p>
    <w:bookmarkEnd w:id="340"/>
    <w:p w14:paraId="6F564E3D">
      <w:pPr>
        <w:ind w:firstLine="560"/>
        <w:rPr>
          <w:highlight w:val="black"/>
        </w:rPr>
      </w:pPr>
      <w:r>
        <w:rPr>
          <w:highlight w:val="black"/>
        </w:rPr>
        <w:t>（</w:t>
      </w:r>
      <w:r>
        <w:rPr>
          <w:rFonts w:hint="eastAsia"/>
          <w:highlight w:val="black"/>
        </w:rPr>
        <w:t>16</w:t>
      </w:r>
      <w:r>
        <w:rPr>
          <w:highlight w:val="black"/>
        </w:rPr>
        <w:t>）采空区必须及时封闭，由通风科进行永久密闭。</w:t>
      </w:r>
    </w:p>
    <w:p w14:paraId="5D046E5F">
      <w:pPr>
        <w:ind w:firstLine="560"/>
        <w:rPr>
          <w:highlight w:val="black"/>
        </w:rPr>
      </w:pPr>
      <w:r>
        <w:rPr>
          <w:highlight w:val="black"/>
        </w:rPr>
        <w:t>（</w:t>
      </w:r>
      <w:r>
        <w:rPr>
          <w:rFonts w:hint="eastAsia"/>
          <w:highlight w:val="black"/>
        </w:rPr>
        <w:t>17</w:t>
      </w:r>
      <w:r>
        <w:rPr>
          <w:highlight w:val="black"/>
        </w:rPr>
        <w:t>）严禁在无风，微风及通风不良区域内进行作业。</w:t>
      </w:r>
      <w:bookmarkEnd w:id="341"/>
    </w:p>
    <w:p w14:paraId="0E0B283A">
      <w:pPr>
        <w:ind w:firstLine="560"/>
        <w:rPr>
          <w:highlight w:val="black"/>
        </w:rPr>
      </w:pPr>
      <w:r>
        <w:rPr>
          <w:highlight w:val="black"/>
        </w:rPr>
        <w:t>（</w:t>
      </w:r>
      <w:r>
        <w:rPr>
          <w:rFonts w:hint="eastAsia"/>
          <w:highlight w:val="black"/>
        </w:rPr>
        <w:t>18</w:t>
      </w:r>
      <w:r>
        <w:rPr>
          <w:highlight w:val="black"/>
        </w:rPr>
        <w:t>）确保矿井风速、风压及启停传感器、风压风速在线</w:t>
      </w:r>
      <w:r>
        <w:rPr>
          <w:rFonts w:hint="eastAsia"/>
          <w:highlight w:val="black"/>
        </w:rPr>
        <w:t>监测</w:t>
      </w:r>
      <w:r>
        <w:rPr>
          <w:highlight w:val="black"/>
        </w:rPr>
        <w:t>等设施正常运行和使用，如有问题立即更换。</w:t>
      </w:r>
    </w:p>
    <w:p w14:paraId="5D12FA42">
      <w:pPr>
        <w:ind w:firstLine="560"/>
        <w:rPr>
          <w:highlight w:val="black"/>
        </w:rPr>
      </w:pPr>
      <w:r>
        <w:rPr>
          <w:rFonts w:hint="eastAsia"/>
          <w:highlight w:val="black"/>
        </w:rPr>
        <w:t>（19）</w:t>
      </w:r>
      <w:r>
        <w:rPr>
          <w:highlight w:val="black"/>
        </w:rPr>
        <w:t>主要进风风流不得通过采空区和塌陷区。进风、回风巷应保持畅通，禁止堆放材料、设备。主要回风井巷禁止用作人行道。</w:t>
      </w:r>
    </w:p>
    <w:p w14:paraId="3C1790DD">
      <w:pPr>
        <w:ind w:firstLine="560"/>
        <w:rPr>
          <w:highlight w:val="black"/>
        </w:rPr>
      </w:pPr>
      <w:r>
        <w:rPr>
          <w:rFonts w:hint="eastAsia"/>
          <w:highlight w:val="black"/>
        </w:rPr>
        <w:t>（20）</w:t>
      </w:r>
      <w:r>
        <w:rPr>
          <w:highlight w:val="black"/>
        </w:rPr>
        <w:t>粉尘监测，矿山应</w:t>
      </w:r>
      <w:r>
        <w:rPr>
          <w:rFonts w:hint="eastAsia"/>
          <w:highlight w:val="black"/>
        </w:rPr>
        <w:t>配备</w:t>
      </w:r>
      <w:r>
        <w:rPr>
          <w:highlight w:val="black"/>
        </w:rPr>
        <w:t>专职的防尘人员，在矿井建设和生产期间及时对井下粉尘进行监测。对不符合要求的地段，采取风流净化，确保通风质量</w:t>
      </w:r>
      <w:r>
        <w:rPr>
          <w:rFonts w:hint="eastAsia"/>
          <w:highlight w:val="black"/>
        </w:rPr>
        <w:t>。</w:t>
      </w:r>
    </w:p>
    <w:p w14:paraId="6F1D54C9">
      <w:pPr>
        <w:ind w:firstLine="560"/>
        <w:rPr>
          <w:highlight w:val="black"/>
        </w:rPr>
      </w:pPr>
      <w:r>
        <w:rPr>
          <w:rFonts w:hint="eastAsia"/>
          <w:highlight w:val="black"/>
        </w:rPr>
        <w:t>（21）</w:t>
      </w:r>
      <w:r>
        <w:rPr>
          <w:highlight w:val="black"/>
        </w:rPr>
        <w:t>未设置在线监测系统的矿山每年应对通风系统进行1次检测。</w:t>
      </w:r>
    </w:p>
    <w:p w14:paraId="534A8F71">
      <w:pPr>
        <w:pStyle w:val="3"/>
        <w:ind w:firstLine="0" w:firstLineChars="0"/>
      </w:pPr>
      <w:bookmarkStart w:id="342" w:name="_Toc26259"/>
      <w:r>
        <w:rPr>
          <w:rFonts w:hint="eastAsia"/>
        </w:rPr>
        <w:t>4.6 供配电单元对策措施</w:t>
      </w:r>
      <w:bookmarkEnd w:id="342"/>
    </w:p>
    <w:p w14:paraId="6E6DB598">
      <w:pPr>
        <w:ind w:firstLine="560"/>
        <w:rPr>
          <w:highlight w:val="black"/>
        </w:rPr>
      </w:pPr>
      <w:r>
        <w:rPr>
          <w:highlight w:val="black"/>
        </w:rPr>
        <w:t>（1）严禁雷雨天气作业</w:t>
      </w:r>
      <w:r>
        <w:rPr>
          <w:rFonts w:hint="eastAsia"/>
          <w:highlight w:val="black"/>
        </w:rPr>
        <w:t>；</w:t>
      </w:r>
    </w:p>
    <w:p w14:paraId="01DC765E">
      <w:pPr>
        <w:ind w:firstLine="560"/>
        <w:rPr>
          <w:highlight w:val="black"/>
        </w:rPr>
      </w:pPr>
      <w:r>
        <w:rPr>
          <w:highlight w:val="black"/>
        </w:rPr>
        <w:t>（2）按照设计要求采取防雷击措施</w:t>
      </w:r>
      <w:r>
        <w:rPr>
          <w:rFonts w:hint="eastAsia"/>
          <w:highlight w:val="black"/>
        </w:rPr>
        <w:t>；</w:t>
      </w:r>
    </w:p>
    <w:p w14:paraId="01B5A83A">
      <w:pPr>
        <w:ind w:firstLine="560"/>
        <w:rPr>
          <w:highlight w:val="black"/>
        </w:rPr>
      </w:pPr>
      <w:r>
        <w:rPr>
          <w:highlight w:val="black"/>
        </w:rPr>
        <w:t>（3）电气设备可能被人触及的裸露带电部分，必须设置防护罩或遮栏及警示标志</w:t>
      </w:r>
      <w:r>
        <w:rPr>
          <w:rFonts w:hint="eastAsia"/>
          <w:highlight w:val="black"/>
        </w:rPr>
        <w:t>；</w:t>
      </w:r>
    </w:p>
    <w:p w14:paraId="310375C4">
      <w:pPr>
        <w:ind w:firstLine="560"/>
        <w:rPr>
          <w:highlight w:val="black"/>
        </w:rPr>
      </w:pPr>
      <w:r>
        <w:rPr>
          <w:highlight w:val="black"/>
        </w:rPr>
        <w:t>（4）在电源线路上断电作业时，该线路的电源开关把手，应加锁或设专人看护，并悬挂</w:t>
      </w:r>
      <w:r>
        <w:rPr>
          <w:rFonts w:hint="eastAsia"/>
          <w:highlight w:val="black"/>
        </w:rPr>
        <w:t>“</w:t>
      </w:r>
      <w:r>
        <w:rPr>
          <w:highlight w:val="black"/>
        </w:rPr>
        <w:t>有人作业，不准送电</w:t>
      </w:r>
      <w:r>
        <w:rPr>
          <w:rFonts w:hint="eastAsia"/>
          <w:highlight w:val="black"/>
        </w:rPr>
        <w:t>”</w:t>
      </w:r>
      <w:r>
        <w:rPr>
          <w:highlight w:val="black"/>
        </w:rPr>
        <w:t>的警示牌</w:t>
      </w:r>
      <w:r>
        <w:rPr>
          <w:rFonts w:hint="eastAsia"/>
          <w:highlight w:val="black"/>
        </w:rPr>
        <w:t>；</w:t>
      </w:r>
    </w:p>
    <w:p w14:paraId="6CC9AF9F">
      <w:pPr>
        <w:ind w:firstLine="560"/>
        <w:rPr>
          <w:highlight w:val="black"/>
        </w:rPr>
      </w:pPr>
      <w:r>
        <w:rPr>
          <w:highlight w:val="black"/>
        </w:rPr>
        <w:t>（5）电气设备、线路要设有可靠的防雷、接地装置，并定期进行全面检查和</w:t>
      </w:r>
      <w:r>
        <w:rPr>
          <w:rFonts w:hint="eastAsia"/>
          <w:highlight w:val="black"/>
        </w:rPr>
        <w:t>检测</w:t>
      </w:r>
      <w:r>
        <w:rPr>
          <w:highlight w:val="black"/>
        </w:rPr>
        <w:t>，不合格的应及时更换或修复。</w:t>
      </w:r>
    </w:p>
    <w:p w14:paraId="10634DA4">
      <w:pPr>
        <w:ind w:firstLine="560"/>
        <w:rPr>
          <w:highlight w:val="black"/>
        </w:rPr>
      </w:pPr>
      <w:r>
        <w:rPr>
          <w:rFonts w:hint="eastAsia"/>
          <w:highlight w:val="black"/>
        </w:rPr>
        <w:t>（6）井下不应采用油浸式电气设备，禁止中性点接地。地面中性点接地的变压器或发电机，不得向井下供电。</w:t>
      </w:r>
    </w:p>
    <w:p w14:paraId="4CA64F30">
      <w:pPr>
        <w:ind w:firstLine="560"/>
        <w:rPr>
          <w:highlight w:val="black"/>
        </w:rPr>
      </w:pPr>
      <w:r>
        <w:rPr>
          <w:rFonts w:hint="eastAsia"/>
          <w:highlight w:val="black"/>
        </w:rPr>
        <w:t>（7）井下不得带电检查、搬迁电气设备、电缆和电线，检修或搬迁前，必须切断电源；所有开关的闭锁装置必须能可靠地防止擅自送电，防止擅自开盖操作，开关把手在切断电源时必须闭锁，必须验电、放电和将线路接地。并悬挂“有人工作，不准送电”字样的警示牌。</w:t>
      </w:r>
    </w:p>
    <w:p w14:paraId="2338D0A3">
      <w:pPr>
        <w:ind w:firstLine="560"/>
        <w:rPr>
          <w:highlight w:val="black"/>
        </w:rPr>
      </w:pPr>
      <w:r>
        <w:rPr>
          <w:rFonts w:hint="eastAsia"/>
          <w:highlight w:val="black"/>
        </w:rPr>
        <w:t>（8）当保护装置动作或熔断器的熔体熔断后，应先查明原因、排除故障，并确认电气装置已恢复正常后才能重新接通电源、继续使用。更换熔体时不应任意改变熔断器的熔体规格或用其它导线代替。</w:t>
      </w:r>
    </w:p>
    <w:p w14:paraId="55A8BBC7">
      <w:pPr>
        <w:ind w:firstLine="560"/>
        <w:rPr>
          <w:highlight w:val="black"/>
        </w:rPr>
      </w:pPr>
      <w:r>
        <w:rPr>
          <w:rFonts w:hint="eastAsia"/>
          <w:highlight w:val="black"/>
        </w:rPr>
        <w:t>（9）非电气人员或非值班电气人员不得擅自操作电气设备。</w:t>
      </w:r>
    </w:p>
    <w:p w14:paraId="4538B4D5">
      <w:pPr>
        <w:ind w:firstLine="560"/>
        <w:rPr>
          <w:highlight w:val="black"/>
        </w:rPr>
      </w:pPr>
      <w:r>
        <w:rPr>
          <w:rFonts w:hint="eastAsia"/>
          <w:highlight w:val="black"/>
        </w:rPr>
        <w:t>（10）操作高压电气设备时，操作人员必须戴绝缘手套，并穿电工绝缘靴或站在绝缘台上。</w:t>
      </w:r>
    </w:p>
    <w:p w14:paraId="2B7E2CAB">
      <w:pPr>
        <w:ind w:firstLine="560"/>
        <w:rPr>
          <w:highlight w:val="black"/>
        </w:rPr>
      </w:pPr>
      <w:r>
        <w:rPr>
          <w:rFonts w:hint="eastAsia"/>
          <w:highlight w:val="black"/>
        </w:rPr>
        <w:t>（11）手持式电气设备的操作手柄和工作中必须接触的部分有良好的绝缘。</w:t>
      </w:r>
    </w:p>
    <w:p w14:paraId="22845512">
      <w:pPr>
        <w:ind w:firstLine="560"/>
        <w:rPr>
          <w:highlight w:val="black"/>
        </w:rPr>
      </w:pPr>
      <w:r>
        <w:rPr>
          <w:rFonts w:hint="eastAsia"/>
          <w:highlight w:val="black"/>
        </w:rPr>
        <w:t>（12）井下配电网路（变压器馈出线路、电动机等）均应装设过流、过负荷、短路等漏电保护装置；低压馈电线上，必须装设检漏保护装置或自选择性的漏电保护装置，保证自动切断漏电的馈电线路，并保证其完整性。</w:t>
      </w:r>
    </w:p>
    <w:p w14:paraId="49C048D0">
      <w:pPr>
        <w:ind w:firstLine="560"/>
        <w:rPr>
          <w:highlight w:val="black"/>
        </w:rPr>
      </w:pPr>
      <w:r>
        <w:rPr>
          <w:rFonts w:hint="eastAsia"/>
          <w:highlight w:val="black"/>
        </w:rPr>
        <w:t>（13）井下电缆悬挂高度和位置，应保证其不致被车辆碰撞，压坏；不得将电缆悬挂在风、水管上；电缆上不得悬挂任何物件。</w:t>
      </w:r>
    </w:p>
    <w:p w14:paraId="70B63305">
      <w:pPr>
        <w:ind w:firstLine="560"/>
        <w:rPr>
          <w:highlight w:val="black"/>
        </w:rPr>
      </w:pPr>
      <w:r>
        <w:rPr>
          <w:rFonts w:hint="eastAsia"/>
          <w:highlight w:val="black"/>
        </w:rPr>
        <w:t>（14）重要电源电缆、移动式电气设备的电缆及井下有爆炸危险环境的低压电缆应采用铜芯电缆。井下信号和控制线路，应采用铠装电缆。对绝缘性能下降和绝缘老化电缆应立即更换。</w:t>
      </w:r>
    </w:p>
    <w:p w14:paraId="18D03065">
      <w:pPr>
        <w:ind w:firstLine="560"/>
        <w:rPr>
          <w:highlight w:val="black"/>
        </w:rPr>
      </w:pPr>
      <w:r>
        <w:rPr>
          <w:rFonts w:hint="eastAsia"/>
          <w:highlight w:val="black"/>
        </w:rPr>
        <w:t>（15）所有的电气设备和线路，应根据对人的危害程度设置明显的警示标志、防护网和安全遮拦；电气设备可能被人触及的裸露带电部，应设置防护罩或遮拦及警示牌。</w:t>
      </w:r>
    </w:p>
    <w:p w14:paraId="05DD43A0">
      <w:pPr>
        <w:ind w:firstLine="560"/>
        <w:rPr>
          <w:highlight w:val="black"/>
        </w:rPr>
      </w:pPr>
      <w:r>
        <w:rPr>
          <w:rFonts w:hint="eastAsia"/>
          <w:highlight w:val="black"/>
        </w:rPr>
        <w:t>（16）运行中的变压器应经常进行巡回检查和监视，主要检查接头有无发热现象及异变；油位是否正常，有无渗、漏油现象；避雷装置是否完好，特别是雨季来临之前。</w:t>
      </w:r>
    </w:p>
    <w:p w14:paraId="1477F5B1">
      <w:pPr>
        <w:ind w:firstLine="560"/>
        <w:rPr>
          <w:highlight w:val="black"/>
        </w:rPr>
      </w:pPr>
      <w:r>
        <w:rPr>
          <w:rFonts w:hint="eastAsia"/>
          <w:highlight w:val="black"/>
        </w:rPr>
        <w:t>（17）引至采掘工作面的电源线，应装设具有明显断开点的隔离电器。</w:t>
      </w:r>
    </w:p>
    <w:p w14:paraId="5919535A">
      <w:pPr>
        <w:ind w:firstLine="560"/>
        <w:rPr>
          <w:highlight w:val="black"/>
        </w:rPr>
      </w:pPr>
      <w:r>
        <w:rPr>
          <w:rFonts w:hint="eastAsia"/>
          <w:highlight w:val="black"/>
        </w:rPr>
        <w:t>（18）矿山应建立健全完整的电工岗位责任制和操作规程，禁止违规作业。定期对电气人员进行技能培训，考试合格方准上岗</w:t>
      </w:r>
      <w:r>
        <w:rPr>
          <w:highlight w:val="black"/>
        </w:rPr>
        <w:t>。</w:t>
      </w:r>
    </w:p>
    <w:p w14:paraId="3B9F8B8C">
      <w:pPr>
        <w:pStyle w:val="3"/>
        <w:ind w:firstLine="0" w:firstLineChars="0"/>
      </w:pPr>
      <w:bookmarkStart w:id="343" w:name="_Toc2012"/>
      <w:r>
        <w:rPr>
          <w:rFonts w:hint="eastAsia"/>
        </w:rPr>
        <w:t>4.7防排水与防灭火单元对策措施</w:t>
      </w:r>
      <w:bookmarkEnd w:id="343"/>
    </w:p>
    <w:p w14:paraId="72B94A41">
      <w:pPr>
        <w:ind w:firstLine="560"/>
        <w:rPr>
          <w:highlight w:val="black"/>
        </w:rPr>
      </w:pPr>
      <w:r>
        <w:rPr>
          <w:highlight w:val="black"/>
        </w:rPr>
        <w:t>（1）矿山应加强水文地质工作，配备必要的水文地质技术人员，开展水文地质调查工作，及时进行矿区水文地质资料的搜集、整理和综合研究，掌握生产过程中水文地质条件的变化，保证矿山生产安全。</w:t>
      </w:r>
    </w:p>
    <w:p w14:paraId="49629BFE">
      <w:pPr>
        <w:ind w:firstLine="560"/>
        <w:rPr>
          <w:highlight w:val="black"/>
        </w:rPr>
      </w:pPr>
      <w:r>
        <w:rPr>
          <w:highlight w:val="black"/>
        </w:rPr>
        <w:t>（2）建立健全防治水组织机构，在基建、生产过程中持续开展有关防治水的调查、检测和预测预报工作。</w:t>
      </w:r>
    </w:p>
    <w:p w14:paraId="67074D31">
      <w:pPr>
        <w:ind w:firstLine="560"/>
        <w:rPr>
          <w:highlight w:val="black"/>
        </w:rPr>
      </w:pPr>
      <w:r>
        <w:rPr>
          <w:highlight w:val="black"/>
        </w:rPr>
        <w:t>（3）每年雨季前应由矿长组织一次防水检查，并编制防水计划，防水工程应在雨季之前完成。</w:t>
      </w:r>
    </w:p>
    <w:p w14:paraId="1E293C8D">
      <w:pPr>
        <w:ind w:firstLine="560"/>
        <w:rPr>
          <w:highlight w:val="black"/>
        </w:rPr>
      </w:pPr>
      <w:r>
        <w:rPr>
          <w:highlight w:val="black"/>
        </w:rPr>
        <w:t>（4）硐口、井口位于山坡处，井口及硐口高于最近河道10m以上，因此高于当地最高洪水位1.0米以上。</w:t>
      </w:r>
    </w:p>
    <w:p w14:paraId="2F04A858">
      <w:pPr>
        <w:ind w:firstLine="560"/>
        <w:rPr>
          <w:highlight w:val="black"/>
        </w:rPr>
      </w:pPr>
      <w:r>
        <w:rPr>
          <w:highlight w:val="black"/>
        </w:rPr>
        <w:t>（5）生产期间应加强生产勘探，并根据实际水文地质条件，对矿山排水系统的防排能力进行调整。</w:t>
      </w:r>
    </w:p>
    <w:p w14:paraId="60BAF782">
      <w:pPr>
        <w:ind w:firstLine="560"/>
        <w:rPr>
          <w:highlight w:val="black"/>
        </w:rPr>
      </w:pPr>
      <w:r>
        <w:rPr>
          <w:highlight w:val="black"/>
        </w:rPr>
        <w:t>（6）排到地面的井下水应引出矿区。</w:t>
      </w:r>
    </w:p>
    <w:p w14:paraId="7FB61143">
      <w:pPr>
        <w:ind w:firstLine="560"/>
        <w:rPr>
          <w:highlight w:val="black"/>
        </w:rPr>
      </w:pPr>
      <w:r>
        <w:rPr>
          <w:highlight w:val="black"/>
        </w:rPr>
        <w:t>（7）井下排水设备要经常检修，保证完好，防止发生透水淹井事故。</w:t>
      </w:r>
    </w:p>
    <w:p w14:paraId="06C12BC8">
      <w:pPr>
        <w:ind w:firstLine="560"/>
        <w:rPr>
          <w:highlight w:val="black"/>
        </w:rPr>
      </w:pPr>
      <w:r>
        <w:rPr>
          <w:highlight w:val="black"/>
        </w:rPr>
        <w:t>（8）雨季应有专人检查矿区防洪情况，遇有紧急情况，应及时将井下人员全部</w:t>
      </w:r>
      <w:r>
        <w:rPr>
          <w:rFonts w:hint="eastAsia"/>
          <w:highlight w:val="black"/>
        </w:rPr>
        <w:t>撤</w:t>
      </w:r>
      <w:r>
        <w:rPr>
          <w:highlight w:val="black"/>
        </w:rPr>
        <w:t>出，防止发生事故。</w:t>
      </w:r>
    </w:p>
    <w:p w14:paraId="3BB9559F">
      <w:pPr>
        <w:ind w:firstLine="560"/>
        <w:rPr>
          <w:highlight w:val="black"/>
        </w:rPr>
      </w:pPr>
      <w:r>
        <w:rPr>
          <w:highlight w:val="black"/>
        </w:rPr>
        <w:t>（9）密切关注当地气象台的天气预报，雨季到来之前，维护好地面截水沟，保证沟内水流畅通无阻。</w:t>
      </w:r>
    </w:p>
    <w:p w14:paraId="501696EB">
      <w:pPr>
        <w:ind w:firstLine="560"/>
        <w:rPr>
          <w:highlight w:val="black"/>
        </w:rPr>
      </w:pPr>
      <w:r>
        <w:rPr>
          <w:highlight w:val="black"/>
        </w:rPr>
        <w:t>（10）在基建、生产掘进过程中，</w:t>
      </w:r>
      <w:r>
        <w:rPr>
          <w:highlight w:val="black"/>
          <w:lang w:val="de-DE"/>
        </w:rPr>
        <w:t>务必坚持“</w:t>
      </w:r>
      <w:r>
        <w:rPr>
          <w:highlight w:val="black"/>
        </w:rPr>
        <w:t>有疑必探</w:t>
      </w:r>
      <w:r>
        <w:rPr>
          <w:highlight w:val="black"/>
          <w:lang w:val="de-DE"/>
        </w:rPr>
        <w:t>”的原则</w:t>
      </w:r>
      <w:r>
        <w:rPr>
          <w:highlight w:val="black"/>
        </w:rPr>
        <w:t>，如发现水文条件异常和发现有透水征兆时，应进行超前探水工作，防止突然涌水事故发生。</w:t>
      </w:r>
    </w:p>
    <w:p w14:paraId="0DA88D44">
      <w:pPr>
        <w:ind w:firstLine="560"/>
        <w:rPr>
          <w:highlight w:val="black"/>
        </w:rPr>
      </w:pPr>
      <w:r>
        <w:rPr>
          <w:highlight w:val="black"/>
        </w:rPr>
        <w:t>（11）水仓设计由两个独立的巷道系统组成。主要水仓总容积能容纳6</w:t>
      </w:r>
      <w:r>
        <w:rPr>
          <w:rFonts w:hint="eastAsia"/>
          <w:highlight w:val="black"/>
        </w:rPr>
        <w:t>—</w:t>
      </w:r>
      <w:r>
        <w:rPr>
          <w:highlight w:val="black"/>
        </w:rPr>
        <w:t>8h的正常涌水量，水仓进水口设铁蓖子，并定期清淤，保证水仓容积。</w:t>
      </w:r>
    </w:p>
    <w:p w14:paraId="16401FA8">
      <w:pPr>
        <w:ind w:firstLine="560"/>
        <w:rPr>
          <w:highlight w:val="black"/>
        </w:rPr>
      </w:pPr>
      <w:r>
        <w:rPr>
          <w:highlight w:val="black"/>
        </w:rPr>
        <w:t>（12）排水设备采取双回路供电，其中一路来自</w:t>
      </w:r>
      <w:r>
        <w:rPr>
          <w:rFonts w:hint="eastAsia"/>
          <w:highlight w:val="black"/>
        </w:rPr>
        <w:t>电网</w:t>
      </w:r>
      <w:r>
        <w:rPr>
          <w:highlight w:val="black"/>
        </w:rPr>
        <w:t>电源，另一路来自备用发电机，并采取机旁就地控制。</w:t>
      </w:r>
    </w:p>
    <w:p w14:paraId="350B1B1E">
      <w:pPr>
        <w:ind w:firstLine="560"/>
        <w:rPr>
          <w:highlight w:val="black"/>
        </w:rPr>
      </w:pPr>
      <w:r>
        <w:rPr>
          <w:highlight w:val="black"/>
        </w:rPr>
        <w:t>（13）加强司泵人员技术培训，提高技术素质，及时排</w:t>
      </w:r>
      <w:r>
        <w:rPr>
          <w:rFonts w:hint="eastAsia"/>
          <w:highlight w:val="black"/>
        </w:rPr>
        <w:t>除</w:t>
      </w:r>
      <w:r>
        <w:rPr>
          <w:highlight w:val="black"/>
        </w:rPr>
        <w:t>水泵故障。</w:t>
      </w:r>
    </w:p>
    <w:p w14:paraId="061C1263">
      <w:pPr>
        <w:ind w:firstLine="560"/>
        <w:rPr>
          <w:highlight w:val="black"/>
        </w:rPr>
      </w:pPr>
      <w:r>
        <w:rPr>
          <w:highlight w:val="black"/>
        </w:rPr>
        <w:t>（14）工业场地周围在雨季前要，筑好防水堤，防止雨水、山洪冲毁地面设施或倒灌流入井下。</w:t>
      </w:r>
    </w:p>
    <w:p w14:paraId="7DFA1430">
      <w:pPr>
        <w:ind w:firstLine="560"/>
        <w:rPr>
          <w:highlight w:val="black"/>
        </w:rPr>
      </w:pPr>
      <w:r>
        <w:rPr>
          <w:highlight w:val="black"/>
          <w:lang w:val="de-DE"/>
        </w:rPr>
        <w:t>（</w:t>
      </w:r>
      <w:r>
        <w:rPr>
          <w:highlight w:val="black"/>
        </w:rPr>
        <w:t>15）</w:t>
      </w:r>
      <w:r>
        <w:rPr>
          <w:highlight w:val="black"/>
          <w:lang w:val="de-DE"/>
        </w:rPr>
        <w:t>生产过程中加强对矿区内地下水的水文观测，建立水文动态观测制度，防止突水事件发生。</w:t>
      </w:r>
    </w:p>
    <w:p w14:paraId="7DE5666D">
      <w:pPr>
        <w:ind w:firstLine="560"/>
        <w:rPr>
          <w:highlight w:val="black"/>
        </w:rPr>
      </w:pPr>
      <w:r>
        <w:rPr>
          <w:rFonts w:hint="eastAsia"/>
          <w:highlight w:val="black"/>
        </w:rPr>
        <w:t>（16）不得用火炉或明火直接加热井下空气，或用明火烘烤井口冻结的管道。井下不得使用电炉和灯泡防潮、烘烤和采暖。</w:t>
      </w:r>
    </w:p>
    <w:p w14:paraId="64976080">
      <w:pPr>
        <w:ind w:firstLine="560"/>
        <w:rPr>
          <w:highlight w:val="black"/>
        </w:rPr>
      </w:pPr>
      <w:r>
        <w:rPr>
          <w:rFonts w:hint="eastAsia"/>
          <w:highlight w:val="black"/>
        </w:rPr>
        <w:t>（17）井下输电线路和直接回馈线路通过木制井框、井架和易燃材料的部位，应采取有效的防止漏电或短路的措施。</w:t>
      </w:r>
    </w:p>
    <w:p w14:paraId="1E5E06EA">
      <w:pPr>
        <w:ind w:firstLine="560"/>
        <w:rPr>
          <w:highlight w:val="black"/>
        </w:rPr>
      </w:pPr>
      <w:r>
        <w:rPr>
          <w:rFonts w:hint="eastAsia"/>
          <w:highlight w:val="black"/>
        </w:rPr>
        <w:t>（18）井下工作人员禁止吸烟，带入明火，以及易燃、易爆物品。</w:t>
      </w:r>
    </w:p>
    <w:p w14:paraId="183BEE84">
      <w:pPr>
        <w:ind w:firstLine="560"/>
        <w:rPr>
          <w:highlight w:val="black"/>
        </w:rPr>
      </w:pPr>
      <w:r>
        <w:rPr>
          <w:rFonts w:hint="eastAsia"/>
          <w:highlight w:val="black"/>
        </w:rPr>
        <w:t>（19）在进行作业期间，不得一人作业，在作业点需一人作业，并配备一名安全员，附近需有临时灭火器。</w:t>
      </w:r>
    </w:p>
    <w:p w14:paraId="4E39F793">
      <w:pPr>
        <w:ind w:firstLine="560"/>
        <w:rPr>
          <w:highlight w:val="black"/>
        </w:rPr>
      </w:pPr>
      <w:r>
        <w:rPr>
          <w:rFonts w:hint="eastAsia"/>
          <w:highlight w:val="black"/>
        </w:rPr>
        <w:t>（20）井下工作人员，必须全部携带便携式自救器，如遇发生烟、火，以及不确定因素时，打开自救器，迅速逃离井下。</w:t>
      </w:r>
    </w:p>
    <w:p w14:paraId="20DB9008">
      <w:pPr>
        <w:ind w:firstLine="560"/>
        <w:rPr>
          <w:highlight w:val="black"/>
        </w:rPr>
      </w:pPr>
      <w:r>
        <w:rPr>
          <w:rFonts w:hint="eastAsia"/>
          <w:highlight w:val="black"/>
        </w:rPr>
        <w:t>（21）根据安全规程要求，矿山需带队下井，并且编制防火计划，以及相应的应急救援预案，在可能发生，易发生地段加强防火意识。</w:t>
      </w:r>
    </w:p>
    <w:p w14:paraId="22313D47">
      <w:pPr>
        <w:ind w:firstLine="560"/>
        <w:rPr>
          <w:highlight w:val="black"/>
        </w:rPr>
      </w:pPr>
      <w:r>
        <w:rPr>
          <w:rFonts w:hint="eastAsia"/>
          <w:highlight w:val="black"/>
        </w:rPr>
        <w:t>（22）</w:t>
      </w:r>
      <w:r>
        <w:rPr>
          <w:highlight w:val="black"/>
        </w:rPr>
        <w:t>矿山的建</w:t>
      </w:r>
      <w:r>
        <w:rPr>
          <w:rFonts w:hint="eastAsia"/>
          <w:highlight w:val="black"/>
        </w:rPr>
        <w:t>（</w:t>
      </w:r>
      <w:r>
        <w:rPr>
          <w:highlight w:val="black"/>
        </w:rPr>
        <w:t>构</w:t>
      </w:r>
      <w:r>
        <w:rPr>
          <w:rFonts w:hint="eastAsia"/>
          <w:highlight w:val="black"/>
        </w:rPr>
        <w:t>）</w:t>
      </w:r>
      <w:r>
        <w:rPr>
          <w:highlight w:val="black"/>
        </w:rPr>
        <w:t>筑物和重要设备，按</w:t>
      </w:r>
      <w:r>
        <w:rPr>
          <w:rFonts w:hint="eastAsia"/>
          <w:highlight w:val="black"/>
        </w:rPr>
        <w:t>《GB50016-2014（2018年版）》</w:t>
      </w:r>
      <w:r>
        <w:rPr>
          <w:highlight w:val="black"/>
        </w:rPr>
        <w:t>和国家发布的其他有关防火规定，以及当地消防部门的要求，建立消防隔离设施，设置消防设备和器材。消防通道上不应堆放杂物。</w:t>
      </w:r>
    </w:p>
    <w:p w14:paraId="56089360">
      <w:pPr>
        <w:ind w:firstLine="560"/>
        <w:rPr>
          <w:highlight w:val="black"/>
        </w:rPr>
      </w:pPr>
      <w:r>
        <w:rPr>
          <w:rFonts w:hint="eastAsia"/>
          <w:highlight w:val="black"/>
        </w:rPr>
        <w:t>（23）</w:t>
      </w:r>
      <w:r>
        <w:rPr>
          <w:highlight w:val="black"/>
        </w:rPr>
        <w:t>重要采掘设备，应配备灭火器材。</w:t>
      </w:r>
    </w:p>
    <w:p w14:paraId="220AA7C3">
      <w:pPr>
        <w:ind w:firstLine="560"/>
        <w:rPr>
          <w:highlight w:val="black"/>
        </w:rPr>
      </w:pPr>
      <w:r>
        <w:rPr>
          <w:rFonts w:hint="eastAsia"/>
          <w:highlight w:val="black"/>
        </w:rPr>
        <w:t>（24）</w:t>
      </w:r>
      <w:r>
        <w:rPr>
          <w:highlight w:val="black"/>
        </w:rPr>
        <w:t>易燃易爆器材，</w:t>
      </w:r>
      <w:r>
        <w:rPr>
          <w:rFonts w:hint="eastAsia"/>
          <w:highlight w:val="black"/>
        </w:rPr>
        <w:t>禁止</w:t>
      </w:r>
      <w:r>
        <w:rPr>
          <w:highlight w:val="black"/>
        </w:rPr>
        <w:t>放在电缆接头或接地极附近。</w:t>
      </w:r>
    </w:p>
    <w:p w14:paraId="0DD2AE2C">
      <w:pPr>
        <w:ind w:firstLine="560"/>
        <w:rPr>
          <w:highlight w:val="black"/>
        </w:rPr>
      </w:pPr>
      <w:r>
        <w:rPr>
          <w:rFonts w:hint="eastAsia"/>
          <w:highlight w:val="black"/>
        </w:rPr>
        <w:t>（25）</w:t>
      </w:r>
      <w:r>
        <w:rPr>
          <w:highlight w:val="black"/>
        </w:rPr>
        <w:t>废弃的棉纱、布头、纸和油毡等易燃品，应妥善管理</w:t>
      </w:r>
      <w:r>
        <w:rPr>
          <w:rFonts w:hint="eastAsia"/>
          <w:highlight w:val="black"/>
        </w:rPr>
        <w:t>及时运出井下</w:t>
      </w:r>
      <w:r>
        <w:rPr>
          <w:highlight w:val="black"/>
        </w:rPr>
        <w:t>。</w:t>
      </w:r>
    </w:p>
    <w:p w14:paraId="667088A7">
      <w:pPr>
        <w:ind w:firstLine="560"/>
        <w:rPr>
          <w:highlight w:val="black"/>
        </w:rPr>
      </w:pPr>
      <w:r>
        <w:rPr>
          <w:rFonts w:hint="eastAsia"/>
          <w:highlight w:val="black"/>
        </w:rPr>
        <w:t>（26）</w:t>
      </w:r>
      <w:r>
        <w:rPr>
          <w:highlight w:val="black"/>
        </w:rPr>
        <w:t>矿山企业应规定专门的火灾信号，并应做到发生火灾时，能通知作业地点的所有人员及时撤离危险区。安装在人员集中地点的信号，应声光兼备。任何人员发现火灾，应立即报告调度室组织灭火，并迅速采取一切可能的方法直接扑灭初期火灾。</w:t>
      </w:r>
    </w:p>
    <w:p w14:paraId="06375121">
      <w:pPr>
        <w:ind w:firstLine="560"/>
        <w:rPr>
          <w:highlight w:val="black"/>
        </w:rPr>
      </w:pPr>
      <w:r>
        <w:rPr>
          <w:rFonts w:hint="eastAsia"/>
          <w:highlight w:val="black"/>
        </w:rPr>
        <w:t>（27）在井下进行动火作业时，应制定经主管矿长批准的防火措施，在井巷内进行焊接时，应派专人监护，焊接完毕应严格检查清理。在作业部位的下方设置收集火星、焊渣的设施，并派专人喷水淋湿和及时扑灭火星。</w:t>
      </w:r>
    </w:p>
    <w:p w14:paraId="13300607">
      <w:pPr>
        <w:ind w:firstLine="560"/>
        <w:rPr>
          <w:highlight w:val="black"/>
        </w:rPr>
      </w:pPr>
      <w:r>
        <w:rPr>
          <w:rFonts w:hint="eastAsia"/>
          <w:highlight w:val="black"/>
        </w:rPr>
        <w:t>（28）</w:t>
      </w:r>
      <w:r>
        <w:rPr>
          <w:highlight w:val="black"/>
        </w:rPr>
        <w:t>排到地面的井下积水应引至高位水池，多余部分必须引出矿区。</w:t>
      </w:r>
    </w:p>
    <w:p w14:paraId="3464065F">
      <w:pPr>
        <w:ind w:firstLine="560"/>
        <w:rPr>
          <w:highlight w:val="black"/>
        </w:rPr>
      </w:pPr>
      <w:r>
        <w:rPr>
          <w:rFonts w:hint="eastAsia"/>
          <w:highlight w:val="black"/>
        </w:rPr>
        <w:t>（29）</w:t>
      </w:r>
      <w:r>
        <w:rPr>
          <w:highlight w:val="black"/>
        </w:rPr>
        <w:t>凿探水眼时，若发现岩石变软，或沿钻杆向外流水超过正常凿岩供水量等现象，必须停止凿岩。此时，不得移动钻杆，除派专人监视水情外，应立即报告主管矿长采取安全措施。</w:t>
      </w:r>
    </w:p>
    <w:p w14:paraId="7C553D74">
      <w:pPr>
        <w:ind w:firstLine="560"/>
        <w:rPr>
          <w:highlight w:val="black"/>
        </w:rPr>
      </w:pPr>
      <w:r>
        <w:rPr>
          <w:rFonts w:hint="eastAsia"/>
          <w:highlight w:val="black"/>
        </w:rPr>
        <w:t>（30）</w:t>
      </w:r>
      <w:r>
        <w:rPr>
          <w:highlight w:val="black"/>
        </w:rPr>
        <w:t>掘进工作面或其他地点发现透水预兆时，如工作面“出汗”、顶板淋水加大、空气变冷、产生雾气、挂红、水叫、底板涌水或其他异常现象，必须立即停止工作，并报告主管矿长，采取措施。如果情况紧急，必须立即发出警报，撤出所有可能受水威胁地点的人员。</w:t>
      </w:r>
    </w:p>
    <w:p w14:paraId="6D238E43">
      <w:pPr>
        <w:ind w:firstLine="560"/>
        <w:rPr>
          <w:highlight w:val="black"/>
        </w:rPr>
      </w:pPr>
      <w:r>
        <w:rPr>
          <w:rFonts w:hint="eastAsia"/>
          <w:highlight w:val="black"/>
        </w:rPr>
        <w:t>（31）</w:t>
      </w:r>
      <w:r>
        <w:rPr>
          <w:highlight w:val="black"/>
        </w:rPr>
        <w:t>必须制定预防突然涌水的安全措施，向井下作业人员普及透水前兆知识，发现问题及时处理；</w:t>
      </w:r>
    </w:p>
    <w:p w14:paraId="08159BC0">
      <w:pPr>
        <w:ind w:firstLine="560"/>
        <w:rPr>
          <w:highlight w:val="black"/>
        </w:rPr>
      </w:pPr>
      <w:r>
        <w:rPr>
          <w:rFonts w:hint="eastAsia"/>
          <w:highlight w:val="black"/>
        </w:rPr>
        <w:t>（32）</w:t>
      </w:r>
      <w:r>
        <w:rPr>
          <w:highlight w:val="black"/>
        </w:rPr>
        <w:t>及时清理井下巷道一侧的排水沟。</w:t>
      </w:r>
    </w:p>
    <w:p w14:paraId="4004CE85">
      <w:pPr>
        <w:ind w:firstLine="560"/>
        <w:rPr>
          <w:highlight w:val="black"/>
        </w:rPr>
      </w:pPr>
      <w:r>
        <w:rPr>
          <w:rFonts w:hint="eastAsia"/>
          <w:highlight w:val="black"/>
        </w:rPr>
        <w:t>（33）</w:t>
      </w:r>
      <w:r>
        <w:rPr>
          <w:highlight w:val="black"/>
        </w:rPr>
        <w:t>大、暴雨时，应停止生产，并撤出井下人员。</w:t>
      </w:r>
    </w:p>
    <w:p w14:paraId="13739FE2">
      <w:pPr>
        <w:ind w:firstLine="560"/>
        <w:rPr>
          <w:highlight w:val="black"/>
        </w:rPr>
      </w:pPr>
      <w:r>
        <w:rPr>
          <w:rFonts w:hint="eastAsia"/>
          <w:highlight w:val="black"/>
        </w:rPr>
        <w:t>（34）</w:t>
      </w:r>
      <w:r>
        <w:rPr>
          <w:highlight w:val="black"/>
        </w:rPr>
        <w:t>及时清理井下水仓。</w:t>
      </w:r>
    </w:p>
    <w:p w14:paraId="55C9533A">
      <w:pPr>
        <w:ind w:firstLine="560"/>
        <w:rPr>
          <w:highlight w:val="black"/>
        </w:rPr>
      </w:pPr>
      <w:r>
        <w:rPr>
          <w:rFonts w:hint="eastAsia"/>
          <w:highlight w:val="black"/>
        </w:rPr>
        <w:t>（35）泵房地面标高高出其入口处巷道地板标高0.5m，设置斜管子道，管子道斜巷上口高出泵房地面标高7m以上。</w:t>
      </w:r>
    </w:p>
    <w:p w14:paraId="278AC5C4">
      <w:pPr>
        <w:ind w:firstLine="560"/>
        <w:rPr>
          <w:highlight w:val="black"/>
        </w:rPr>
      </w:pPr>
      <w:r>
        <w:rPr>
          <w:rFonts w:hint="eastAsia"/>
          <w:highlight w:val="black"/>
        </w:rPr>
        <w:t>（36）若在井巷施工过程中遇到含水带，且水量、压力均较大，对矿井生产有严重影响，可考虑疏干降压及注浆堵水的方法。即可在含水层部位施工一个或若干个放水钻孔，在放水钻孔中安装钢制引流钢管，在钢管的一端安放闸阀来调节水量大小，建设单位可根据井下实际排水能力的大小来调节放水水量。若一段时期后，水量或压力仍未减小，可考虑注浆堵水。在近含水带处施工一个或一组钻孔，预埋孔口管，进行钻孔注浆，一般需要先在钻孔中投入骨料（砂、砾石等），然后注入速凝浆液，以免浆液被流动的水冲跑，达不到堵水效果。当突水点位置已知且范围不大及附近岩层完整时，可采用单孔注浆，直接封闭出水口。当突水点的位置不清，水量、水压较大，且突水点附近岩层破碎时，可围绕突水点布置一组钻孔进行注浆。达到防水的效果。确保安全生产。</w:t>
      </w:r>
    </w:p>
    <w:p w14:paraId="11D1C70C">
      <w:pPr>
        <w:ind w:firstLine="560"/>
        <w:rPr>
          <w:highlight w:val="black"/>
        </w:rPr>
      </w:pPr>
      <w:r>
        <w:rPr>
          <w:rFonts w:hint="eastAsia"/>
          <w:highlight w:val="black"/>
        </w:rPr>
        <w:t>（37）井下水泵必须经检测合格后方可使用，</w:t>
      </w:r>
      <w:r>
        <w:rPr>
          <w:highlight w:val="black"/>
        </w:rPr>
        <w:t>并定期</w:t>
      </w:r>
      <w:r>
        <w:rPr>
          <w:rFonts w:hint="eastAsia"/>
          <w:highlight w:val="black"/>
        </w:rPr>
        <w:t>（一年一次），由具有检测资质的单位</w:t>
      </w:r>
      <w:r>
        <w:rPr>
          <w:highlight w:val="black"/>
        </w:rPr>
        <w:t>进行全面检查和监测，</w:t>
      </w:r>
      <w:r>
        <w:rPr>
          <w:rFonts w:hint="eastAsia"/>
          <w:highlight w:val="black"/>
        </w:rPr>
        <w:t>检测方法及项目按《金属非金属地下矿山主排水系统安全检验规范》执行，</w:t>
      </w:r>
      <w:r>
        <w:rPr>
          <w:highlight w:val="black"/>
        </w:rPr>
        <w:t>不合格的应及时更换或修复。</w:t>
      </w:r>
    </w:p>
    <w:p w14:paraId="37CDDED7">
      <w:pPr>
        <w:ind w:firstLine="560"/>
        <w:rPr>
          <w:highlight w:val="black"/>
        </w:rPr>
      </w:pPr>
      <w:r>
        <w:rPr>
          <w:rFonts w:hint="eastAsia"/>
          <w:highlight w:val="black"/>
        </w:rPr>
        <w:t>（38）严格落实《辽宁省金属非金属地下矿山动火作业安全管理指导意见》（辽宁省应急管理厅，2021年12月14日发布）和《国家矿山安全监察局关于印发《地下矿山动火作业安全管理规定》的通知》（矿安〔2023〕149号）要求。</w:t>
      </w:r>
    </w:p>
    <w:p w14:paraId="6FEAC2E2">
      <w:pPr>
        <w:ind w:firstLine="560"/>
        <w:rPr>
          <w:highlight w:val="black"/>
        </w:rPr>
      </w:pPr>
      <w:r>
        <w:rPr>
          <w:rFonts w:hint="eastAsia"/>
          <w:highlight w:val="black"/>
        </w:rPr>
        <w:t>（39）探放水施工期间，探放水巷放水时，有可能淹水的其它巷道不准有人作业。</w:t>
      </w:r>
    </w:p>
    <w:p w14:paraId="1C433DB5">
      <w:pPr>
        <w:pStyle w:val="3"/>
        <w:ind w:firstLine="0" w:firstLineChars="0"/>
      </w:pPr>
      <w:bookmarkStart w:id="344" w:name="_Toc10074"/>
      <w:bookmarkStart w:id="345" w:name="_Toc25391"/>
      <w:bookmarkStart w:id="346" w:name="_Toc31218"/>
      <w:bookmarkStart w:id="347" w:name="_Toc10673"/>
      <w:r>
        <w:rPr>
          <w:rFonts w:hint="eastAsia"/>
        </w:rPr>
        <w:t>4.8 安全避险“六大系统”单元的安全对策措施</w:t>
      </w:r>
      <w:bookmarkEnd w:id="344"/>
      <w:bookmarkEnd w:id="345"/>
      <w:bookmarkEnd w:id="346"/>
      <w:bookmarkEnd w:id="347"/>
    </w:p>
    <w:p w14:paraId="5AA307EB">
      <w:pPr>
        <w:ind w:firstLine="560"/>
        <w:rPr>
          <w:highlight w:val="black"/>
          <w:lang w:val="zh-CN" w:eastAsia="zh-TW"/>
        </w:rPr>
      </w:pPr>
      <w:r>
        <w:rPr>
          <w:rFonts w:hint="eastAsia"/>
          <w:highlight w:val="black"/>
          <w:lang w:val="zh-CN" w:eastAsia="zh-TW"/>
        </w:rPr>
        <w:t>（</w:t>
      </w:r>
      <w:r>
        <w:rPr>
          <w:rFonts w:hint="eastAsia"/>
          <w:highlight w:val="black"/>
        </w:rPr>
        <w:t>1</w:t>
      </w:r>
      <w:r>
        <w:rPr>
          <w:rFonts w:hint="eastAsia"/>
          <w:highlight w:val="black"/>
          <w:lang w:val="zh-CN" w:eastAsia="zh-TW"/>
        </w:rPr>
        <w:t>）建议安全设施设计依据相关标准、规范对安全避险“六大系统”中井下人员定位系统等内容进行详细设计。</w:t>
      </w:r>
    </w:p>
    <w:p w14:paraId="3B73A0EE">
      <w:pPr>
        <w:ind w:firstLine="560"/>
        <w:rPr>
          <w:highlight w:val="black"/>
          <w:lang w:val="zh-CN" w:eastAsia="zh-TW"/>
        </w:rPr>
      </w:pPr>
      <w:r>
        <w:rPr>
          <w:rFonts w:hint="eastAsia"/>
          <w:highlight w:val="black"/>
          <w:lang w:val="zh-CN" w:eastAsia="zh-TW"/>
        </w:rPr>
        <w:t>（</w:t>
      </w:r>
      <w:r>
        <w:rPr>
          <w:rFonts w:hint="eastAsia"/>
          <w:highlight w:val="black"/>
        </w:rPr>
        <w:t>2</w:t>
      </w:r>
      <w:r>
        <w:rPr>
          <w:rFonts w:hint="eastAsia"/>
          <w:highlight w:val="black"/>
          <w:lang w:val="zh-CN" w:eastAsia="zh-TW"/>
        </w:rPr>
        <w:t>）矿山应指定人员负责各系统的日常检查和维护工作，并制定有关各系统管理、维护方面的管理制度。</w:t>
      </w:r>
    </w:p>
    <w:p w14:paraId="5DF1AD24">
      <w:pPr>
        <w:ind w:firstLine="560"/>
        <w:rPr>
          <w:highlight w:val="black"/>
          <w:lang w:val="zh-CN" w:eastAsia="zh-TW"/>
        </w:rPr>
      </w:pPr>
      <w:r>
        <w:rPr>
          <w:rFonts w:hint="eastAsia"/>
          <w:highlight w:val="black"/>
          <w:lang w:val="zh-CN" w:eastAsia="zh-TW"/>
        </w:rPr>
        <w:t>（</w:t>
      </w:r>
      <w:r>
        <w:rPr>
          <w:rFonts w:hint="eastAsia"/>
          <w:highlight w:val="black"/>
        </w:rPr>
        <w:t>3</w:t>
      </w:r>
      <w:r>
        <w:rPr>
          <w:rFonts w:hint="eastAsia"/>
          <w:highlight w:val="black"/>
          <w:lang w:val="zh-CN" w:eastAsia="zh-TW"/>
        </w:rPr>
        <w:t>）矿山应绘制各系统布置图，根据井下实际情况的变化及时更新。</w:t>
      </w:r>
    </w:p>
    <w:p w14:paraId="1B8C2063">
      <w:pPr>
        <w:ind w:firstLine="560"/>
        <w:rPr>
          <w:highlight w:val="black"/>
          <w:lang w:val="zh-CN" w:eastAsia="zh-TW"/>
        </w:rPr>
      </w:pPr>
      <w:r>
        <w:rPr>
          <w:rFonts w:hint="eastAsia"/>
          <w:highlight w:val="black"/>
          <w:lang w:val="zh-CN" w:eastAsia="zh-TW"/>
        </w:rPr>
        <w:t>（</w:t>
      </w:r>
      <w:r>
        <w:rPr>
          <w:rFonts w:hint="eastAsia"/>
          <w:highlight w:val="black"/>
        </w:rPr>
        <w:t>4</w:t>
      </w:r>
      <w:r>
        <w:rPr>
          <w:rFonts w:hint="eastAsia"/>
          <w:highlight w:val="black"/>
          <w:lang w:val="zh-CN" w:eastAsia="zh-TW"/>
        </w:rPr>
        <w:t>）矿山应定期对各系统进行巡视和检查，发现故障及时处理。</w:t>
      </w:r>
    </w:p>
    <w:p w14:paraId="69C3356D">
      <w:pPr>
        <w:ind w:firstLine="560"/>
        <w:rPr>
          <w:highlight w:val="black"/>
          <w:lang w:val="zh-CN" w:eastAsia="zh-TW"/>
        </w:rPr>
      </w:pPr>
      <w:r>
        <w:rPr>
          <w:rFonts w:hint="eastAsia"/>
          <w:highlight w:val="black"/>
          <w:lang w:val="zh-CN" w:eastAsia="zh-TW"/>
        </w:rPr>
        <w:t>（</w:t>
      </w:r>
      <w:r>
        <w:rPr>
          <w:rFonts w:hint="eastAsia"/>
          <w:highlight w:val="black"/>
        </w:rPr>
        <w:t>5</w:t>
      </w:r>
      <w:r>
        <w:rPr>
          <w:rFonts w:hint="eastAsia"/>
          <w:highlight w:val="black"/>
          <w:lang w:val="zh-CN" w:eastAsia="zh-TW"/>
        </w:rPr>
        <w:t>）矿山应配备足够的备件，确保各系统正常使用。</w:t>
      </w:r>
    </w:p>
    <w:p w14:paraId="00E59109">
      <w:pPr>
        <w:ind w:firstLine="560"/>
        <w:rPr>
          <w:highlight w:val="black"/>
          <w:lang w:val="zh-CN" w:eastAsia="zh-TW"/>
        </w:rPr>
      </w:pPr>
      <w:r>
        <w:rPr>
          <w:rFonts w:hint="eastAsia"/>
          <w:highlight w:val="black"/>
          <w:lang w:val="zh-CN" w:eastAsia="zh-TW"/>
        </w:rPr>
        <w:t>（</w:t>
      </w:r>
      <w:r>
        <w:rPr>
          <w:rFonts w:hint="eastAsia"/>
          <w:highlight w:val="black"/>
        </w:rPr>
        <w:t>6</w:t>
      </w:r>
      <w:r>
        <w:rPr>
          <w:rFonts w:hint="eastAsia"/>
          <w:highlight w:val="black"/>
          <w:lang w:val="zh-CN" w:eastAsia="zh-TW"/>
        </w:rPr>
        <w:t>）矿山应建立以下帐卡及报表：设备、仪器台账、设备故障登记、检修表、巡检记录、报警、求救信息报表。</w:t>
      </w:r>
    </w:p>
    <w:p w14:paraId="01F9B21B">
      <w:pPr>
        <w:ind w:firstLine="560"/>
        <w:rPr>
          <w:highlight w:val="black"/>
          <w:lang w:val="zh-CN" w:eastAsia="zh-TW"/>
        </w:rPr>
      </w:pPr>
      <w:r>
        <w:rPr>
          <w:rFonts w:hint="eastAsia"/>
          <w:highlight w:val="black"/>
          <w:lang w:val="zh-CN" w:eastAsia="zh-TW"/>
        </w:rPr>
        <w:t>（</w:t>
      </w:r>
      <w:r>
        <w:rPr>
          <w:rFonts w:hint="eastAsia"/>
          <w:highlight w:val="black"/>
        </w:rPr>
        <w:t>7</w:t>
      </w:r>
      <w:r>
        <w:rPr>
          <w:rFonts w:hint="eastAsia"/>
          <w:highlight w:val="black"/>
          <w:lang w:val="zh-CN" w:eastAsia="zh-TW"/>
        </w:rPr>
        <w:t>）各系统相关图纸、技术资料应归档保存。</w:t>
      </w:r>
    </w:p>
    <w:p w14:paraId="63327340">
      <w:pPr>
        <w:ind w:firstLine="560"/>
        <w:rPr>
          <w:highlight w:val="black"/>
          <w:lang w:val="zh-CN" w:eastAsia="zh-TW"/>
        </w:rPr>
      </w:pPr>
      <w:r>
        <w:rPr>
          <w:rFonts w:hint="eastAsia"/>
          <w:highlight w:val="black"/>
          <w:lang w:val="zh-CN" w:eastAsia="zh-TW"/>
        </w:rPr>
        <w:t>（</w:t>
      </w:r>
      <w:r>
        <w:rPr>
          <w:rFonts w:hint="eastAsia"/>
          <w:highlight w:val="black"/>
        </w:rPr>
        <w:t>8</w:t>
      </w:r>
      <w:r>
        <w:rPr>
          <w:rFonts w:hint="eastAsia"/>
          <w:highlight w:val="black"/>
          <w:lang w:val="zh-CN" w:eastAsia="zh-TW"/>
        </w:rPr>
        <w:t>）供水施救系统管道应采用钢管材料或其他同等强度的阻燃材料，并采取防腐蚀措施。</w:t>
      </w:r>
    </w:p>
    <w:p w14:paraId="217C417E">
      <w:pPr>
        <w:pStyle w:val="3"/>
        <w:ind w:firstLine="0" w:firstLineChars="0"/>
      </w:pPr>
      <w:bookmarkStart w:id="348" w:name="_Toc18773"/>
      <w:r>
        <w:rPr>
          <w:rFonts w:hint="eastAsia"/>
        </w:rPr>
        <w:t>4.9 安全管理单元对策措施</w:t>
      </w:r>
      <w:bookmarkEnd w:id="348"/>
    </w:p>
    <w:p w14:paraId="36E944D5">
      <w:pPr>
        <w:ind w:firstLine="560"/>
        <w:rPr>
          <w:highlight w:val="black"/>
        </w:rPr>
      </w:pPr>
      <w:r>
        <w:rPr>
          <w:rFonts w:hint="eastAsia"/>
          <w:highlight w:val="black"/>
        </w:rPr>
        <w:t>（1）安全管理机构</w:t>
      </w:r>
    </w:p>
    <w:p w14:paraId="2E0272DA">
      <w:pPr>
        <w:ind w:firstLine="560"/>
        <w:rPr>
          <w:highlight w:val="black"/>
        </w:rPr>
      </w:pPr>
      <w:r>
        <w:rPr>
          <w:rFonts w:hint="eastAsia"/>
          <w:highlight w:val="black"/>
        </w:rPr>
        <w:t>矿山要严格按照国家矿山安全监察局〈关于加强非煤矿山安全生产工作的指导意见〉（矿安〔2022〕4号）要求：企业必须依法设立安全管理机构或者配备专职安全生产管理人员，应当有注册安全工程师从事安全生产管理工作。专职安全生产管理人员应当从事矿山工作5年及以上、具有相应的非煤矿山安全生产专业知识和工作经验并熟悉本矿生产系统。专职安全生产管理人员数量按不少于从业人数的1%配备，且应当不少于3人。特种作业人员数量必须能够满足实际生产需求，并持证上岗</w:t>
      </w:r>
      <w:r>
        <w:rPr>
          <w:highlight w:val="black"/>
        </w:rPr>
        <w:t>。</w:t>
      </w:r>
    </w:p>
    <w:p w14:paraId="2EFCD602">
      <w:pPr>
        <w:ind w:firstLine="560"/>
        <w:rPr>
          <w:highlight w:val="black"/>
        </w:rPr>
      </w:pPr>
      <w:r>
        <w:rPr>
          <w:rFonts w:hint="eastAsia"/>
          <w:highlight w:val="black"/>
        </w:rPr>
        <w:t>专职安全生产管理人员应按照岗位职责和安全生产检查制度对安全生产状况进行检查；及时排查生产安全事故隐患，提出改进安全生产管理的建议；制止和纠正违章指挥、强令冒险作业、违反操作规程的行为；督促落实本单位安全生产整改措施。检查、处理情况和改进措施及整改情况应由检查人员记录，并由各级责任人员签字确认后存档。</w:t>
      </w:r>
    </w:p>
    <w:p w14:paraId="34AAE923">
      <w:pPr>
        <w:ind w:firstLine="560"/>
        <w:rPr>
          <w:highlight w:val="black"/>
        </w:rPr>
      </w:pPr>
      <w:r>
        <w:rPr>
          <w:rFonts w:hint="eastAsia"/>
          <w:highlight w:val="black"/>
        </w:rPr>
        <w:t>专职安全生产管理人员应按照岗位职责组织或者参与制定安全教育培训制度，组织矿山从业人员的安全生产教育和培训工作以及外来人员入矿前的安全教育工作。</w:t>
      </w:r>
    </w:p>
    <w:p w14:paraId="1BBEB876">
      <w:pPr>
        <w:ind w:firstLine="560"/>
        <w:rPr>
          <w:highlight w:val="black"/>
        </w:rPr>
      </w:pPr>
      <w:r>
        <w:rPr>
          <w:rFonts w:hint="eastAsia"/>
          <w:highlight w:val="black"/>
        </w:rPr>
        <w:t>安全生产管理机构负责本矿山安全生产的日常管理工作，组织或者参与制定安全生产规章制度、岗位操作规程、安全事故应急预案，组织安全生产教育和培训工作，组织本矿山应急救援演练</w:t>
      </w:r>
      <w:r>
        <w:rPr>
          <w:highlight w:val="black"/>
        </w:rPr>
        <w:t>。</w:t>
      </w:r>
    </w:p>
    <w:p w14:paraId="7EB74B0C">
      <w:pPr>
        <w:ind w:firstLine="560"/>
        <w:rPr>
          <w:highlight w:val="black"/>
        </w:rPr>
      </w:pPr>
      <w:r>
        <w:rPr>
          <w:highlight w:val="black"/>
        </w:rPr>
        <w:t>矿山配备专职安全管理人员</w:t>
      </w:r>
      <w:r>
        <w:rPr>
          <w:rFonts w:hint="eastAsia"/>
          <w:highlight w:val="black"/>
        </w:rPr>
        <w:t>3</w:t>
      </w:r>
      <w:r>
        <w:rPr>
          <w:highlight w:val="black"/>
        </w:rPr>
        <w:t>人，并指定1名领导分管劳动安全卫生。班组要指定兼职安全员。每班确保都有专职安全检查人员。</w:t>
      </w:r>
    </w:p>
    <w:p w14:paraId="58C716CD">
      <w:pPr>
        <w:ind w:firstLine="560"/>
        <w:rPr>
          <w:highlight w:val="black"/>
        </w:rPr>
      </w:pPr>
      <w:r>
        <w:rPr>
          <w:highlight w:val="black"/>
        </w:rPr>
        <w:t>根据《国家矿山安全监察局文件》</w:t>
      </w:r>
      <w:r>
        <w:rPr>
          <w:rFonts w:hint="eastAsia"/>
          <w:highlight w:val="black"/>
        </w:rPr>
        <w:t>（矿安〔2021〕123号），地下矿山应配备矿长、总工程师和分管安全、生产、机电的副矿长各1名，并具有采矿或地质、测量、机电等相关专业大专以上学历，其中分管机电的副矿长必须具有机电相关专业学历；每个矿山必须至少配备具有大专以上学历的采矿、机电、地质、测量等专业技术人员各1名。</w:t>
      </w:r>
    </w:p>
    <w:p w14:paraId="68C291A9">
      <w:pPr>
        <w:ind w:firstLine="560"/>
        <w:rPr>
          <w:highlight w:val="black"/>
        </w:rPr>
      </w:pPr>
      <w:r>
        <w:rPr>
          <w:rFonts w:hint="eastAsia"/>
          <w:highlight w:val="black"/>
        </w:rPr>
        <w:t>（2）健全完善安全生产责任制和规章制度</w:t>
      </w:r>
    </w:p>
    <w:p w14:paraId="0B5ADC69">
      <w:pPr>
        <w:ind w:firstLine="560"/>
        <w:rPr>
          <w:highlight w:val="black"/>
        </w:rPr>
      </w:pPr>
      <w:r>
        <w:rPr>
          <w:rFonts w:hint="eastAsia"/>
          <w:highlight w:val="black"/>
        </w:rPr>
        <w:t>矿山要严格按照国家矿山安全监察局〈关于加强非煤矿山安全生产工作的指导意见〉（矿安〔2022〕4号）要求：企业应当建立健全覆盖实际控制人在内的全员安全生产责任制和岗位操作规程。严格落实《金属非金属地下矿山企业领导带班下井及监督检查暂行规定》（原国家安全监管总局令第34号），实行发包单位和承包单位领导双带班下井制度。实施井下劳动定员管理，不得超定员安排人员下井作业。严格控制井下单班作业人数，禁止在采掘等安全风险集中区域安排平行作业。鼓励有条件的金属非金属地下矿山取消井下夜班采掘、井巷维修作业。</w:t>
      </w:r>
    </w:p>
    <w:p w14:paraId="37C65DB8">
      <w:pPr>
        <w:ind w:firstLine="560"/>
        <w:rPr>
          <w:highlight w:val="black"/>
        </w:rPr>
      </w:pPr>
      <w:r>
        <w:rPr>
          <w:rFonts w:hint="eastAsia"/>
          <w:highlight w:val="black"/>
        </w:rPr>
        <w:t>（3）工伤社会保险和安全生产责任险</w:t>
      </w:r>
    </w:p>
    <w:p w14:paraId="500630D0">
      <w:pPr>
        <w:ind w:firstLine="560"/>
        <w:rPr>
          <w:highlight w:val="black"/>
        </w:rPr>
      </w:pPr>
      <w:r>
        <w:rPr>
          <w:rFonts w:hint="eastAsia"/>
          <w:highlight w:val="black"/>
        </w:rPr>
        <w:t>矿山企业应依法参加工伤社会保险和安全生产责任险，为从业人员缴纳保险费，并缴纳安全风险抵押金。</w:t>
      </w:r>
    </w:p>
    <w:p w14:paraId="188B74A8">
      <w:pPr>
        <w:ind w:firstLine="560"/>
        <w:rPr>
          <w:highlight w:val="black"/>
        </w:rPr>
      </w:pPr>
      <w:r>
        <w:rPr>
          <w:rFonts w:hint="eastAsia"/>
          <w:highlight w:val="black"/>
        </w:rPr>
        <w:t>（4）安全教育和培训</w:t>
      </w:r>
    </w:p>
    <w:p w14:paraId="39070362">
      <w:pPr>
        <w:ind w:firstLine="560"/>
        <w:rPr>
          <w:highlight w:val="black"/>
        </w:rPr>
      </w:pPr>
      <w:r>
        <w:rPr>
          <w:rFonts w:hint="eastAsia"/>
          <w:highlight w:val="black"/>
        </w:rPr>
        <w:t>矿山企业应对矿山</w:t>
      </w:r>
      <w:r>
        <w:rPr>
          <w:highlight w:val="black"/>
        </w:rPr>
        <w:t>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r>
        <w:rPr>
          <w:rFonts w:hint="eastAsia"/>
          <w:highlight w:val="black"/>
        </w:rPr>
        <w:t>。</w:t>
      </w:r>
    </w:p>
    <w:p w14:paraId="5D19A2D6">
      <w:pPr>
        <w:ind w:firstLine="560"/>
        <w:rPr>
          <w:highlight w:val="black"/>
        </w:rPr>
      </w:pPr>
      <w:r>
        <w:rPr>
          <w:rFonts w:hint="eastAsia"/>
          <w:highlight w:val="black"/>
        </w:rPr>
        <w:t>企业</w:t>
      </w:r>
      <w:r>
        <w:rPr>
          <w:highlight w:val="black"/>
        </w:rPr>
        <w:t>使用被派遣劳动者的，应当将被派遣劳动者纳入本单位从业人员统一管理，对被派遣劳动者进行岗位安全操作规程和安全操作技能的教育和培训。劳务派遣单位应当对被派遣劳动者进行必要的安全生产教育和培训</w:t>
      </w:r>
      <w:r>
        <w:rPr>
          <w:rFonts w:hint="eastAsia"/>
          <w:highlight w:val="black"/>
        </w:rPr>
        <w:t>。</w:t>
      </w:r>
    </w:p>
    <w:p w14:paraId="3B88DC96">
      <w:pPr>
        <w:ind w:firstLine="560"/>
        <w:rPr>
          <w:highlight w:val="black"/>
        </w:rPr>
      </w:pPr>
      <w:r>
        <w:rPr>
          <w:rFonts w:hint="eastAsia"/>
          <w:highlight w:val="black"/>
        </w:rPr>
        <w:t>所有生产作业人员每年至少应接受20h的职业安全再培训，并应考试合格。</w:t>
      </w:r>
    </w:p>
    <w:p w14:paraId="0C832F1A">
      <w:pPr>
        <w:ind w:firstLine="560"/>
        <w:rPr>
          <w:highlight w:val="black"/>
        </w:rPr>
      </w:pPr>
      <w:r>
        <w:rPr>
          <w:rFonts w:hint="eastAsia"/>
          <w:highlight w:val="black"/>
        </w:rPr>
        <w:t>新进地下矿山的生产作业人员应接受不少于72h的安全培训，经考试合格后，由从事地下矿山作业2年以上的老工人带领工作至少4个月，熟悉本工种操作技术并经考核合格方可独立工作。</w:t>
      </w:r>
    </w:p>
    <w:p w14:paraId="1FB2AC4C">
      <w:pPr>
        <w:ind w:firstLine="560"/>
        <w:rPr>
          <w:highlight w:val="black"/>
        </w:rPr>
      </w:pPr>
      <w:r>
        <w:rPr>
          <w:rFonts w:hint="eastAsia"/>
          <w:highlight w:val="black"/>
        </w:rPr>
        <w:t>调换工种的生产作业人员应接受新岗位的安全操作培训，考试合格方可进行新工种操作。</w:t>
      </w:r>
    </w:p>
    <w:p w14:paraId="2488ADC3">
      <w:pPr>
        <w:ind w:firstLine="560"/>
        <w:rPr>
          <w:highlight w:val="black"/>
        </w:rPr>
      </w:pPr>
      <w:r>
        <w:rPr>
          <w:highlight w:val="black"/>
        </w:rPr>
        <w:t>特种作业人员，应按照国家有关规定，经专门的安全作业培训，取得特种作业操作资格证书，方可上岗作业。</w:t>
      </w:r>
    </w:p>
    <w:p w14:paraId="2A7ED6A0">
      <w:pPr>
        <w:ind w:firstLine="560"/>
        <w:rPr>
          <w:highlight w:val="black"/>
        </w:rPr>
      </w:pPr>
      <w:r>
        <w:rPr>
          <w:rFonts w:hint="eastAsia"/>
          <w:highlight w:val="black"/>
        </w:rPr>
        <w:t>企业</w:t>
      </w:r>
      <w:r>
        <w:rPr>
          <w:highlight w:val="black"/>
        </w:rPr>
        <w:t>应当建立安全生产教育和培训档案，如实记录安全生产教育和培训的时间、内容、参加人员以及考核结果等情况</w:t>
      </w:r>
      <w:r>
        <w:rPr>
          <w:rFonts w:hint="eastAsia"/>
          <w:highlight w:val="black"/>
        </w:rPr>
        <w:t>，建立包括外包施工单位从业人员在内的安全培训档案，实行“一人一档”</w:t>
      </w:r>
      <w:r>
        <w:rPr>
          <w:highlight w:val="black"/>
        </w:rPr>
        <w:t>。</w:t>
      </w:r>
    </w:p>
    <w:p w14:paraId="5EFC8839">
      <w:pPr>
        <w:ind w:firstLine="560"/>
        <w:rPr>
          <w:highlight w:val="black"/>
        </w:rPr>
      </w:pPr>
      <w:r>
        <w:rPr>
          <w:rFonts w:hint="eastAsia"/>
          <w:highlight w:val="black"/>
        </w:rPr>
        <w:t>（5）安全生产标准化建设和双重预防机制建设</w:t>
      </w:r>
    </w:p>
    <w:p w14:paraId="1902D338">
      <w:pPr>
        <w:ind w:firstLine="560"/>
        <w:rPr>
          <w:highlight w:val="black"/>
        </w:rPr>
      </w:pPr>
      <w:r>
        <w:rPr>
          <w:rFonts w:hint="eastAsia"/>
          <w:highlight w:val="black"/>
        </w:rPr>
        <w:t>矿山要严格按照国家矿山安全监察局〈关于加强非煤矿山安全生产工作的指导意见〉（矿安〔2022〕4号）要求：矿山企业应当依法加强安全生产标准化管理体系建设，建立健全安全风险分级管控和事故隐患排查治理双重预防机制，强化安全风险辨识管控，确定管控重点，落实管控责任，加强隐患排查治理，分析隐患成因，制定落实消除措施。持续加强现场安全管理，强化监督检查和激励约束，严格考核兑现。全面实现岗位达标、专业达标、企业达标，夯实安全生产基础</w:t>
      </w:r>
      <w:r>
        <w:rPr>
          <w:rFonts w:hint="eastAsia" w:hAnsi="宋体"/>
          <w:szCs w:val="26"/>
          <w:highlight w:val="black"/>
        </w:rPr>
        <w:t>。</w:t>
      </w:r>
    </w:p>
    <w:p w14:paraId="1C6DBD06">
      <w:pPr>
        <w:ind w:firstLine="560"/>
        <w:rPr>
          <w:highlight w:val="black"/>
        </w:rPr>
      </w:pPr>
      <w:r>
        <w:rPr>
          <w:rFonts w:hint="eastAsia"/>
          <w:highlight w:val="black"/>
        </w:rPr>
        <w:t>（6）应急救援预案及应急演练</w:t>
      </w:r>
    </w:p>
    <w:p w14:paraId="38F95311">
      <w:pPr>
        <w:ind w:firstLine="560"/>
        <w:rPr>
          <w:highlight w:val="black"/>
          <w:lang w:val="en-GB"/>
        </w:rPr>
      </w:pPr>
      <w:r>
        <w:rPr>
          <w:highlight w:val="black"/>
        </w:rPr>
        <w:t>建设单位应按照《</w:t>
      </w:r>
      <w:r>
        <w:rPr>
          <w:rFonts w:hint="eastAsia"/>
          <w:highlight w:val="black"/>
        </w:rPr>
        <w:t>生产经营单位生产安全事故应急预案编制导则</w:t>
      </w:r>
      <w:r>
        <w:rPr>
          <w:highlight w:val="black"/>
        </w:rPr>
        <w:t>》</w:t>
      </w:r>
      <w:r>
        <w:rPr>
          <w:rFonts w:hint="eastAsia"/>
          <w:highlight w:val="black"/>
        </w:rPr>
        <w:t>（</w:t>
      </w:r>
      <w:r>
        <w:rPr>
          <w:highlight w:val="black"/>
        </w:rPr>
        <w:t>GB/T29639-2020</w:t>
      </w:r>
      <w:r>
        <w:rPr>
          <w:rFonts w:hint="eastAsia"/>
          <w:highlight w:val="black"/>
        </w:rPr>
        <w:t>）</w:t>
      </w:r>
      <w:r>
        <w:rPr>
          <w:highlight w:val="black"/>
        </w:rPr>
        <w:t>并</w:t>
      </w:r>
      <w:r>
        <w:rPr>
          <w:rFonts w:hint="eastAsia"/>
          <w:highlight w:val="black"/>
          <w:lang w:val="en-GB"/>
        </w:rPr>
        <w:t>根据矿山实际编制应急救援预案，由矿山企业主要负责人批准实施，并定期进行应急救援演练，当矿山实际情况发生较大变化或在应急演练中发现有重大问题，应及时修订应急救援预案，并赋予调度员、安检员、现场带班人员、班组长等人员现场紧急撤人权。企业应当建立应急广播等通信设施，确保应急指令能够传达至影响范围内的所有人员。</w:t>
      </w:r>
    </w:p>
    <w:p w14:paraId="4FF47C61">
      <w:pPr>
        <w:numPr>
          <w:ilvl w:val="0"/>
          <w:numId w:val="8"/>
        </w:numPr>
        <w:ind w:firstLine="560"/>
        <w:rPr>
          <w:highlight w:val="black"/>
          <w:lang w:val="en-GB"/>
        </w:rPr>
      </w:pPr>
      <w:r>
        <w:rPr>
          <w:rFonts w:hint="eastAsia"/>
          <w:highlight w:val="black"/>
          <w:lang w:val="en-GB"/>
        </w:rPr>
        <w:t>严格落实《金属非金属地下矿山企业领导带班下井及监督检查暂行规定》（原国家安全监管总局令第34号），实行发包单位和承包单位领导双带班下井制度。实施井下劳动定员管理，不得超定员安排人员下井作业。严格控制井下单班作业人数，禁止在采掘等安全风险集中区域安排平行作业。</w:t>
      </w:r>
    </w:p>
    <w:p w14:paraId="715480D5">
      <w:pPr>
        <w:numPr>
          <w:ilvl w:val="0"/>
          <w:numId w:val="8"/>
        </w:numPr>
        <w:ind w:firstLine="560"/>
        <w:rPr>
          <w:highlight w:val="black"/>
          <w:lang w:val="en-GB"/>
        </w:rPr>
      </w:pPr>
      <w:r>
        <w:rPr>
          <w:rFonts w:hint="eastAsia"/>
          <w:highlight w:val="black"/>
          <w:lang w:val="en-GB"/>
        </w:rPr>
        <w:t>金属非金属地下矿山企业主要负责人每月带班下井不得少于5个。</w:t>
      </w:r>
    </w:p>
    <w:p w14:paraId="51DF6549">
      <w:pPr>
        <w:numPr>
          <w:ilvl w:val="0"/>
          <w:numId w:val="8"/>
        </w:numPr>
        <w:ind w:firstLine="560"/>
        <w:rPr>
          <w:highlight w:val="black"/>
          <w:lang w:val="en-GB"/>
        </w:rPr>
      </w:pPr>
      <w:r>
        <w:rPr>
          <w:rFonts w:hint="eastAsia"/>
          <w:highlight w:val="black"/>
          <w:lang w:val="en-GB"/>
        </w:rPr>
        <w:t>金属非金属矿山企业实际控制人每月在生产现场履行安全生产职责时间不得少于10个工作日；每月组织研究一次安全生产重大问题，形成会议纪要。</w:t>
      </w:r>
    </w:p>
    <w:p w14:paraId="023D8FBE">
      <w:pPr>
        <w:numPr>
          <w:ilvl w:val="0"/>
          <w:numId w:val="8"/>
        </w:numPr>
        <w:ind w:firstLine="560"/>
        <w:rPr>
          <w:highlight w:val="black"/>
          <w:lang w:val="en-GB"/>
        </w:rPr>
      </w:pPr>
      <w:r>
        <w:rPr>
          <w:rFonts w:hint="eastAsia"/>
          <w:highlight w:val="black"/>
          <w:lang w:val="en-GB"/>
        </w:rPr>
        <w:t>非煤矿山企业必须依法设立安全管理机构或者配备专职安全生产管理人员，应当有注册安全工程师从事安全生产管理工作。专职安全生产管理人员应当从事矿山工作5年及以上、具有相应的非煤矿山安全生产专业知识和工作经验并熟悉本矿生产系统。专职安全生产管理人员数量按不少于从业人数的百分之一配备，且每个金属非金属地下矿山独立生产系统（不含外包施工单位）应当不少于3人，特种作业人员数量必须能够满足实际生产需求，并持证上岗。</w:t>
      </w:r>
    </w:p>
    <w:p w14:paraId="0EC026EC">
      <w:pPr>
        <w:numPr>
          <w:ilvl w:val="0"/>
          <w:numId w:val="8"/>
        </w:numPr>
        <w:ind w:firstLine="560"/>
        <w:rPr>
          <w:highlight w:val="black"/>
          <w:lang w:val="en-GB"/>
        </w:rPr>
      </w:pPr>
      <w:r>
        <w:rPr>
          <w:rFonts w:hint="eastAsia"/>
          <w:highlight w:val="black"/>
          <w:lang w:val="en-GB"/>
        </w:rPr>
        <w:t>金属非金属地下矿山每个独立生产系统应当配备专职的矿长、总工程师和分管安全、生产、机电的副矿长，以上人员应当具有采矿、地质、矿建（井建）、通风、测量、机电、安全等矿山相关专业大专及以上学历或者中级及以上技术职称。金属非金属地下矿山应当设立技术管理机构，建立健全技术管理制度，配备具有采矿、地质、测量、机电等矿山相关专业中专及以上学历或者中级及以上技术职称的专职技术人员，每个专业至少配备1人。</w:t>
      </w:r>
    </w:p>
    <w:p w14:paraId="7CA1D65E">
      <w:pPr>
        <w:numPr>
          <w:ilvl w:val="0"/>
          <w:numId w:val="8"/>
        </w:numPr>
        <w:ind w:firstLine="560"/>
        <w:rPr>
          <w:highlight w:val="black"/>
          <w:lang w:val="en-GB"/>
        </w:rPr>
      </w:pPr>
      <w:r>
        <w:rPr>
          <w:rFonts w:hint="eastAsia"/>
          <w:highlight w:val="black"/>
          <w:lang w:val="en-GB"/>
        </w:rPr>
        <w:t>非煤矿山企业应当依法加强安全生产标准化管理体系建设，建立健全安全风险分级管控和事故隐患排查治理双重预防机制，强化安全风险辨识管控，确定管控重点，落实管控责任，加强隐患排查治理，分析隐患成因，制定落实消除措施。持续加强现场安全管理，强化监督检查和激励约束，严格考核兑现。全面实现岗位达标、专业达标、企业达标，夯实安全生产基础。</w:t>
      </w:r>
    </w:p>
    <w:p w14:paraId="67A9D28D">
      <w:pPr>
        <w:ind w:firstLine="560"/>
        <w:rPr>
          <w:rFonts w:hint="eastAsia" w:ascii="Times New Roman" w:hAnsi="Times New Roman" w:eastAsia="宋体" w:cs="Times New Roman"/>
          <w:highlight w:val="black"/>
          <w:lang w:val="en-GB"/>
        </w:rPr>
      </w:pPr>
      <w:r>
        <w:rPr>
          <w:rFonts w:hint="eastAsia" w:ascii="Times New Roman" w:hAnsi="Times New Roman" w:eastAsia="宋体" w:cs="Times New Roman"/>
          <w:highlight w:val="black"/>
          <w:lang w:eastAsia="zh-CN"/>
        </w:rPr>
        <w:t>（</w:t>
      </w:r>
      <w:r>
        <w:rPr>
          <w:rFonts w:hint="eastAsia" w:ascii="Times New Roman" w:hAnsi="Times New Roman" w:eastAsia="宋体" w:cs="Times New Roman"/>
          <w:highlight w:val="black"/>
          <w:lang w:val="en-US" w:eastAsia="zh-CN"/>
        </w:rPr>
        <w:t>13</w:t>
      </w:r>
      <w:r>
        <w:rPr>
          <w:rFonts w:hint="eastAsia" w:ascii="Times New Roman" w:hAnsi="Times New Roman" w:eastAsia="宋体" w:cs="Times New Roman"/>
          <w:highlight w:val="black"/>
          <w:lang w:eastAsia="zh-CN"/>
        </w:rPr>
        <w:t>）</w:t>
      </w:r>
      <w:r>
        <w:rPr>
          <w:rFonts w:hint="eastAsia" w:ascii="Times New Roman" w:hAnsi="Times New Roman" w:eastAsia="宋体" w:cs="Times New Roman"/>
          <w:highlight w:val="black"/>
        </w:rPr>
        <w:t>基建金属非金属地下矿山必须按照批准的安全设施设计建设，严禁以采代建；必须有与实际相符的纸质现状图，</w:t>
      </w:r>
      <w:r>
        <w:rPr>
          <w:rFonts w:hint="eastAsia" w:ascii="Times New Roman" w:hAnsi="Times New Roman" w:eastAsia="宋体" w:cs="Times New Roman"/>
          <w:highlight w:val="black"/>
          <w:lang w:val="en-GB"/>
        </w:rPr>
        <w:t>开拓系统图，中段平面图，通风系统图，井上、井下对照图，压风、供水、排水系统图，供配电系统图，井下避灾路线图等，至少每月更新一次并由主要负责人签字确认。生产金属非金属地下矿山应当按照《金属非金属矿山安全规程》（GB16423</w:t>
      </w:r>
      <w:r>
        <w:rPr>
          <w:rFonts w:hint="eastAsia" w:ascii="Times New Roman" w:hAnsi="Times New Roman" w:eastAsia="宋体" w:cs="Times New Roman"/>
          <w:highlight w:val="black"/>
        </w:rPr>
        <w:t>-2020</w:t>
      </w:r>
      <w:r>
        <w:rPr>
          <w:rFonts w:hint="eastAsia" w:ascii="Times New Roman" w:hAnsi="Times New Roman" w:eastAsia="宋体" w:cs="Times New Roman"/>
          <w:highlight w:val="black"/>
          <w:lang w:val="en-GB"/>
        </w:rPr>
        <w:t>）规定的图纸目录，绘制与现场实际相符的纸质现状图，且至少每3个月更新一次并由主要负责人签字确认。</w:t>
      </w:r>
    </w:p>
    <w:p w14:paraId="78FF558B">
      <w:pPr>
        <w:ind w:firstLine="560"/>
        <w:rPr>
          <w:highlight w:val="black"/>
        </w:rPr>
      </w:pPr>
      <w:r>
        <w:rPr>
          <w:rFonts w:hint="eastAsia"/>
          <w:highlight w:val="black"/>
        </w:rPr>
        <w:t>（14）地下运人车、地下运矿车、通风机、局部通风机、排水泵等危险较大设备应选用有矿用安全标志的合格产品。</w:t>
      </w:r>
    </w:p>
    <w:p w14:paraId="7681AC08">
      <w:pPr>
        <w:ind w:firstLine="560"/>
        <w:rPr>
          <w:highlight w:val="black"/>
        </w:rPr>
      </w:pPr>
      <w:r>
        <w:rPr>
          <w:rFonts w:hint="eastAsia"/>
          <w:highlight w:val="black"/>
        </w:rPr>
        <w:t>（15）地下运人车、地下运矿车、通风机、局部通风机、排水泵等危险较大设备应</w:t>
      </w:r>
      <w:r>
        <w:rPr>
          <w:rFonts w:hint="eastAsia"/>
          <w:color w:val="000000" w:themeColor="text1"/>
          <w:sz w:val="26"/>
          <w:szCs w:val="26"/>
          <w:highlight w:val="black"/>
          <w14:textFill>
            <w14:solidFill>
              <w14:schemeClr w14:val="tx1"/>
            </w14:solidFill>
          </w14:textFill>
        </w:rPr>
        <w:t>由具有检测资质的单位</w:t>
      </w:r>
      <w:r>
        <w:rPr>
          <w:color w:val="000000" w:themeColor="text1"/>
          <w:sz w:val="26"/>
          <w:szCs w:val="26"/>
          <w:highlight w:val="black"/>
          <w14:textFill>
            <w14:solidFill>
              <w14:schemeClr w14:val="tx1"/>
            </w14:solidFill>
          </w14:textFill>
        </w:rPr>
        <w:t>进行全面</w:t>
      </w:r>
      <w:r>
        <w:rPr>
          <w:rFonts w:hint="eastAsia"/>
          <w:color w:val="000000" w:themeColor="text1"/>
          <w:sz w:val="26"/>
          <w:szCs w:val="26"/>
          <w:highlight w:val="black"/>
          <w14:textFill>
            <w14:solidFill>
              <w14:schemeClr w14:val="tx1"/>
            </w14:solidFill>
          </w14:textFill>
        </w:rPr>
        <w:t>检测检验</w:t>
      </w:r>
      <w:r>
        <w:rPr>
          <w:rFonts w:hint="eastAsia"/>
          <w:highlight w:val="black"/>
        </w:rPr>
        <w:t>，合格后方可使用。</w:t>
      </w:r>
    </w:p>
    <w:p w14:paraId="3E16BFFC">
      <w:pPr>
        <w:pStyle w:val="2"/>
        <w:numPr>
          <w:ilvl w:val="0"/>
          <w:numId w:val="0"/>
        </w:numPr>
        <w:jc w:val="center"/>
      </w:pPr>
      <w:bookmarkStart w:id="349" w:name="_Toc505723239"/>
      <w:bookmarkStart w:id="350" w:name="_Toc56554663"/>
      <w:bookmarkStart w:id="351" w:name="_Toc7053"/>
      <w:bookmarkStart w:id="352" w:name="_Toc22647"/>
      <w:r>
        <w:rPr>
          <w:rFonts w:hint="eastAsia"/>
        </w:rPr>
        <w:t xml:space="preserve">第五章 </w:t>
      </w:r>
      <w:r>
        <w:t>安全预评价结论</w:t>
      </w:r>
      <w:bookmarkEnd w:id="349"/>
      <w:bookmarkEnd w:id="350"/>
      <w:bookmarkEnd w:id="351"/>
      <w:bookmarkEnd w:id="352"/>
    </w:p>
    <w:p w14:paraId="09CFF23A">
      <w:pPr>
        <w:pStyle w:val="3"/>
        <w:ind w:firstLine="0" w:firstLineChars="0"/>
      </w:pPr>
      <w:bookmarkStart w:id="353" w:name="_Toc131563729"/>
      <w:bookmarkStart w:id="354" w:name="_Toc266540201"/>
      <w:bookmarkStart w:id="355" w:name="_Toc266543838"/>
      <w:bookmarkStart w:id="356" w:name="_Toc178363362"/>
      <w:bookmarkStart w:id="357" w:name="_Toc141753601"/>
      <w:bookmarkStart w:id="358" w:name="_Toc505723240"/>
      <w:bookmarkStart w:id="359" w:name="_Toc261411758"/>
      <w:bookmarkStart w:id="360" w:name="_Toc140292257"/>
      <w:bookmarkStart w:id="361" w:name="_Toc234119877"/>
      <w:bookmarkStart w:id="362" w:name="_Toc163035783"/>
      <w:bookmarkStart w:id="363" w:name="_Toc202329537"/>
      <w:bookmarkStart w:id="364" w:name="_Toc131557614"/>
      <w:bookmarkStart w:id="365" w:name="_Toc10389"/>
      <w:bookmarkStart w:id="366" w:name="_Toc258772325"/>
      <w:bookmarkStart w:id="367" w:name="_Toc227574874"/>
      <w:bookmarkStart w:id="368" w:name="_Toc132941162"/>
      <w:bookmarkStart w:id="369" w:name="_Toc56554664"/>
      <w:bookmarkStart w:id="370" w:name="_Toc202516821"/>
      <w:r>
        <w:rPr>
          <w:rFonts w:hint="eastAsia"/>
        </w:rPr>
        <w:t>5.</w:t>
      </w:r>
      <w:r>
        <w:t>1</w:t>
      </w:r>
      <w:r>
        <w:rPr>
          <w:rFonts w:hint="eastAsia"/>
        </w:rPr>
        <w:t xml:space="preserve"> </w:t>
      </w:r>
      <w:r>
        <w:t>建设项目安全预评价综述</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098C6015">
      <w:pPr>
        <w:ind w:firstLine="560"/>
        <w:rPr>
          <w:highlight w:val="black"/>
        </w:rPr>
      </w:pPr>
      <w:bookmarkStart w:id="371" w:name="_Toc266543840"/>
      <w:bookmarkStart w:id="372" w:name="_Toc140292259"/>
      <w:bookmarkStart w:id="373" w:name="_Toc202329539"/>
      <w:bookmarkStart w:id="374" w:name="_Toc141753603"/>
      <w:bookmarkStart w:id="375" w:name="_Toc131557616"/>
      <w:bookmarkStart w:id="376" w:name="_Toc258772327"/>
      <w:bookmarkStart w:id="377" w:name="_Toc178363364"/>
      <w:bookmarkStart w:id="378" w:name="_Toc131563731"/>
      <w:bookmarkStart w:id="379" w:name="_Toc266540203"/>
      <w:bookmarkStart w:id="380" w:name="_Toc163035785"/>
      <w:bookmarkStart w:id="381" w:name="_Toc202516823"/>
      <w:bookmarkStart w:id="382" w:name="_Toc132941164"/>
      <w:bookmarkStart w:id="383" w:name="_Toc234119879"/>
      <w:bookmarkStart w:id="384" w:name="_Toc261411760"/>
      <w:bookmarkStart w:id="385" w:name="_Toc227574876"/>
      <w:r>
        <w:rPr>
          <w:highlight w:val="black"/>
        </w:rPr>
        <w:t>该项目的</w:t>
      </w:r>
      <w:r>
        <w:rPr>
          <w:rFonts w:hint="eastAsia"/>
          <w:highlight w:val="black"/>
        </w:rPr>
        <w:t>《可研报告》</w:t>
      </w:r>
      <w:r>
        <w:rPr>
          <w:highlight w:val="black"/>
        </w:rPr>
        <w:t>确定的建设方案，从总体上考虑了该项目存在的危险、有害因素，提出了相应的安全对策措施，在一定程度上提高了该建设项目的本质安全度。</w:t>
      </w:r>
    </w:p>
    <w:p w14:paraId="694EC444">
      <w:pPr>
        <w:ind w:firstLine="560"/>
        <w:rPr>
          <w:highlight w:val="black"/>
        </w:rPr>
      </w:pPr>
      <w:bookmarkStart w:id="386" w:name="_Toc178363363"/>
      <w:bookmarkStart w:id="387" w:name="_Toc326850665"/>
      <w:bookmarkStart w:id="388" w:name="_Toc258772326"/>
      <w:bookmarkStart w:id="389" w:name="_Toc163035784"/>
      <w:bookmarkStart w:id="390" w:name="_Toc132941163"/>
      <w:bookmarkStart w:id="391" w:name="_Toc266540202"/>
      <w:bookmarkStart w:id="392" w:name="_Toc141753602"/>
      <w:bookmarkStart w:id="393" w:name="_Toc266543839"/>
      <w:bookmarkStart w:id="394" w:name="_Toc131563730"/>
      <w:bookmarkStart w:id="395" w:name="_Toc56554665"/>
      <w:bookmarkStart w:id="396" w:name="_Toc505723241"/>
      <w:bookmarkStart w:id="397" w:name="_Toc202329538"/>
      <w:bookmarkStart w:id="398" w:name="_Toc140292258"/>
      <w:bookmarkStart w:id="399" w:name="_Toc261411759"/>
      <w:bookmarkStart w:id="400" w:name="_Toc234119878"/>
      <w:bookmarkStart w:id="401" w:name="_Toc202516822"/>
      <w:bookmarkStart w:id="402" w:name="_Toc227574875"/>
      <w:bookmarkStart w:id="403" w:name="_Toc131557615"/>
      <w:r>
        <w:rPr>
          <w:rFonts w:hint="eastAsia"/>
          <w:highlight w:val="black"/>
          <w:lang w:val="zh-CN" w:eastAsia="zh-TW"/>
        </w:rPr>
        <w:t>该项目存在的主要危险、有害因素</w:t>
      </w:r>
      <w:r>
        <w:rPr>
          <w:rFonts w:hint="eastAsia"/>
          <w:highlight w:val="black"/>
        </w:rPr>
        <w:t>有“火药爆炸”“冒顶片帮”“中毒和窒息”“火灾”“水灾”“触电”“物体打击”“机械伤害”“压力容器爆炸”“粉尘”“噪声”“振动”“淹溺”“车辆伤害”“粉尘”。</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14:paraId="0DCC5F37">
      <w:pPr>
        <w:pStyle w:val="3"/>
        <w:ind w:firstLine="0" w:firstLineChars="0"/>
      </w:pPr>
      <w:bookmarkStart w:id="404" w:name="_Toc1126"/>
      <w:bookmarkStart w:id="405" w:name="_Toc18342"/>
      <w:bookmarkStart w:id="406" w:name="_Toc219544117"/>
      <w:bookmarkStart w:id="407" w:name="_Toc219544542"/>
      <w:bookmarkStart w:id="408" w:name="_Toc10393"/>
      <w:bookmarkStart w:id="409" w:name="_Toc18753"/>
      <w:bookmarkStart w:id="410" w:name="_Toc24185"/>
      <w:bookmarkStart w:id="411" w:name="_Toc219544325"/>
      <w:bookmarkStart w:id="412" w:name="_Toc282338678"/>
      <w:bookmarkStart w:id="413" w:name="_Toc219544202"/>
      <w:bookmarkStart w:id="414" w:name="_Toc219544161"/>
      <w:bookmarkStart w:id="415" w:name="_Toc505723242"/>
      <w:bookmarkStart w:id="416" w:name="_Toc56554666"/>
      <w:r>
        <w:rPr>
          <w:rFonts w:hint="eastAsia"/>
        </w:rPr>
        <w:t>5.2 项目应重点防范的重大危险、有害因素</w:t>
      </w:r>
      <w:bookmarkEnd w:id="404"/>
      <w:bookmarkEnd w:id="405"/>
      <w:bookmarkEnd w:id="406"/>
      <w:bookmarkEnd w:id="407"/>
      <w:bookmarkEnd w:id="408"/>
      <w:bookmarkEnd w:id="409"/>
      <w:bookmarkEnd w:id="410"/>
      <w:bookmarkEnd w:id="411"/>
      <w:bookmarkEnd w:id="412"/>
      <w:bookmarkEnd w:id="413"/>
      <w:bookmarkEnd w:id="414"/>
    </w:p>
    <w:p w14:paraId="746D73C7">
      <w:pPr>
        <w:ind w:firstLine="560"/>
        <w:rPr>
          <w:highlight w:val="black"/>
          <w:lang w:val="zh-CN" w:eastAsia="zh-TW"/>
        </w:rPr>
      </w:pPr>
      <w:r>
        <w:rPr>
          <w:rFonts w:hint="eastAsia"/>
          <w:highlight w:val="black"/>
          <w:lang w:val="zh-CN" w:eastAsia="zh-TW"/>
        </w:rPr>
        <w:t>该项目应重点防范的重大危险、有害因素有：“火药爆炸”“冒顶片帮”“中毒和窒息事故”。矿山在日常生产过程中应把采场作业面、通风系统、爆破作业、巷道支护、排水系统的管理及检查维护作为矿山管理的重中之重，企业在以后的正常生产过程中应多加重视。</w:t>
      </w:r>
    </w:p>
    <w:p w14:paraId="25FF9F57">
      <w:pPr>
        <w:ind w:firstLine="560"/>
        <w:rPr>
          <w:highlight w:val="black"/>
          <w:lang w:val="zh-CN" w:eastAsia="zh-TW"/>
        </w:rPr>
      </w:pPr>
      <w:r>
        <w:rPr>
          <w:rFonts w:hint="eastAsia"/>
          <w:highlight w:val="black"/>
          <w:lang w:val="zh-CN" w:eastAsia="zh-TW"/>
        </w:rPr>
        <w:t>虽然粉尘和噪声与振动短时间内不会对人体造成严重危害，但是长期在此环境中工作可能使人产生尘肺等疾病，矿山在以后的正常生产过程中应多加重视。</w:t>
      </w:r>
    </w:p>
    <w:p w14:paraId="5A90A4CB">
      <w:pPr>
        <w:pStyle w:val="3"/>
        <w:ind w:firstLine="0" w:firstLineChars="0"/>
      </w:pPr>
      <w:bookmarkStart w:id="417" w:name="_Toc23711"/>
      <w:bookmarkStart w:id="418" w:name="_Toc10491"/>
      <w:bookmarkStart w:id="419" w:name="_Toc27448"/>
      <w:bookmarkStart w:id="420" w:name="_Toc5421"/>
      <w:bookmarkStart w:id="421" w:name="_Toc14047"/>
      <w:r>
        <w:rPr>
          <w:rFonts w:hint="eastAsia"/>
        </w:rPr>
        <w:t>5.3 应重视的安全对策措施</w:t>
      </w:r>
      <w:bookmarkEnd w:id="417"/>
      <w:bookmarkEnd w:id="418"/>
      <w:bookmarkEnd w:id="419"/>
      <w:bookmarkEnd w:id="420"/>
      <w:bookmarkEnd w:id="421"/>
    </w:p>
    <w:p w14:paraId="7A0EF7EE">
      <w:pPr>
        <w:ind w:firstLine="560"/>
        <w:rPr>
          <w:highlight w:val="black"/>
          <w:lang w:val="en-GB"/>
        </w:rPr>
      </w:pPr>
      <w:r>
        <w:rPr>
          <w:rFonts w:hint="eastAsia"/>
          <w:highlight w:val="black"/>
          <w:lang w:val="en-GB"/>
        </w:rPr>
        <w:t>（</w:t>
      </w:r>
      <w:r>
        <w:rPr>
          <w:rFonts w:hint="eastAsia"/>
          <w:highlight w:val="black"/>
        </w:rPr>
        <w:t>1</w:t>
      </w:r>
      <w:r>
        <w:rPr>
          <w:rFonts w:hint="eastAsia"/>
          <w:highlight w:val="black"/>
          <w:lang w:val="en-GB"/>
        </w:rPr>
        <w:t>）</w:t>
      </w:r>
      <w:r>
        <w:rPr>
          <w:rFonts w:hint="eastAsia"/>
          <w:highlight w:val="black"/>
        </w:rPr>
        <w:t>非</w:t>
      </w:r>
      <w:r>
        <w:rPr>
          <w:rFonts w:hint="eastAsia"/>
          <w:highlight w:val="black"/>
          <w:lang w:val="en-GB"/>
        </w:rPr>
        <w:t>煤矿山企业必须依法设立安全管理机构或者配备专职安全生产管理人员，应当有注册安全工程师从事安全生产管理工作。专职安全生产管理人员应当从事矿山工作5年及以上、具有相应的非煤矿山安全生产专业知识和工作经验并熟悉本矿生产系统。专职安全生产管理人员数量按不少于从业人数的百分之一配备，且每个金属非金属地下矿山独立生产系统（不含外包施工单位）应当不少于3人，特种作业人员数量必须能够满足实际生产需求，并持证上岗。</w:t>
      </w:r>
    </w:p>
    <w:p w14:paraId="2B4A4CCA">
      <w:pPr>
        <w:ind w:firstLine="560"/>
        <w:rPr>
          <w:highlight w:val="black"/>
          <w:lang w:val="en-GB"/>
        </w:rPr>
      </w:pPr>
      <w:r>
        <w:rPr>
          <w:rFonts w:hint="eastAsia"/>
          <w:highlight w:val="black"/>
          <w:lang w:val="en-GB"/>
        </w:rPr>
        <w:t>（</w:t>
      </w:r>
      <w:r>
        <w:rPr>
          <w:rFonts w:hint="eastAsia"/>
          <w:highlight w:val="black"/>
        </w:rPr>
        <w:t>2</w:t>
      </w:r>
      <w:r>
        <w:rPr>
          <w:rFonts w:hint="eastAsia"/>
          <w:highlight w:val="black"/>
          <w:lang w:val="en-GB"/>
        </w:rPr>
        <w:t>）金属非金属地下矿山每个独立生产系统应当配备专职的矿长、总工程师和分管安全、生产、机电的副矿长，以上人员应当具有采矿、地质、矿建（井建）、通风、测量、机电、安全等矿山相关专业大专及以上学历或者中级及以上技术职称。金属非金属地下矿山应当设立技术管理机构，建立健全技术管理制度，配备具有采矿、地质、测量、机电等矿山相关专业中专及以上学历或者中级及以上技术职称的专职技术人员，每个专业至少配备1人。</w:t>
      </w:r>
    </w:p>
    <w:p w14:paraId="5C70A770">
      <w:pPr>
        <w:ind w:firstLine="560"/>
        <w:rPr>
          <w:highlight w:val="black"/>
          <w:lang w:val="zh-CN" w:eastAsia="zh-TW"/>
        </w:rPr>
      </w:pPr>
      <w:r>
        <w:rPr>
          <w:rFonts w:hint="eastAsia"/>
          <w:highlight w:val="black"/>
          <w:lang w:val="zh-CN" w:eastAsia="zh-TW"/>
        </w:rPr>
        <w:t>（</w:t>
      </w:r>
      <w:r>
        <w:rPr>
          <w:rFonts w:hint="eastAsia"/>
          <w:highlight w:val="black"/>
        </w:rPr>
        <w:t>3</w:t>
      </w:r>
      <w:r>
        <w:rPr>
          <w:rFonts w:hint="eastAsia"/>
          <w:highlight w:val="black"/>
          <w:lang w:val="zh-CN" w:eastAsia="zh-TW"/>
        </w:rPr>
        <w:t>）未设置在线监测系统的矿山每年应对通风系统进行1次检测。</w:t>
      </w:r>
    </w:p>
    <w:p w14:paraId="4BEDB62F">
      <w:pPr>
        <w:pStyle w:val="7"/>
        <w:ind w:firstLine="560"/>
        <w:rPr>
          <w:highlight w:val="black"/>
          <w:lang w:val="zh-CN" w:eastAsia="zh-TW"/>
        </w:rPr>
      </w:pPr>
      <w:r>
        <w:rPr>
          <w:rFonts w:hint="eastAsia"/>
          <w:highlight w:val="black"/>
          <w:lang w:val="zh-CN" w:eastAsia="zh-TW"/>
        </w:rPr>
        <w:t>（</w:t>
      </w:r>
      <w:r>
        <w:rPr>
          <w:rFonts w:hint="eastAsia"/>
          <w:highlight w:val="black"/>
          <w:lang w:val="en-US" w:eastAsia="zh-CN"/>
        </w:rPr>
        <w:t>4</w:t>
      </w:r>
      <w:r>
        <w:rPr>
          <w:rFonts w:hint="eastAsia"/>
          <w:highlight w:val="black"/>
          <w:lang w:val="zh-CN" w:eastAsia="zh-TW"/>
        </w:rPr>
        <w:t>）探放水施工期间，探放水巷放水时，有可能淹水的其它巷道不准有人作业。</w:t>
      </w:r>
    </w:p>
    <w:p w14:paraId="7972FDD1">
      <w:pPr>
        <w:ind w:firstLine="560"/>
        <w:rPr>
          <w:highlight w:val="black"/>
          <w:lang w:val="zh-CN" w:eastAsia="zh-TW"/>
        </w:rPr>
      </w:pPr>
      <w:r>
        <w:rPr>
          <w:rFonts w:hint="eastAsia"/>
          <w:highlight w:val="black"/>
          <w:lang w:val="zh-CN" w:eastAsia="zh-TW"/>
        </w:rPr>
        <w:t>（</w:t>
      </w:r>
      <w:r>
        <w:rPr>
          <w:rFonts w:hint="eastAsia"/>
          <w:highlight w:val="black"/>
          <w:lang w:val="en-US" w:eastAsia="zh-CN"/>
        </w:rPr>
        <w:t>5</w:t>
      </w:r>
      <w:r>
        <w:rPr>
          <w:rFonts w:hint="eastAsia"/>
          <w:highlight w:val="black"/>
          <w:lang w:val="zh-CN" w:eastAsia="zh-TW"/>
        </w:rPr>
        <w:t>）</w:t>
      </w:r>
      <w:r>
        <w:rPr>
          <w:highlight w:val="black"/>
        </w:rPr>
        <w:t>遇极端天气地下矿山未及时停止作业、撤出现场作业人员。</w:t>
      </w:r>
    </w:p>
    <w:p w14:paraId="4B802579">
      <w:pPr>
        <w:ind w:firstLine="560"/>
        <w:rPr>
          <w:highlight w:val="black"/>
          <w:lang w:val="zh-CN" w:eastAsia="zh-TW"/>
        </w:rPr>
      </w:pPr>
      <w:r>
        <w:rPr>
          <w:rFonts w:hint="eastAsia"/>
          <w:highlight w:val="black"/>
          <w:lang w:val="zh-CN" w:eastAsia="zh-TW"/>
        </w:rPr>
        <w:t>（</w:t>
      </w:r>
      <w:r>
        <w:rPr>
          <w:rFonts w:hint="eastAsia"/>
          <w:highlight w:val="black"/>
          <w:lang w:val="en-US" w:eastAsia="zh-CN"/>
        </w:rPr>
        <w:t>6</w:t>
      </w:r>
      <w:r>
        <w:rPr>
          <w:rFonts w:hint="eastAsia"/>
          <w:highlight w:val="black"/>
          <w:lang w:val="zh-CN" w:eastAsia="zh-TW"/>
        </w:rPr>
        <w:t>）地表距进风井口和硐口50m范围内存放油料或其他易燃、易爆材料。</w:t>
      </w:r>
    </w:p>
    <w:p w14:paraId="0E2A7830">
      <w:pPr>
        <w:pStyle w:val="3"/>
        <w:ind w:firstLine="0" w:firstLineChars="0"/>
      </w:pPr>
      <w:bookmarkStart w:id="422" w:name="_Toc22985"/>
      <w:bookmarkStart w:id="423" w:name="_Toc21705"/>
      <w:bookmarkStart w:id="424" w:name="_Toc1500"/>
      <w:bookmarkStart w:id="425" w:name="_Toc11571"/>
      <w:bookmarkStart w:id="426" w:name="_Toc16479"/>
      <w:r>
        <w:rPr>
          <w:rFonts w:hint="eastAsia"/>
        </w:rPr>
        <w:t>5.4 危险因素控制程度</w:t>
      </w:r>
      <w:bookmarkEnd w:id="422"/>
      <w:bookmarkEnd w:id="423"/>
      <w:bookmarkEnd w:id="424"/>
      <w:bookmarkEnd w:id="425"/>
      <w:bookmarkEnd w:id="426"/>
    </w:p>
    <w:p w14:paraId="0E518C21">
      <w:pPr>
        <w:ind w:firstLine="560"/>
        <w:rPr>
          <w:highlight w:val="black"/>
          <w:lang w:val="zh-CN" w:eastAsia="zh-TW"/>
        </w:rPr>
      </w:pPr>
      <w:r>
        <w:rPr>
          <w:rFonts w:hint="eastAsia"/>
          <w:highlight w:val="black"/>
          <w:lang w:val="zh-CN" w:eastAsia="zh-TW"/>
        </w:rPr>
        <w:t>本预评价报告在对该项目存在的危险有害因素辨识、分析、评价的基础上，有针对性的提出了消除、控制和预防潜在危险有害因素的对策措施，该项目要充分考虑本报告提出的安全对策措施与建议，并在建设和生产过程中将各项安全对策措施予以落实，则该项目建成投产后，存在的危险有害因素可以得到有效的控制，其安全程度是可以接受的。</w:t>
      </w:r>
    </w:p>
    <w:p w14:paraId="6979746D">
      <w:pPr>
        <w:pStyle w:val="3"/>
        <w:ind w:firstLine="0" w:firstLineChars="0"/>
        <w:rPr>
          <w:rFonts w:ascii="宋体" w:hAnsi="宋体"/>
          <w:snapToGrid w:val="0"/>
        </w:rPr>
      </w:pPr>
      <w:bookmarkStart w:id="427" w:name="_Toc24137"/>
      <w:r>
        <w:rPr>
          <w:rFonts w:hint="eastAsia"/>
        </w:rPr>
        <w:t xml:space="preserve">5.5 </w:t>
      </w:r>
      <w:r>
        <w:t>安全预评价总体结论</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415"/>
      <w:bookmarkEnd w:id="416"/>
      <w:bookmarkEnd w:id="427"/>
    </w:p>
    <w:p w14:paraId="73745A67">
      <w:pPr>
        <w:ind w:firstLine="560"/>
        <w:rPr>
          <w:highlight w:val="black"/>
        </w:rPr>
      </w:pPr>
      <w:r>
        <w:rPr>
          <w:highlight w:val="black"/>
        </w:rPr>
        <w:t>本溪市昱蕴铁选有限公司大柳峪铁矿北采区地下开采建设项目符合国家的有关法律、法规、标准、规范的要求。若该项目能</w:t>
      </w:r>
      <w:r>
        <w:rPr>
          <w:rFonts w:hint="eastAsia"/>
          <w:highlight w:val="black"/>
        </w:rPr>
        <w:t>在编写安全设施</w:t>
      </w:r>
      <w:r>
        <w:rPr>
          <w:highlight w:val="black"/>
        </w:rPr>
        <w:t>设计以及</w:t>
      </w:r>
      <w:r>
        <w:rPr>
          <w:rFonts w:hint="eastAsia"/>
          <w:highlight w:val="black"/>
        </w:rPr>
        <w:t>建设单位</w:t>
      </w:r>
      <w:r>
        <w:rPr>
          <w:highlight w:val="black"/>
        </w:rPr>
        <w:t>施工过程中，认真落实</w:t>
      </w:r>
      <w:r>
        <w:rPr>
          <w:rFonts w:hint="eastAsia"/>
          <w:highlight w:val="black"/>
        </w:rPr>
        <w:t>《可研报告》</w:t>
      </w:r>
      <w:r>
        <w:rPr>
          <w:highlight w:val="black"/>
        </w:rPr>
        <w:t>及本次安全预评价中提出的安全对策措施，严格执行国家的有关法律、法规、标准、规范的要求，则该建设项目潜在的危险、有害因素可以控制在可接受范围内，项目安全可行。</w:t>
      </w:r>
    </w:p>
    <w:p w14:paraId="51BD1555">
      <w:pPr>
        <w:snapToGrid w:val="0"/>
        <w:ind w:firstLine="520"/>
        <w:rPr>
          <w:rFonts w:ascii="宋体" w:hAnsi="宋体"/>
          <w:snapToGrid w:val="0"/>
          <w:kern w:val="0"/>
          <w:sz w:val="26"/>
          <w:szCs w:val="26"/>
        </w:rPr>
      </w:pPr>
    </w:p>
    <w:p w14:paraId="5DE837B7">
      <w:pPr>
        <w:ind w:firstLine="560"/>
      </w:pPr>
    </w:p>
    <w:p w14:paraId="30AE5F84">
      <w:pPr>
        <w:pStyle w:val="24"/>
        <w:ind w:firstLine="560"/>
      </w:pPr>
    </w:p>
    <w:p w14:paraId="2C932458">
      <w:pPr>
        <w:pStyle w:val="24"/>
        <w:ind w:firstLine="560"/>
      </w:pPr>
    </w:p>
    <w:p w14:paraId="7CA86C5B"/>
    <w:p w14:paraId="450100D3"/>
    <w:p w14:paraId="2FFB04A9"/>
    <w:p w14:paraId="1867DBD9"/>
    <w:p w14:paraId="1A7CD5D3"/>
    <w:p w14:paraId="23264704"/>
    <w:p w14:paraId="17180A50"/>
    <w:p w14:paraId="23E61232">
      <w:pPr>
        <w:pStyle w:val="24"/>
        <w:ind w:firstLine="560"/>
      </w:pPr>
    </w:p>
    <w:p w14:paraId="4C54D3EB">
      <w:pPr>
        <w:pStyle w:val="2"/>
        <w:numPr>
          <w:ilvl w:val="0"/>
          <w:numId w:val="0"/>
        </w:numPr>
        <w:jc w:val="center"/>
      </w:pPr>
      <w:bookmarkStart w:id="428" w:name="_Toc13329"/>
      <w:bookmarkStart w:id="429" w:name="_Toc30650"/>
      <w:bookmarkStart w:id="430" w:name="_Toc51252788"/>
      <w:bookmarkStart w:id="431" w:name="_Toc76844642"/>
      <w:bookmarkStart w:id="432" w:name="_Toc8132"/>
      <w:r>
        <w:rPr>
          <w:rFonts w:hint="eastAsia"/>
        </w:rPr>
        <w:t>附件</w:t>
      </w:r>
      <w:bookmarkEnd w:id="428"/>
      <w:bookmarkEnd w:id="429"/>
      <w:bookmarkEnd w:id="430"/>
      <w:bookmarkEnd w:id="431"/>
      <w:bookmarkEnd w:id="432"/>
    </w:p>
    <w:p w14:paraId="6D52AA59">
      <w:pPr>
        <w:ind w:firstLine="560"/>
        <w:rPr>
          <w:highlight w:val="black"/>
        </w:rPr>
      </w:pPr>
      <w:r>
        <w:rPr>
          <w:rFonts w:hint="eastAsia"/>
          <w:highlight w:val="black"/>
        </w:rPr>
        <w:t>1、《采矿许可证》，证号：</w:t>
      </w:r>
      <w:r>
        <w:rPr>
          <w:highlight w:val="black"/>
        </w:rPr>
        <w:t>C210000</w:t>
      </w:r>
      <w:r>
        <w:rPr>
          <w:rFonts w:hint="eastAsia"/>
          <w:highlight w:val="black"/>
        </w:rPr>
        <w:t>2024082110157249，有效期：2024年8月9日至2034年8月9日，辽宁省自然资源厅；</w:t>
      </w:r>
    </w:p>
    <w:p w14:paraId="175DF938">
      <w:pPr>
        <w:ind w:firstLine="560"/>
        <w:rPr>
          <w:highlight w:val="black"/>
        </w:rPr>
      </w:pPr>
      <w:r>
        <w:rPr>
          <w:rFonts w:hint="eastAsia"/>
          <w:highlight w:val="black"/>
        </w:rPr>
        <w:t>2、《营业执照》，统一社会信用代码：</w:t>
      </w:r>
      <w:r>
        <w:rPr>
          <w:highlight w:val="black"/>
        </w:rPr>
        <w:t>91210500673777615H</w:t>
      </w:r>
      <w:r>
        <w:rPr>
          <w:rFonts w:hint="eastAsia"/>
          <w:highlight w:val="black"/>
        </w:rPr>
        <w:t>，经营期限为：2008年5月12日至长期，本溪市溪湖区市场监督管理局；</w:t>
      </w:r>
    </w:p>
    <w:p w14:paraId="0B2E8794">
      <w:pPr>
        <w:ind w:firstLine="560"/>
        <w:rPr>
          <w:highlight w:val="black"/>
        </w:rPr>
      </w:pPr>
      <w:r>
        <w:rPr>
          <w:rFonts w:hint="eastAsia"/>
          <w:highlight w:val="black"/>
        </w:rPr>
        <w:t>3、《省发展改革委关于本溪市昱蕴铁选有限公司大柳峪矿北采区建设项目核准的批复》（辽发改工业〔2024〕661号），2024年</w:t>
      </w:r>
      <w:r>
        <w:rPr>
          <w:highlight w:val="black"/>
        </w:rPr>
        <w:t>12</w:t>
      </w:r>
      <w:r>
        <w:rPr>
          <w:rFonts w:hint="eastAsia"/>
          <w:highlight w:val="black"/>
        </w:rPr>
        <w:t>月</w:t>
      </w:r>
      <w:r>
        <w:rPr>
          <w:highlight w:val="black"/>
        </w:rPr>
        <w:t>9</w:t>
      </w:r>
      <w:r>
        <w:rPr>
          <w:rFonts w:hint="eastAsia"/>
          <w:highlight w:val="black"/>
        </w:rPr>
        <w:t>日，辽宁省发展和改革委员会</w:t>
      </w:r>
      <w:r>
        <w:rPr>
          <w:highlight w:val="black"/>
        </w:rPr>
        <w:t>；</w:t>
      </w:r>
    </w:p>
    <w:p w14:paraId="1313EF04">
      <w:pPr>
        <w:ind w:firstLine="560"/>
        <w:rPr>
          <w:highlight w:val="black"/>
        </w:rPr>
      </w:pPr>
      <w:r>
        <w:rPr>
          <w:rFonts w:hint="eastAsia"/>
          <w:highlight w:val="black"/>
        </w:rPr>
        <w:t>4、《关于〈辽宁省本溪市歪头山大柳峪铁矿详查报告〉矿产资源储量评审备案的复函》（辽自然资储备字〔2023〕30号）；</w:t>
      </w:r>
    </w:p>
    <w:p w14:paraId="7EC53368">
      <w:pPr>
        <w:ind w:firstLine="560"/>
        <w:rPr>
          <w:highlight w:val="black"/>
        </w:rPr>
      </w:pPr>
      <w:r>
        <w:rPr>
          <w:rFonts w:hint="eastAsia"/>
          <w:highlight w:val="black"/>
        </w:rPr>
        <w:t>5、《〈辽宁省本溪市歪头山大柳峪矿区（北区）铁矿勘探报告〉评审意见书》，辽溪评（储）字本〔2024〕2号；</w:t>
      </w:r>
    </w:p>
    <w:p w14:paraId="6E521D81">
      <w:pPr>
        <w:ind w:firstLine="560"/>
        <w:rPr>
          <w:highlight w:val="black"/>
        </w:rPr>
      </w:pPr>
      <w:r>
        <w:rPr>
          <w:rFonts w:hint="eastAsia"/>
          <w:highlight w:val="black"/>
        </w:rPr>
        <w:t>6、《〈本溪市昱蕴铁选有限公司大柳峪铁矿北采区矿产资源开发利用方案〉审查意见书》，辽自然资事矿（开）审字[20</w:t>
      </w:r>
      <w:r>
        <w:rPr>
          <w:highlight w:val="black"/>
        </w:rPr>
        <w:t>23</w:t>
      </w:r>
      <w:r>
        <w:rPr>
          <w:rFonts w:hint="eastAsia"/>
          <w:highlight w:val="black"/>
        </w:rPr>
        <w:t>]C0</w:t>
      </w:r>
      <w:r>
        <w:rPr>
          <w:highlight w:val="black"/>
        </w:rPr>
        <w:t>65</w:t>
      </w:r>
      <w:r>
        <w:rPr>
          <w:rFonts w:hint="eastAsia"/>
          <w:highlight w:val="black"/>
        </w:rPr>
        <w:t>号；</w:t>
      </w:r>
    </w:p>
    <w:p w14:paraId="5F42E076">
      <w:pPr>
        <w:ind w:firstLine="560"/>
        <w:rPr>
          <w:highlight w:val="black"/>
        </w:rPr>
      </w:pPr>
      <w:r>
        <w:rPr>
          <w:rFonts w:hint="eastAsia"/>
          <w:highlight w:val="black"/>
        </w:rPr>
        <w:t>7、《最高洪水位证明》；</w:t>
      </w:r>
    </w:p>
    <w:p w14:paraId="4BC69198">
      <w:pPr>
        <w:pStyle w:val="7"/>
        <w:ind w:firstLine="560"/>
      </w:pPr>
    </w:p>
    <w:p w14:paraId="1BCC4A50">
      <w:pPr>
        <w:ind w:firstLine="560"/>
      </w:pPr>
    </w:p>
    <w:p w14:paraId="074BAD97">
      <w:pPr>
        <w:ind w:firstLine="560"/>
      </w:pPr>
    </w:p>
    <w:p w14:paraId="7D4F3B1D">
      <w:pPr>
        <w:ind w:firstLine="0" w:firstLineChars="0"/>
      </w:pPr>
    </w:p>
    <w:p w14:paraId="639BCFC1">
      <w:pPr>
        <w:pStyle w:val="2"/>
        <w:numPr>
          <w:ilvl w:val="0"/>
          <w:numId w:val="0"/>
        </w:numPr>
        <w:jc w:val="center"/>
      </w:pPr>
      <w:bookmarkStart w:id="433" w:name="_Toc25999"/>
      <w:bookmarkStart w:id="434" w:name="_Toc11941"/>
      <w:r>
        <w:rPr>
          <w:rFonts w:hint="eastAsia"/>
        </w:rPr>
        <w:t>附图</w:t>
      </w:r>
      <w:bookmarkEnd w:id="433"/>
      <w:bookmarkEnd w:id="434"/>
    </w:p>
    <w:p w14:paraId="6B7E01A4">
      <w:pPr>
        <w:ind w:firstLine="560"/>
        <w:rPr>
          <w:highlight w:val="black"/>
        </w:rPr>
      </w:pPr>
      <w:bookmarkStart w:id="435" w:name="_Hlk138435983"/>
      <w:bookmarkStart w:id="436" w:name="_Hlk185801389"/>
      <w:bookmarkStart w:id="437" w:name="_Hlk169559875"/>
      <w:r>
        <w:rPr>
          <w:rFonts w:hint="eastAsia"/>
          <w:highlight w:val="black"/>
        </w:rPr>
        <w:t>1</w:t>
      </w:r>
      <w:r>
        <w:rPr>
          <w:highlight w:val="black"/>
        </w:rPr>
        <w:t>、地形地质及矿区范围图</w:t>
      </w:r>
    </w:p>
    <w:p w14:paraId="5C11EB4F">
      <w:pPr>
        <w:ind w:firstLine="560"/>
        <w:rPr>
          <w:highlight w:val="black"/>
        </w:rPr>
      </w:pPr>
      <w:r>
        <w:rPr>
          <w:rFonts w:hint="eastAsia"/>
          <w:highlight w:val="black"/>
        </w:rPr>
        <w:t>2</w:t>
      </w:r>
      <w:r>
        <w:rPr>
          <w:highlight w:val="black"/>
        </w:rPr>
        <w:t>、总平面布置图</w:t>
      </w:r>
    </w:p>
    <w:p w14:paraId="367D23EB">
      <w:pPr>
        <w:ind w:firstLine="560"/>
        <w:rPr>
          <w:rFonts w:hint="eastAsia"/>
          <w:highlight w:val="black"/>
          <w:lang w:val="en-US" w:eastAsia="zh-CN"/>
        </w:rPr>
      </w:pPr>
      <w:r>
        <w:rPr>
          <w:rFonts w:hint="eastAsia"/>
          <w:highlight w:val="black"/>
        </w:rPr>
        <w:t>3</w:t>
      </w:r>
      <w:r>
        <w:rPr>
          <w:highlight w:val="black"/>
        </w:rPr>
        <w:t>、</w:t>
      </w:r>
      <w:r>
        <w:rPr>
          <w:rFonts w:hint="eastAsia"/>
          <w:highlight w:val="black"/>
          <w:lang w:val="en-US" w:eastAsia="zh-CN"/>
        </w:rPr>
        <w:t>井上下工程对照图</w:t>
      </w:r>
    </w:p>
    <w:p w14:paraId="05A2BD38">
      <w:pPr>
        <w:ind w:firstLine="560"/>
        <w:rPr>
          <w:rFonts w:hint="eastAsia"/>
          <w:highlight w:val="black"/>
        </w:rPr>
      </w:pPr>
      <w:r>
        <w:rPr>
          <w:rFonts w:hint="eastAsia"/>
          <w:highlight w:val="black"/>
          <w:lang w:val="en-US" w:eastAsia="zh-CN"/>
        </w:rPr>
        <w:t>4、</w:t>
      </w:r>
      <w:r>
        <w:rPr>
          <w:rFonts w:hint="eastAsia"/>
          <w:highlight w:val="black"/>
        </w:rPr>
        <w:t>开拓系统纵投影图</w:t>
      </w:r>
      <w:bookmarkStart w:id="438" w:name="_GoBack"/>
      <w:bookmarkEnd w:id="438"/>
    </w:p>
    <w:p w14:paraId="5AEE8160">
      <w:pPr>
        <w:ind w:firstLine="560"/>
        <w:rPr>
          <w:rFonts w:hint="eastAsia"/>
          <w:highlight w:val="black"/>
        </w:rPr>
      </w:pPr>
      <w:r>
        <w:rPr>
          <w:rFonts w:hint="eastAsia"/>
          <w:highlight w:val="black"/>
          <w:lang w:val="en-US" w:eastAsia="zh-CN"/>
        </w:rPr>
        <w:t>5、基建终了</w:t>
      </w:r>
      <w:r>
        <w:rPr>
          <w:rFonts w:hint="eastAsia"/>
          <w:highlight w:val="black"/>
        </w:rPr>
        <w:t>纵投影图</w:t>
      </w:r>
    </w:p>
    <w:p w14:paraId="79D7CFA0">
      <w:pPr>
        <w:ind w:firstLine="560"/>
        <w:rPr>
          <w:highlight w:val="black"/>
        </w:rPr>
      </w:pPr>
      <w:r>
        <w:rPr>
          <w:rFonts w:hint="eastAsia"/>
          <w:highlight w:val="black"/>
          <w:lang w:val="en-US" w:eastAsia="zh-CN"/>
        </w:rPr>
        <w:t>6</w:t>
      </w:r>
      <w:r>
        <w:rPr>
          <w:highlight w:val="black"/>
        </w:rPr>
        <w:t>、</w:t>
      </w:r>
      <w:r>
        <w:rPr>
          <w:rFonts w:hint="eastAsia"/>
          <w:highlight w:val="black"/>
        </w:rPr>
        <w:t>容易时期</w:t>
      </w:r>
      <w:r>
        <w:rPr>
          <w:highlight w:val="black"/>
        </w:rPr>
        <w:t>通风系统图</w:t>
      </w:r>
    </w:p>
    <w:p w14:paraId="6745247C">
      <w:pPr>
        <w:ind w:firstLine="560"/>
        <w:rPr>
          <w:highlight w:val="black"/>
        </w:rPr>
      </w:pPr>
      <w:r>
        <w:rPr>
          <w:rFonts w:hint="eastAsia"/>
          <w:highlight w:val="black"/>
          <w:lang w:val="en-US" w:eastAsia="zh-CN"/>
        </w:rPr>
        <w:t>7</w:t>
      </w:r>
      <w:r>
        <w:rPr>
          <w:highlight w:val="black"/>
        </w:rPr>
        <w:t>、</w:t>
      </w:r>
      <w:r>
        <w:rPr>
          <w:rFonts w:hint="eastAsia"/>
          <w:highlight w:val="black"/>
        </w:rPr>
        <w:t>困难时期</w:t>
      </w:r>
      <w:r>
        <w:rPr>
          <w:highlight w:val="black"/>
        </w:rPr>
        <w:t>通风系统图</w:t>
      </w:r>
    </w:p>
    <w:p w14:paraId="62959085">
      <w:pPr>
        <w:ind w:firstLine="560"/>
        <w:rPr>
          <w:highlight w:val="black"/>
        </w:rPr>
      </w:pPr>
      <w:r>
        <w:rPr>
          <w:rFonts w:hint="eastAsia"/>
          <w:highlight w:val="black"/>
          <w:lang w:val="en-US" w:eastAsia="zh-CN"/>
        </w:rPr>
        <w:t>8</w:t>
      </w:r>
      <w:r>
        <w:rPr>
          <w:highlight w:val="black"/>
        </w:rPr>
        <w:t>、排水系统图</w:t>
      </w:r>
    </w:p>
    <w:p w14:paraId="1ED6389A">
      <w:pPr>
        <w:ind w:firstLine="560"/>
        <w:rPr>
          <w:highlight w:val="black"/>
        </w:rPr>
      </w:pPr>
      <w:r>
        <w:rPr>
          <w:rFonts w:hint="eastAsia"/>
          <w:highlight w:val="black"/>
          <w:lang w:val="en-US" w:eastAsia="zh-CN"/>
        </w:rPr>
        <w:t>9</w:t>
      </w:r>
      <w:r>
        <w:rPr>
          <w:rFonts w:hint="eastAsia"/>
          <w:highlight w:val="black"/>
        </w:rPr>
        <w:t>、分段空场嗣后充填法示意图</w:t>
      </w:r>
    </w:p>
    <w:bookmarkEnd w:id="435"/>
    <w:bookmarkEnd w:id="436"/>
    <w:bookmarkEnd w:id="437"/>
    <w:p w14:paraId="6EB426EF">
      <w:pPr>
        <w:ind w:firstLine="560"/>
      </w:pPr>
    </w:p>
    <w:sectPr>
      <w:headerReference r:id="rId13" w:type="default"/>
      <w:footerReference r:id="rId14" w:type="default"/>
      <w:pgSz w:w="11906" w:h="16838"/>
      <w:pgMar w:top="1440" w:right="1800" w:bottom="1440" w:left="1800" w:header="1020" w:footer="102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Microsoft JhengHei"/>
    <w:panose1 w:val="02010609000101010101"/>
    <w:charset w:val="88"/>
    <w:family w:val="moder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宋体">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A9DAF">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EDF13">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7550F">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D5778">
    <w:pPr>
      <w:pStyle w:val="15"/>
      <w:pBdr>
        <w:top w:val="single" w:color="auto" w:sz="4" w:space="1"/>
      </w:pBdr>
      <w:spacing w:line="240" w:lineRule="exact"/>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49FDCD4">
                          <w:pPr>
                            <w:pStyle w:val="15"/>
                            <w:ind w:firstLine="360"/>
                          </w:pPr>
                          <w:r>
                            <w:fldChar w:fldCharType="begin"/>
                          </w:r>
                          <w:r>
                            <w:instrText xml:space="preserve"> PAGE  \* MERGEFORMAT </w:instrText>
                          </w:r>
                          <w:r>
                            <w:fldChar w:fldCharType="separate"/>
                          </w:r>
                          <w:r>
                            <w:t>79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j/mCPKAQAAlwMAAA4AAABkcnMvZTJvRG9jLnhtbK1TS27bMBDd&#10;F+gdCO5rKQbSCILlIIWRokCRFkhzAJoiLQL8gUNb8gXaG3TVTfc9l8/RISU5QbLJIhtqhjN8M+/N&#10;aHU9GE0OIoBytqEXi5ISYblrld019OHH7YeKEojMtkw7Kxp6FECv1+/frXpfi6XrnG5FIAhioe59&#10;Q7sYfV0UwDthGCycFxaD0gXDIrphV7SB9YhudLEsy49F70Lrg+MCAG83Y5BOiOE1gE5KxcXG8b0R&#10;No6oQWgWkRJ0ygNd526lFDx+kxJEJLqhyDTmE4ugvU1nsV6xeheY7xSfWmCvaeEZJ8OUxaJnqA2L&#10;jOyDegFlFA8OnIwL7kwxEsmKIIuL8pk29x3zInNBqcGfRYe3g+V3h++BqLahOHbLDA789PvX6c+/&#10;09+fpEry9B5qzLr3mBeHT27ApZnvAS8T60EGk77Ih2AcxT2exRVDJDw9qpZVVWKIY2x2EL94fO4D&#10;xM/CGZKMhgacXhaVHb5CHFPnlFTNululdZ6gtqRH1Mvq6jK/OIcQXVsskliM3SYrDtthorZ17RGZ&#10;9bgCDbW48ZToLxYVTtsyG2E2tpORyoO/2UdsIXeWUEeoqRjOK3ObdistxFM/Zz3+T+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Dj/mCPKAQAAlwMAAA4AAAAAAAAAAQAgAAAAIgEAAGRycy9l&#10;Mm9Eb2MueG1sUEsFBgAAAAAGAAYAWQEAAF4FAAAAAA==&#10;">
              <v:fill on="f" focussize="0,0"/>
              <v:stroke on="f" weight="1.25pt"/>
              <v:imagedata o:title=""/>
              <o:lock v:ext="edit" aspectratio="f"/>
              <v:textbox inset="0mm,0mm,0mm,0mm" style="mso-fit-shape-to-text:t;">
                <w:txbxContent>
                  <w:p w14:paraId="749FDCD4">
                    <w:pPr>
                      <w:pStyle w:val="15"/>
                      <w:ind w:firstLine="36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2199F">
    <w:pPr>
      <w:pStyle w:val="1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8DD3D">
                          <w:pPr>
                            <w:pStyle w:val="15"/>
                            <w:ind w:firstLine="360"/>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678DD3D">
                    <w:pPr>
                      <w:pStyle w:val="15"/>
                      <w:ind w:firstLine="360"/>
                    </w:pPr>
                    <w:r>
                      <w:fldChar w:fldCharType="begin"/>
                    </w:r>
                    <w:r>
                      <w:instrText xml:space="preserve"> PAGE  \* MERGEFORMAT </w:instrText>
                    </w:r>
                    <w:r>
                      <w:fldChar w:fldCharType="separate"/>
                    </w:r>
                    <w:r>
                      <w:t>207</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-87630</wp:posOffset>
              </wp:positionV>
              <wp:extent cx="5295900" cy="0"/>
              <wp:effectExtent l="0" t="4445" r="0" b="5080"/>
              <wp:wrapNone/>
              <wp:docPr id="16" name="直接连接符 1"/>
              <wp:cNvGraphicFramePr/>
              <a:graphic xmlns:a="http://schemas.openxmlformats.org/drawingml/2006/main">
                <a:graphicData uri="http://schemas.microsoft.com/office/word/2010/wordprocessingShape">
                  <wps:wsp>
                    <wps:cNvCnPr/>
                    <wps:spPr>
                      <a:xfrm>
                        <a:off x="1165225" y="9777730"/>
                        <a:ext cx="52959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1.75pt;margin-top:-6.9pt;height:0pt;width:417pt;z-index:251660288;mso-width-relative:page;mso-height-relative:page;" filled="f" stroked="t" coordsize="21600,21600" o:gfxdata="UEsDBAoAAAAAAIdO4kAAAAAAAAAAAAAAAAAEAAAAZHJzL1BLAwQUAAAACACHTuJAMRWusNcAAAAJ&#10;AQAADwAAAGRycy9kb3ducmV2LnhtbE2PzU7DMBCE70i8g7VI3FonjaBViFOJSjmBqEjLgZsbb5NA&#10;vE5t94e3Z5GQ4Lgzo9lviuXFDuKEPvSOFKTTBARS40xPrYLtpposQISoyejBESr4wgDL8vqq0Llx&#10;Z3rFUx1bwSUUcq2gi3HMpQxNh1aHqRuR2Ns7b3Xk07fSeH3mcjvIWZLcS6t74g+dHnHVYfNZH62C&#10;Pb68PQWPh+fD+vG9qtcftq02St3epMkDiIiX+BeGH3xGh5KZdu5IJohBQXbHQQWTNOMF7C+yOSu7&#10;X0WWhfy/oPwGUEsDBBQAAAAIAIdO4kAZxDAT7wEAAL4DAAAOAAAAZHJzL2Uyb0RvYy54bWytU0tu&#10;2zAQ3RfoHQjua8kq7MaC5SxipJuiNdD2ADRFSgT4A4ex7Ev0AgW6a1dddt/bNDlGh5SapMkmi2hB&#10;DcnhG743j+vzo9HkIAIoZxs6n5WUCMtdq2zX0M+fLl+dUQKR2ZZpZ0VDTwLo+ebli/Xga1G53ulW&#10;BIIgFurBN7SP0ddFAbwXhsHMeWFxU7pgWMRp6Io2sAHRjS6qslwWgwutD44LAFzdjpt0QgxPAXRS&#10;Ki62jl8ZYeOIGoRmESlBrzzQTb6tlILHD1KCiEQ3FJnGPGIRjPdpLDZrVneB+V7x6QrsKVd4wMkw&#10;ZbHoLdSWRUaugnoEZRQPDpyMM+5MMRLJiiCLeflAm4898yJzQanB34oOzwfL3x92gagWnbCkxDKD&#10;Hb/++uvPl+83v7/heP3zB5knlQYPNSZf2F2YZuB3IVE+ymDSH8mQI+LMl4uqWlByaujqDX6vJ5XF&#10;MRKOCYtqtViV2ACOGXmvuAPxAeJb4QxJQUO1skkAVrPDO4hYGFP/paRl6y6V1rmJ2pIBKy5Sac7Q&#10;mBINgaHxSA5sRwnTHTqex5ARwWnVptMJB0K3v9CBHFjySf4Saaz2X1oqvWXQj3l5a3SQUREfhVam&#10;oWf3T2uLIEm6UawU7V17yhrmdWxrLjNZMPnm/jyfvnt2m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Fa6w1wAAAAkBAAAPAAAAAAAAAAEAIAAAACIAAABkcnMvZG93bnJldi54bWxQSwECFAAUAAAA&#10;CACHTuJAGcQwE+8BAAC+AwAADgAAAAAAAAABACAAAAAmAQAAZHJzL2Uyb0RvYy54bWxQSwUGAAAA&#10;AAYABgBZAQAAhwUAAAAA&#10;">
              <v:fill on="f" focussize="0,0"/>
              <v:stroke color="#000000 [3213]" miterlimit="8" joinstyle="miter"/>
              <v:imagedata o:title=""/>
              <o:lock v:ext="edit" aspectratio="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44177">
    <w:pPr>
      <w:pStyle w:val="16"/>
      <w:pBdr>
        <w:bottom w:val="none" w:color="auto" w:sz="0" w:space="1"/>
      </w:pBdr>
      <w:ind w:firstLine="0" w:firstLineChars="0"/>
    </w:pPr>
  </w:p>
  <w:p w14:paraId="41B02DE0">
    <w:pPr>
      <w:pStyle w:val="16"/>
      <w:pBdr>
        <w:bottom w:val="none" w:color="auto" w:sz="0" w:space="1"/>
      </w:pBd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C84D4">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897D4">
    <w:pPr>
      <w:pStyle w:val="16"/>
      <w:pBdr>
        <w:bottom w:val="single" w:color="auto" w:sz="4" w:space="1"/>
      </w:pBdr>
      <w:spacing w:line="240" w:lineRule="auto"/>
      <w:ind w:firstLine="0" w:firstLineChars="0"/>
      <w:jc w:val="both"/>
    </w:pPr>
    <w:r>
      <w:t>本溪市昱蕴铁选有限公司大柳峪铁矿北采区地下开采建设项目安全预评价</w:t>
    </w:r>
    <w:r>
      <w:rPr>
        <w:rFonts w:hint="eastAsia"/>
        <w:sz w:val="21"/>
        <w:szCs w:val="21"/>
      </w:rPr>
      <w:t xml:space="preserve">   </w:t>
    </w:r>
    <w:r>
      <w:rPr>
        <w:rFonts w:hint="eastAsia"/>
      </w:rPr>
      <w:t xml:space="preserve">    ln-LNWZ-YPJ-2024-0006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60834">
    <w:pPr>
      <w:pStyle w:val="16"/>
      <w:ind w:firstLine="0" w:firstLineChars="0"/>
      <w:jc w:val="left"/>
    </w:pPr>
    <w:r>
      <w:t>本溪市昱蕴铁选有限公司大柳峪铁矿北采区地下开采建设项目安全预评价</w:t>
    </w:r>
    <w:r>
      <w:rPr>
        <w:rFonts w:hint="eastAsia"/>
      </w:rPr>
      <w:t xml:space="preserve">      </w:t>
    </w:r>
    <w:r>
      <w:t>ln-LNWZ-YPJ-2024-000</w:t>
    </w:r>
    <w:r>
      <w:rPr>
        <w:rFonts w:hint="eastAsia"/>
      </w:rPr>
      <w:t>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9C18A">
    <w:pPr>
      <w:pStyle w:val="16"/>
      <w:pBdr>
        <w:bottom w:val="single" w:color="auto" w:sz="4" w:space="1"/>
      </w:pBdr>
      <w:spacing w:line="240" w:lineRule="auto"/>
      <w:ind w:firstLine="0" w:firstLineChars="0"/>
      <w:jc w:val="both"/>
    </w:pPr>
    <w:r>
      <w:t>本溪市昱蕴铁选有限公司大柳峪铁矿北采区地下开采建设项目安全预评价</w:t>
    </w:r>
    <w:r>
      <w:rPr>
        <w:rFonts w:hint="eastAsia"/>
        <w:sz w:val="21"/>
        <w:szCs w:val="21"/>
      </w:rPr>
      <w:t xml:space="preserve">  </w:t>
    </w:r>
    <w:r>
      <w:rPr>
        <w:rFonts w:hint="eastAsia"/>
      </w:rPr>
      <w:t xml:space="preserve">    ln-LNWZ-YPJ-2024-0006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0F8B4"/>
    <w:multiLevelType w:val="multilevel"/>
    <w:tmpl w:val="8AA0F8B4"/>
    <w:lvl w:ilvl="0" w:tentative="0">
      <w:start w:val="1"/>
      <w:numFmt w:val="decimal"/>
      <w:suff w:val="space"/>
      <w:lvlText w:val="%1"/>
      <w:lvlJc w:val="left"/>
      <w:pPr>
        <w:ind w:left="432" w:hanging="432"/>
      </w:pPr>
      <w:rPr>
        <w:rFonts w:hint="default" w:ascii="Times New Roman" w:hAnsi="Times New Roman" w:eastAsia="宋体" w:cs="宋体"/>
      </w:rPr>
    </w:lvl>
    <w:lvl w:ilvl="1" w:tentative="0">
      <w:start w:val="1"/>
      <w:numFmt w:val="decimal"/>
      <w:suff w:val="space"/>
      <w:lvlText w:val="%1.%2"/>
      <w:lvlJc w:val="left"/>
      <w:pPr>
        <w:ind w:left="575" w:hanging="575"/>
      </w:pPr>
      <w:rPr>
        <w:rFonts w:hint="default" w:ascii="Times New Roman" w:hAnsi="Times New Roman" w:eastAsia="宋体" w:cs="宋体"/>
      </w:rPr>
    </w:lvl>
    <w:lvl w:ilvl="2" w:tentative="0">
      <w:start w:val="1"/>
      <w:numFmt w:val="decimal"/>
      <w:isLgl/>
      <w:suff w:val="space"/>
      <w:lvlText w:val="%1.%2.%3"/>
      <w:lvlJc w:val="left"/>
      <w:pPr>
        <w:ind w:left="720" w:hanging="720"/>
      </w:pPr>
      <w:rPr>
        <w:rFonts w:hint="default" w:ascii="Times New Roman" w:hAnsi="Times New Roman" w:eastAsia="宋体" w:cs="宋体"/>
      </w:rPr>
    </w:lvl>
    <w:lvl w:ilvl="3" w:tentative="0">
      <w:start w:val="1"/>
      <w:numFmt w:val="decimal"/>
      <w:isLgl/>
      <w:suff w:val="space"/>
      <w:lvlText w:val="%1.%2.%3.%4"/>
      <w:lvlJc w:val="left"/>
      <w:pPr>
        <w:ind w:left="864" w:hanging="864"/>
      </w:pPr>
      <w:rPr>
        <w:rFonts w:hint="default" w:ascii="Times New Roman" w:hAnsi="Times New Roman" w:eastAsia="宋体" w:cs="宋体"/>
        <w:b w:val="0"/>
      </w:rPr>
    </w:lvl>
    <w:lvl w:ilvl="4" w:tentative="0">
      <w:start w:val="1"/>
      <w:numFmt w:val="decimal"/>
      <w:pStyle w:val="6"/>
      <w:isLgl/>
      <w:suff w:val="nothing"/>
      <w:lvlText w:val="%1.%2.%3.%4.%5"/>
      <w:lvlJc w:val="left"/>
      <w:pPr>
        <w:ind w:left="840" w:firstLine="0"/>
      </w:pPr>
      <w:rPr>
        <w:rFonts w:hint="default" w:ascii="Times New Roman" w:hAnsi="Times New Roman" w:eastAsia="宋体" w:cs="宋体"/>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1">
    <w:nsid w:val="A56EC992"/>
    <w:multiLevelType w:val="singleLevel"/>
    <w:tmpl w:val="A56EC992"/>
    <w:lvl w:ilvl="0" w:tentative="0">
      <w:start w:val="2"/>
      <w:numFmt w:val="decimal"/>
      <w:suff w:val="nothing"/>
      <w:lvlText w:val="%1、"/>
      <w:lvlJc w:val="left"/>
    </w:lvl>
  </w:abstractNum>
  <w:abstractNum w:abstractNumId="2">
    <w:nsid w:val="F66F8202"/>
    <w:multiLevelType w:val="multilevel"/>
    <w:tmpl w:val="F66F8202"/>
    <w:lvl w:ilvl="0" w:tentative="0">
      <w:start w:val="1"/>
      <w:numFmt w:val="decimal"/>
      <w:suff w:val="space"/>
      <w:lvlText w:val="%1"/>
      <w:lvlJc w:val="left"/>
      <w:pPr>
        <w:tabs>
          <w:tab w:val="left" w:pos="0"/>
        </w:tabs>
        <w:ind w:left="425" w:hanging="425"/>
      </w:pPr>
      <w:rPr>
        <w:rFonts w:hint="default" w:ascii="Times New Roman" w:hAnsi="Times New Roman" w:eastAsia="宋体" w:cs="Times New Roman"/>
        <w:b/>
        <w:sz w:val="48"/>
        <w:szCs w:val="48"/>
      </w:rPr>
    </w:lvl>
    <w:lvl w:ilvl="1" w:tentative="0">
      <w:start w:val="1"/>
      <w:numFmt w:val="decimal"/>
      <w:suff w:val="space"/>
      <w:lvlText w:val="%1.%2"/>
      <w:lvlJc w:val="left"/>
      <w:pPr>
        <w:tabs>
          <w:tab w:val="left" w:pos="0"/>
        </w:tabs>
        <w:ind w:left="567" w:hanging="567"/>
      </w:pPr>
      <w:rPr>
        <w:rFonts w:hint="default" w:ascii="Times New Roman" w:hAnsi="Times New Roman" w:eastAsia="仿宋" w:cs="Times New Roman"/>
        <w:b/>
        <w:sz w:val="26"/>
        <w:szCs w:val="26"/>
      </w:rPr>
    </w:lvl>
    <w:lvl w:ilvl="2" w:tentative="0">
      <w:start w:val="1"/>
      <w:numFmt w:val="decimal"/>
      <w:pStyle w:val="66"/>
      <w:suff w:val="space"/>
      <w:lvlText w:val="%1.%2.%3"/>
      <w:lvlJc w:val="left"/>
      <w:pPr>
        <w:tabs>
          <w:tab w:val="left" w:pos="0"/>
        </w:tabs>
        <w:ind w:left="989" w:hanging="709"/>
      </w:pPr>
    </w:lvl>
    <w:lvl w:ilvl="3" w:tentative="0">
      <w:start w:val="1"/>
      <w:numFmt w:val="decimal"/>
      <w:pStyle w:val="65"/>
      <w:suff w:val="space"/>
      <w:lvlText w:val="%1.%2.%3.%4"/>
      <w:lvlJc w:val="left"/>
      <w:pPr>
        <w:tabs>
          <w:tab w:val="left" w:pos="0"/>
        </w:tabs>
        <w:ind w:left="850" w:hanging="850"/>
      </w:pPr>
      <w:rPr>
        <w:rFonts w:hint="default" w:ascii="Times New Roman" w:hAnsi="Times New Roman" w:eastAsia="仿宋" w:cs="Times New Roman"/>
        <w:b/>
        <w:sz w:val="26"/>
        <w:szCs w:val="26"/>
      </w:rPr>
    </w:lvl>
    <w:lvl w:ilvl="4" w:tentative="0">
      <w:start w:val="1"/>
      <w:numFmt w:val="decimal"/>
      <w:suff w:val="space"/>
      <w:lvlText w:val="%1.%2.%3.%4.%5"/>
      <w:lvlJc w:val="left"/>
      <w:pPr>
        <w:tabs>
          <w:tab w:val="left" w:pos="420"/>
        </w:tabs>
        <w:ind w:left="991" w:hanging="991"/>
      </w:pPr>
      <w:rPr>
        <w:rFonts w:hint="default" w:ascii="Times New Roman" w:hAnsi="Times New Roman" w:eastAsia="仿宋" w:cs="Times New Roman"/>
        <w:b/>
        <w:bCs/>
        <w:sz w:val="26"/>
        <w:szCs w:val="26"/>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5"/>
        </w:tabs>
        <w:ind w:left="1275" w:hanging="1275"/>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8"/>
        </w:tabs>
        <w:ind w:left="1558" w:hanging="1558"/>
      </w:pPr>
      <w:rPr>
        <w:rFonts w:hint="default"/>
      </w:rPr>
    </w:lvl>
  </w:abstractNum>
  <w:abstractNum w:abstractNumId="3">
    <w:nsid w:val="0F863643"/>
    <w:multiLevelType w:val="multilevel"/>
    <w:tmpl w:val="0F863643"/>
    <w:lvl w:ilvl="0" w:tentative="0">
      <w:start w:val="3"/>
      <w:numFmt w:val="decimal"/>
      <w:lvlText w:val="%1"/>
      <w:lvlJc w:val="left"/>
      <w:pPr>
        <w:tabs>
          <w:tab w:val="left" w:pos="360"/>
        </w:tabs>
        <w:ind w:left="0" w:firstLine="0"/>
      </w:pPr>
      <w:rPr>
        <w:rFonts w:hint="default" w:ascii="黑体" w:hAnsi="黑体" w:eastAsia="仿宋"/>
        <w:b w:val="0"/>
        <w:i w:val="0"/>
        <w:sz w:val="28"/>
        <w:szCs w:val="28"/>
      </w:rPr>
    </w:lvl>
    <w:lvl w:ilvl="1" w:tentative="0">
      <w:start w:val="3"/>
      <w:numFmt w:val="decimal"/>
      <w:lvlText w:val="%1.%2"/>
      <w:lvlJc w:val="left"/>
      <w:pPr>
        <w:tabs>
          <w:tab w:val="left" w:pos="720"/>
        </w:tabs>
        <w:ind w:left="0" w:firstLine="0"/>
      </w:pPr>
      <w:rPr>
        <w:rFonts w:hint="eastAsia" w:ascii="黑体" w:hAnsi="黑体" w:eastAsia="仿宋"/>
        <w:b w:val="0"/>
        <w:i w:val="0"/>
        <w:sz w:val="24"/>
        <w:szCs w:val="24"/>
      </w:rPr>
    </w:lvl>
    <w:lvl w:ilvl="2" w:tentative="0">
      <w:start w:val="3"/>
      <w:numFmt w:val="decimal"/>
      <w:lvlText w:val="%1.%2.%3"/>
      <w:lvlJc w:val="left"/>
      <w:pPr>
        <w:tabs>
          <w:tab w:val="left" w:pos="720"/>
        </w:tabs>
        <w:ind w:left="0" w:firstLine="0"/>
      </w:pPr>
      <w:rPr>
        <w:rFonts w:hint="eastAsia" w:ascii="黑体" w:hAnsi="黑体" w:eastAsia="仿宋"/>
        <w:b w:val="0"/>
        <w:i w:val="0"/>
        <w:sz w:val="24"/>
        <w:szCs w:val="24"/>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2C30675A"/>
    <w:multiLevelType w:val="singleLevel"/>
    <w:tmpl w:val="2C30675A"/>
    <w:lvl w:ilvl="0" w:tentative="0">
      <w:start w:val="6"/>
      <w:numFmt w:val="decimal"/>
      <w:suff w:val="nothing"/>
      <w:lvlText w:val="（%1）"/>
      <w:lvlJc w:val="left"/>
    </w:lvl>
  </w:abstractNum>
  <w:abstractNum w:abstractNumId="5">
    <w:nsid w:val="71442B82"/>
    <w:multiLevelType w:val="singleLevel"/>
    <w:tmpl w:val="71442B82"/>
    <w:lvl w:ilvl="0" w:tentative="0">
      <w:start w:val="7"/>
      <w:numFmt w:val="decimal"/>
      <w:suff w:val="nothing"/>
      <w:lvlText w:val="（%1）"/>
      <w:lvlJc w:val="left"/>
    </w:lvl>
  </w:abstractNum>
  <w:abstractNum w:abstractNumId="6">
    <w:nsid w:val="7A9C13CB"/>
    <w:multiLevelType w:val="multilevel"/>
    <w:tmpl w:val="7A9C13CB"/>
    <w:lvl w:ilvl="0" w:tentative="0">
      <w:start w:val="1"/>
      <w:numFmt w:val="decimal"/>
      <w:lvlText w:val="%1"/>
      <w:lvlJc w:val="left"/>
      <w:pPr>
        <w:tabs>
          <w:tab w:val="left" w:pos="360"/>
        </w:tabs>
        <w:ind w:left="0" w:firstLine="0"/>
      </w:pPr>
      <w:rPr>
        <w:rFonts w:hint="default" w:ascii="Arial" w:hAnsi="Arial" w:cs="Arial"/>
        <w:sz w:val="44"/>
        <w:szCs w:val="44"/>
      </w:rPr>
    </w:lvl>
    <w:lvl w:ilvl="1" w:tentative="0">
      <w:start w:val="1"/>
      <w:numFmt w:val="decimal"/>
      <w:isLgl/>
      <w:lvlText w:val="%1.%2"/>
      <w:lvlJc w:val="left"/>
      <w:pPr>
        <w:tabs>
          <w:tab w:val="left" w:pos="862"/>
        </w:tabs>
        <w:ind w:left="560" w:firstLine="0"/>
      </w:pPr>
      <w:rPr>
        <w:rFonts w:hint="default" w:ascii="Arial" w:hAnsi="Arial" w:cs="Arial"/>
        <w:b/>
        <w:bCs w:val="0"/>
        <w:i w:val="0"/>
        <w:iCs w:val="0"/>
        <w:caps w:val="0"/>
        <w:smallCaps w:val="0"/>
        <w:strike w:val="0"/>
        <w:dstrike w:val="0"/>
        <w:snapToGrid w:val="0"/>
        <w:vanish w:val="0"/>
        <w:color w:val="000000"/>
        <w:spacing w:val="0"/>
        <w:w w:val="0"/>
        <w:kern w:val="0"/>
        <w:position w:val="0"/>
        <w:sz w:val="28"/>
        <w:szCs w:val="28"/>
        <w:u w:val="none"/>
        <w:vertAlign w:val="baseline"/>
      </w:rPr>
    </w:lvl>
    <w:lvl w:ilvl="2" w:tentative="0">
      <w:start w:val="1"/>
      <w:numFmt w:val="decimal"/>
      <w:suff w:val="space"/>
      <w:lvlText w:val="%1.%2.%3"/>
      <w:lvlJc w:val="left"/>
      <w:pPr>
        <w:ind w:left="3544" w:hanging="3544"/>
      </w:pPr>
      <w:rPr>
        <w:rFonts w:hint="default" w:ascii="Arial" w:hAnsi="Arial" w:cs="Arial"/>
      </w:rPr>
    </w:lvl>
    <w:lvl w:ilvl="3" w:tentative="0">
      <w:start w:val="1"/>
      <w:numFmt w:val="decimal"/>
      <w:pStyle w:val="5"/>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F146A14"/>
    <w:multiLevelType w:val="multilevel"/>
    <w:tmpl w:val="7F146A14"/>
    <w:lvl w:ilvl="0" w:tentative="0">
      <w:start w:val="1"/>
      <w:numFmt w:val="upperLetter"/>
      <w:pStyle w:val="2"/>
      <w:lvlText w:val="%1．"/>
      <w:lvlJc w:val="left"/>
      <w:pPr>
        <w:tabs>
          <w:tab w:val="left" w:pos="405"/>
        </w:tabs>
        <w:ind w:left="405" w:hanging="40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6"/>
  </w:num>
  <w:num w:numId="3">
    <w:abstractNumId w:val="0"/>
  </w:num>
  <w:num w:numId="4">
    <w:abstractNumId w:val="2"/>
  </w:num>
  <w:num w:numId="5">
    <w:abstractNumId w:val="1"/>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documentProtection w:enforcement="0"/>
  <w:defaultTabStop w:val="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xODEyOTNkMjBhYzkyZjE4MzYzYTU0ZDM5YWVmYTYifQ=="/>
  </w:docVars>
  <w:rsids>
    <w:rsidRoot w:val="4A135C86"/>
    <w:rsid w:val="00091380"/>
    <w:rsid w:val="00156503"/>
    <w:rsid w:val="002F3196"/>
    <w:rsid w:val="00402735"/>
    <w:rsid w:val="00406C66"/>
    <w:rsid w:val="006078A6"/>
    <w:rsid w:val="006851A7"/>
    <w:rsid w:val="006C03A7"/>
    <w:rsid w:val="007B054C"/>
    <w:rsid w:val="007F5F00"/>
    <w:rsid w:val="008D51A7"/>
    <w:rsid w:val="00907192"/>
    <w:rsid w:val="00A42ACE"/>
    <w:rsid w:val="00B75247"/>
    <w:rsid w:val="00E317A2"/>
    <w:rsid w:val="00F80A9B"/>
    <w:rsid w:val="00FB629C"/>
    <w:rsid w:val="00FE2108"/>
    <w:rsid w:val="01B87689"/>
    <w:rsid w:val="098D4418"/>
    <w:rsid w:val="0E7850B0"/>
    <w:rsid w:val="0F9F03CD"/>
    <w:rsid w:val="113C48BA"/>
    <w:rsid w:val="157211AB"/>
    <w:rsid w:val="17C27715"/>
    <w:rsid w:val="19FE19C6"/>
    <w:rsid w:val="1F437450"/>
    <w:rsid w:val="1F8A0ED7"/>
    <w:rsid w:val="284A2B84"/>
    <w:rsid w:val="2886352A"/>
    <w:rsid w:val="2B062585"/>
    <w:rsid w:val="2B4E2BD6"/>
    <w:rsid w:val="2C086E00"/>
    <w:rsid w:val="2CB105F8"/>
    <w:rsid w:val="31E7185F"/>
    <w:rsid w:val="32562278"/>
    <w:rsid w:val="357E4EA2"/>
    <w:rsid w:val="394950C7"/>
    <w:rsid w:val="3DAD01F5"/>
    <w:rsid w:val="402F6E1D"/>
    <w:rsid w:val="42526F14"/>
    <w:rsid w:val="47037A21"/>
    <w:rsid w:val="4A135C86"/>
    <w:rsid w:val="4F0E0ACA"/>
    <w:rsid w:val="500109CE"/>
    <w:rsid w:val="52AD009F"/>
    <w:rsid w:val="548117E3"/>
    <w:rsid w:val="57C62A44"/>
    <w:rsid w:val="5D4E06D0"/>
    <w:rsid w:val="5F6E62E8"/>
    <w:rsid w:val="600A1C6D"/>
    <w:rsid w:val="648F5856"/>
    <w:rsid w:val="6C6606EA"/>
    <w:rsid w:val="6D9F2EAD"/>
    <w:rsid w:val="71445C1A"/>
    <w:rsid w:val="7357718E"/>
    <w:rsid w:val="784C78A9"/>
    <w:rsid w:val="79291AEF"/>
    <w:rsid w:val="7B407452"/>
    <w:rsid w:val="7CE87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46"/>
    <w:qFormat/>
    <w:uiPriority w:val="0"/>
    <w:pPr>
      <w:keepNext/>
      <w:numPr>
        <w:ilvl w:val="0"/>
        <w:numId w:val="1"/>
      </w:numPr>
      <w:adjustRightInd w:val="0"/>
      <w:ind w:left="0" w:firstLine="0"/>
      <w:jc w:val="left"/>
      <w:textAlignment w:val="baseline"/>
      <w:outlineLvl w:val="0"/>
    </w:pPr>
    <w:rPr>
      <w:b/>
      <w:bCs/>
      <w:kern w:val="0"/>
      <w:sz w:val="32"/>
      <w:szCs w:val="20"/>
    </w:rPr>
  </w:style>
  <w:style w:type="paragraph" w:styleId="3">
    <w:name w:val="heading 2"/>
    <w:basedOn w:val="1"/>
    <w:next w:val="1"/>
    <w:qFormat/>
    <w:uiPriority w:val="0"/>
    <w:pPr>
      <w:keepNext/>
      <w:keepLines/>
      <w:outlineLvl w:val="1"/>
    </w:pPr>
    <w:rPr>
      <w:rFonts w:ascii="Arial" w:hAnsi="Arial"/>
      <w:b/>
      <w:bCs/>
      <w:sz w:val="30"/>
      <w:szCs w:val="32"/>
    </w:rPr>
  </w:style>
  <w:style w:type="paragraph" w:styleId="4">
    <w:name w:val="heading 3"/>
    <w:basedOn w:val="1"/>
    <w:next w:val="1"/>
    <w:link w:val="44"/>
    <w:qFormat/>
    <w:uiPriority w:val="0"/>
    <w:pPr>
      <w:keepNext/>
      <w:keepLines/>
      <w:outlineLvl w:val="2"/>
    </w:pPr>
    <w:rPr>
      <w:rFonts w:ascii="宋体" w:hAnsi="宋体"/>
      <w:b/>
      <w:szCs w:val="20"/>
    </w:rPr>
  </w:style>
  <w:style w:type="paragraph" w:styleId="5">
    <w:name w:val="heading 4"/>
    <w:basedOn w:val="1"/>
    <w:next w:val="1"/>
    <w:qFormat/>
    <w:uiPriority w:val="0"/>
    <w:pPr>
      <w:keepNext/>
      <w:numPr>
        <w:ilvl w:val="3"/>
        <w:numId w:val="2"/>
      </w:numPr>
      <w:tabs>
        <w:tab w:val="left" w:pos="360"/>
      </w:tabs>
      <w:jc w:val="center"/>
      <w:outlineLvl w:val="3"/>
    </w:pPr>
    <w:rPr>
      <w:rFonts w:ascii="宋体" w:hAnsi="宋体"/>
      <w:snapToGrid w:val="0"/>
      <w:szCs w:val="28"/>
    </w:rPr>
  </w:style>
  <w:style w:type="paragraph" w:styleId="6">
    <w:name w:val="heading 5"/>
    <w:basedOn w:val="1"/>
    <w:next w:val="1"/>
    <w:qFormat/>
    <w:uiPriority w:val="0"/>
    <w:pPr>
      <w:keepNext/>
      <w:keepLines/>
      <w:numPr>
        <w:ilvl w:val="4"/>
        <w:numId w:val="3"/>
      </w:numPr>
      <w:tabs>
        <w:tab w:val="left" w:pos="1008"/>
      </w:tabs>
      <w:spacing w:line="500" w:lineRule="exact"/>
      <w:ind w:left="1008" w:hanging="1008" w:firstLineChars="0"/>
      <w:jc w:val="left"/>
      <w:outlineLvl w:val="4"/>
    </w:p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qFormat/>
    <w:uiPriority w:val="0"/>
    <w:pPr>
      <w:ind w:firstLine="420"/>
    </w:pPr>
    <w:rPr>
      <w:rFonts w:ascii="宋体"/>
      <w:szCs w:val="20"/>
    </w:rPr>
  </w:style>
  <w:style w:type="paragraph" w:styleId="8">
    <w:name w:val="caption"/>
    <w:basedOn w:val="1"/>
    <w:next w:val="1"/>
    <w:qFormat/>
    <w:uiPriority w:val="0"/>
    <w:pPr>
      <w:spacing w:line="240" w:lineRule="auto"/>
      <w:ind w:firstLine="0" w:firstLineChars="0"/>
      <w:jc w:val="right"/>
    </w:pPr>
  </w:style>
  <w:style w:type="paragraph" w:styleId="9">
    <w:name w:val="annotation text"/>
    <w:basedOn w:val="1"/>
    <w:link w:val="67"/>
    <w:qFormat/>
    <w:uiPriority w:val="0"/>
    <w:pPr>
      <w:jc w:val="left"/>
    </w:pPr>
  </w:style>
  <w:style w:type="paragraph" w:styleId="10">
    <w:name w:val="Body Text"/>
    <w:basedOn w:val="1"/>
    <w:qFormat/>
    <w:uiPriority w:val="0"/>
    <w:pPr>
      <w:tabs>
        <w:tab w:val="left" w:pos="1020"/>
      </w:tabs>
      <w:spacing w:line="700" w:lineRule="exact"/>
    </w:pPr>
    <w:rPr>
      <w:spacing w:val="-6"/>
    </w:rPr>
  </w:style>
  <w:style w:type="paragraph" w:styleId="11">
    <w:name w:val="Body Text Indent"/>
    <w:basedOn w:val="1"/>
    <w:qFormat/>
    <w:uiPriority w:val="0"/>
    <w:pPr>
      <w:spacing w:after="120"/>
      <w:ind w:left="420" w:leftChars="200"/>
    </w:pPr>
  </w:style>
  <w:style w:type="paragraph" w:styleId="12">
    <w:name w:val="Plain Text"/>
    <w:basedOn w:val="1"/>
    <w:qFormat/>
    <w:uiPriority w:val="0"/>
    <w:pPr>
      <w:ind w:firstLine="200"/>
    </w:pPr>
    <w:rPr>
      <w:rFonts w:ascii="宋体" w:hAnsi="Courier New" w:cs="Courier New"/>
      <w:szCs w:val="21"/>
    </w:rPr>
  </w:style>
  <w:style w:type="paragraph" w:styleId="13">
    <w:name w:val="Body Text Indent 2"/>
    <w:basedOn w:val="1"/>
    <w:qFormat/>
    <w:uiPriority w:val="0"/>
    <w:pPr>
      <w:spacing w:line="400" w:lineRule="exact"/>
      <w:ind w:firstLine="560"/>
    </w:pPr>
  </w:style>
  <w:style w:type="paragraph" w:styleId="14">
    <w:name w:val="Balloon Text"/>
    <w:basedOn w:val="1"/>
    <w:link w:val="69"/>
    <w:uiPriority w:val="0"/>
    <w:pPr>
      <w:spacing w:line="240" w:lineRule="auto"/>
    </w:pPr>
    <w:rPr>
      <w:sz w:val="18"/>
      <w:szCs w:val="18"/>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0"/>
      <w:szCs w:val="20"/>
    </w:rPr>
  </w:style>
  <w:style w:type="paragraph" w:styleId="18">
    <w:name w:val="Subtitle"/>
    <w:basedOn w:val="1"/>
    <w:next w:val="1"/>
    <w:qFormat/>
    <w:uiPriority w:val="11"/>
    <w:pPr>
      <w:spacing w:before="240" w:after="60" w:line="312" w:lineRule="auto"/>
      <w:jc w:val="left"/>
      <w:outlineLvl w:val="1"/>
    </w:pPr>
    <w:rPr>
      <w:b/>
      <w:bCs/>
      <w:sz w:val="30"/>
      <w:szCs w:val="30"/>
    </w:rPr>
  </w:style>
  <w:style w:type="paragraph" w:styleId="19">
    <w:name w:val="Body Text Indent 3"/>
    <w:basedOn w:val="1"/>
    <w:qFormat/>
    <w:uiPriority w:val="0"/>
    <w:pPr>
      <w:ind w:firstLine="624"/>
    </w:pPr>
    <w:rPr>
      <w:rFonts w:ascii="仿宋_GB2312" w:eastAsia="仿宋_GB2312"/>
      <w:spacing w:val="16"/>
    </w:rPr>
  </w:style>
  <w:style w:type="paragraph" w:styleId="20">
    <w:name w:val="toc 2"/>
    <w:basedOn w:val="1"/>
    <w:next w:val="1"/>
    <w:qFormat/>
    <w:uiPriority w:val="39"/>
    <w:pPr>
      <w:ind w:left="210"/>
      <w:jc w:val="left"/>
    </w:pPr>
    <w:rPr>
      <w:smallCaps/>
      <w:sz w:val="20"/>
      <w:szCs w:val="20"/>
    </w:rPr>
  </w:style>
  <w:style w:type="paragraph" w:styleId="21">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2">
    <w:name w:val="index 1"/>
    <w:basedOn w:val="1"/>
    <w:next w:val="1"/>
    <w:semiHidden/>
    <w:qFormat/>
    <w:uiPriority w:val="0"/>
    <w:rPr>
      <w:rFonts w:ascii="宋体" w:hAnsi="宋体"/>
      <w:sz w:val="21"/>
    </w:rPr>
  </w:style>
  <w:style w:type="paragraph" w:styleId="23">
    <w:name w:val="annotation subject"/>
    <w:basedOn w:val="9"/>
    <w:next w:val="9"/>
    <w:link w:val="68"/>
    <w:qFormat/>
    <w:uiPriority w:val="0"/>
    <w:rPr>
      <w:b/>
      <w:bCs/>
    </w:rPr>
  </w:style>
  <w:style w:type="paragraph" w:styleId="24">
    <w:name w:val="Body Text First Indent 2"/>
    <w:basedOn w:val="1"/>
    <w:next w:val="1"/>
    <w:qFormat/>
    <w:uiPriority w:val="0"/>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annotation reference"/>
    <w:basedOn w:val="27"/>
    <w:qFormat/>
    <w:uiPriority w:val="0"/>
    <w:rPr>
      <w:sz w:val="21"/>
      <w:szCs w:val="21"/>
    </w:rPr>
  </w:style>
  <w:style w:type="paragraph" w:customStyle="1" w:styleId="29">
    <w:name w:val="表格文字"/>
    <w:basedOn w:val="7"/>
    <w:next w:val="1"/>
    <w:qFormat/>
    <w:uiPriority w:val="0"/>
    <w:pPr>
      <w:snapToGrid w:val="0"/>
    </w:pPr>
    <w:rPr>
      <w:rFonts w:hAnsi="宋体"/>
      <w:sz w:val="21"/>
    </w:rPr>
  </w:style>
  <w:style w:type="paragraph" w:customStyle="1" w:styleId="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样式 仿宋_GB2312 两端对齐 首行缩进:  2 字符"/>
    <w:basedOn w:val="1"/>
    <w:qFormat/>
    <w:uiPriority w:val="99"/>
    <w:pPr>
      <w:ind w:firstLine="560"/>
    </w:pPr>
    <w:rPr>
      <w:rFonts w:eastAsia="仿宋" w:cs="宋体"/>
      <w:szCs w:val="28"/>
    </w:rPr>
  </w:style>
  <w:style w:type="paragraph" w:customStyle="1" w:styleId="32">
    <w:name w:val="样式 居中"/>
    <w:basedOn w:val="1"/>
    <w:qFormat/>
    <w:uiPriority w:val="99"/>
    <w:pPr>
      <w:jc w:val="center"/>
    </w:pPr>
    <w:rPr>
      <w:rFonts w:cs="宋体"/>
      <w:szCs w:val="20"/>
    </w:rPr>
  </w:style>
  <w:style w:type="paragraph" w:customStyle="1" w:styleId="33">
    <w:name w:val="表格头"/>
    <w:basedOn w:val="1"/>
    <w:qFormat/>
    <w:uiPriority w:val="0"/>
    <w:pPr>
      <w:adjustRightInd w:val="0"/>
      <w:snapToGrid w:val="0"/>
      <w:jc w:val="right"/>
    </w:pPr>
    <w:rPr>
      <w:rFonts w:ascii="宋体" w:hAnsi="宋体" w:cs="宋体"/>
      <w:szCs w:val="28"/>
    </w:rPr>
  </w:style>
  <w:style w:type="paragraph" w:customStyle="1" w:styleId="34">
    <w:name w:val="7"/>
    <w:basedOn w:val="1"/>
    <w:next w:val="11"/>
    <w:qFormat/>
    <w:uiPriority w:val="0"/>
    <w:pPr>
      <w:widowControl/>
      <w:spacing w:line="500" w:lineRule="exact"/>
      <w:ind w:firstLine="435"/>
    </w:pPr>
    <w:rPr>
      <w:bCs/>
      <w:kern w:val="0"/>
      <w:szCs w:val="36"/>
    </w:rPr>
  </w:style>
  <w:style w:type="paragraph" w:customStyle="1" w:styleId="35">
    <w:name w:val="表格"/>
    <w:basedOn w:val="1"/>
    <w:next w:val="1"/>
    <w:qFormat/>
    <w:uiPriority w:val="0"/>
    <w:pPr>
      <w:adjustRightInd w:val="0"/>
      <w:snapToGrid w:val="0"/>
      <w:jc w:val="center"/>
    </w:pPr>
    <w:rPr>
      <w:sz w:val="24"/>
      <w:szCs w:val="20"/>
    </w:rPr>
  </w:style>
  <w:style w:type="paragraph" w:customStyle="1" w:styleId="36">
    <w:name w:val="样式 四号 首行缩进:  10.1 毫米"/>
    <w:basedOn w:val="1"/>
    <w:qFormat/>
    <w:uiPriority w:val="0"/>
    <w:pPr>
      <w:adjustRightInd w:val="0"/>
      <w:snapToGrid w:val="0"/>
      <w:ind w:firstLine="573"/>
    </w:pPr>
    <w:rPr>
      <w:rFonts w:cs="宋体"/>
      <w:szCs w:val="20"/>
    </w:rPr>
  </w:style>
  <w:style w:type="paragraph" w:styleId="37">
    <w:name w:val="No Spacing"/>
    <w:qFormat/>
    <w:uiPriority w:val="1"/>
    <w:pPr>
      <w:widowControl w:val="0"/>
      <w:spacing w:line="440" w:lineRule="exact"/>
    </w:pPr>
    <w:rPr>
      <w:rFonts w:ascii="楷体_GB2312" w:hAnsi="Times New Roman" w:eastAsia="楷体_GB2312" w:cs="楷体_GB2312"/>
      <w:kern w:val="2"/>
      <w:sz w:val="24"/>
      <w:szCs w:val="24"/>
      <w:lang w:val="en-US" w:eastAsia="zh-CN" w:bidi="ar-SA"/>
    </w:rPr>
  </w:style>
  <w:style w:type="paragraph" w:customStyle="1" w:styleId="38">
    <w:name w:val="标准样式"/>
    <w:basedOn w:val="1"/>
    <w:qFormat/>
    <w:uiPriority w:val="0"/>
    <w:pPr>
      <w:spacing w:line="480" w:lineRule="exact"/>
    </w:pPr>
    <w:rPr>
      <w:rFonts w:ascii="仿宋" w:hAnsi="仿宋"/>
      <w:color w:val="000000"/>
      <w:sz w:val="24"/>
    </w:rPr>
  </w:style>
  <w:style w:type="paragraph" w:customStyle="1" w:styleId="39">
    <w:name w:val="3级标题"/>
    <w:basedOn w:val="1"/>
    <w:qFormat/>
    <w:uiPriority w:val="0"/>
    <w:pPr>
      <w:spacing w:line="240" w:lineRule="atLeast"/>
      <w:outlineLvl w:val="2"/>
    </w:pPr>
    <w:rPr>
      <w:rFonts w:ascii="MingLiU" w:hAnsi="MingLiU"/>
      <w:b/>
    </w:rPr>
  </w:style>
  <w:style w:type="paragraph" w:customStyle="1" w:styleId="40">
    <w:name w:val="4正文"/>
    <w:basedOn w:val="1"/>
    <w:qFormat/>
    <w:uiPriority w:val="0"/>
    <w:pPr>
      <w:snapToGrid w:val="0"/>
      <w:spacing w:beforeLines="50" w:line="480" w:lineRule="exact"/>
      <w:ind w:firstLine="200"/>
    </w:pPr>
  </w:style>
  <w:style w:type="paragraph" w:customStyle="1" w:styleId="41">
    <w:name w:val="列出段落1"/>
    <w:basedOn w:val="1"/>
    <w:qFormat/>
    <w:uiPriority w:val="0"/>
    <w:pPr>
      <w:spacing w:line="460" w:lineRule="exact"/>
      <w:ind w:firstLine="420"/>
    </w:pPr>
    <w:rPr>
      <w:sz w:val="24"/>
    </w:rPr>
  </w:style>
  <w:style w:type="paragraph" w:customStyle="1" w:styleId="42">
    <w:name w:val="报告正文"/>
    <w:basedOn w:val="1"/>
    <w:qFormat/>
    <w:uiPriority w:val="0"/>
    <w:rPr>
      <w:rFonts w:ascii="宋体" w:hAnsi="宋体"/>
      <w:sz w:val="24"/>
      <w:szCs w:val="28"/>
    </w:rPr>
  </w:style>
  <w:style w:type="paragraph" w:customStyle="1" w:styleId="43">
    <w:name w:val="样式 标题 2 + Times New Roman 左 段前: 0 磅 段后: 0 磅 行距: 固定值 26 磅"/>
    <w:basedOn w:val="3"/>
    <w:qFormat/>
    <w:uiPriority w:val="0"/>
    <w:pPr>
      <w:spacing w:line="520" w:lineRule="exact"/>
      <w:ind w:firstLine="0" w:firstLineChars="0"/>
      <w:jc w:val="left"/>
    </w:pPr>
    <w:rPr>
      <w:rFonts w:eastAsia="@宋体"/>
      <w:bCs w:val="0"/>
      <w:szCs w:val="20"/>
    </w:rPr>
  </w:style>
  <w:style w:type="character" w:customStyle="1" w:styleId="44">
    <w:name w:val="标题 3 字符"/>
    <w:link w:val="4"/>
    <w:qFormat/>
    <w:uiPriority w:val="0"/>
    <w:rPr>
      <w:rFonts w:ascii="宋体" w:hAnsi="宋体" w:eastAsia="宋体"/>
      <w:b/>
      <w:sz w:val="28"/>
      <w:szCs w:val="20"/>
    </w:rPr>
  </w:style>
  <w:style w:type="paragraph" w:customStyle="1" w:styleId="45">
    <w:name w:val="WPSOffice手动目录 1"/>
    <w:qFormat/>
    <w:uiPriority w:val="0"/>
    <w:rPr>
      <w:rFonts w:ascii="Times New Roman" w:hAnsi="Times New Roman" w:eastAsia="宋体" w:cs="Times New Roman"/>
      <w:lang w:val="en-US" w:eastAsia="zh-CN" w:bidi="ar-SA"/>
    </w:rPr>
  </w:style>
  <w:style w:type="character" w:customStyle="1" w:styleId="46">
    <w:name w:val="标题 1 字符"/>
    <w:link w:val="2"/>
    <w:qFormat/>
    <w:uiPriority w:val="0"/>
    <w:rPr>
      <w:rFonts w:ascii="Times New Roman" w:hAnsi="Times New Roman" w:eastAsia="宋体"/>
      <w:b/>
      <w:bCs/>
      <w:kern w:val="0"/>
      <w:sz w:val="32"/>
      <w:szCs w:val="20"/>
    </w:rPr>
  </w:style>
  <w:style w:type="paragraph" w:customStyle="1" w:styleId="47">
    <w:name w:val="p0"/>
    <w:basedOn w:val="1"/>
    <w:qFormat/>
    <w:uiPriority w:val="0"/>
    <w:pPr>
      <w:widowControl/>
    </w:pPr>
    <w:rPr>
      <w:kern w:val="0"/>
      <w:szCs w:val="21"/>
    </w:rPr>
  </w:style>
  <w:style w:type="paragraph" w:customStyle="1" w:styleId="48">
    <w:name w:val="zhengwen"/>
    <w:basedOn w:val="1"/>
    <w:qFormat/>
    <w:uiPriority w:val="0"/>
    <w:pPr>
      <w:ind w:firstLine="560"/>
    </w:pPr>
    <w:rPr>
      <w:rFonts w:cs="Courier New"/>
      <w:szCs w:val="20"/>
    </w:rPr>
  </w:style>
  <w:style w:type="paragraph" w:customStyle="1" w:styleId="49">
    <w:name w:val="[1]正文"/>
    <w:basedOn w:val="1"/>
    <w:qFormat/>
    <w:uiPriority w:val="0"/>
    <w:pPr>
      <w:snapToGrid w:val="0"/>
      <w:spacing w:line="520" w:lineRule="exact"/>
      <w:ind w:firstLine="560"/>
    </w:pPr>
    <w:rPr>
      <w:szCs w:val="28"/>
    </w:rPr>
  </w:style>
  <w:style w:type="paragraph" w:customStyle="1" w:styleId="50">
    <w:name w:val="样式 样式 四号 行距: 固定值 28 磅 + 行距: 1.5 倍行距"/>
    <w:basedOn w:val="1"/>
    <w:qFormat/>
    <w:uiPriority w:val="0"/>
    <w:pPr>
      <w:ind w:firstLine="560"/>
    </w:pPr>
    <w:rPr>
      <w:rFonts w:ascii="宋体" w:cs="宋体"/>
      <w:kern w:val="28"/>
    </w:rPr>
  </w:style>
  <w:style w:type="paragraph" w:customStyle="1" w:styleId="51">
    <w:name w:val="正文1"/>
    <w:basedOn w:val="1"/>
    <w:qFormat/>
    <w:uiPriority w:val="0"/>
    <w:pPr>
      <w:ind w:firstLine="200"/>
    </w:pPr>
    <w:rPr>
      <w:szCs w:val="20"/>
    </w:rPr>
  </w:style>
  <w:style w:type="character" w:customStyle="1" w:styleId="52">
    <w:name w:val="样式 标题 2 + Times New Roman Char Char"/>
    <w:qFormat/>
    <w:uiPriority w:val="0"/>
    <w:rPr>
      <w:rFonts w:ascii="宋体" w:hAnsi="Arial" w:eastAsia="宋体"/>
      <w:b/>
      <w:bCs/>
      <w:color w:val="000000"/>
      <w:kern w:val="2"/>
      <w:sz w:val="28"/>
      <w:szCs w:val="28"/>
      <w:lang w:val="en-US" w:eastAsia="zh-CN" w:bidi="ar-SA"/>
    </w:rPr>
  </w:style>
  <w:style w:type="paragraph" w:customStyle="1" w:styleId="53">
    <w:name w:val="行距: 固定值 26 磅"/>
    <w:basedOn w:val="1"/>
    <w:qFormat/>
    <w:uiPriority w:val="0"/>
    <w:pPr>
      <w:spacing w:line="520" w:lineRule="exact"/>
      <w:ind w:firstLine="546" w:firstLineChars="195"/>
    </w:pPr>
    <w:rPr>
      <w:rFonts w:cs="宋体"/>
      <w:color w:val="000000"/>
      <w:szCs w:val="20"/>
    </w:rPr>
  </w:style>
  <w:style w:type="paragraph" w:customStyle="1" w:styleId="54">
    <w:name w:val="Table Text"/>
    <w:basedOn w:val="1"/>
    <w:semiHidden/>
    <w:qFormat/>
    <w:uiPriority w:val="0"/>
    <w:rPr>
      <w:rFonts w:eastAsia="Times New Roman"/>
      <w:sz w:val="20"/>
      <w:szCs w:val="20"/>
      <w:lang w:eastAsia="en-US"/>
    </w:rPr>
  </w:style>
  <w:style w:type="table" w:customStyle="1" w:styleId="55">
    <w:name w:val="Table Normal"/>
    <w:semiHidden/>
    <w:unhideWhenUsed/>
    <w:qFormat/>
    <w:uiPriority w:val="0"/>
    <w:tblPr>
      <w:tblCellMar>
        <w:top w:w="0" w:type="dxa"/>
        <w:left w:w="0" w:type="dxa"/>
        <w:bottom w:w="0" w:type="dxa"/>
        <w:right w:w="0" w:type="dxa"/>
      </w:tblCellMar>
    </w:tblPr>
  </w:style>
  <w:style w:type="paragraph" w:customStyle="1" w:styleId="56">
    <w:name w:val="Char"/>
    <w:basedOn w:val="1"/>
    <w:qFormat/>
    <w:uiPriority w:val="0"/>
    <w:pPr>
      <w:ind w:firstLine="200"/>
    </w:pPr>
    <w:rPr>
      <w:rFonts w:ascii="宋体" w:hAnsi="宋体" w:cs="宋体"/>
      <w:sz w:val="24"/>
    </w:rPr>
  </w:style>
  <w:style w:type="paragraph" w:customStyle="1" w:styleId="57">
    <w:name w:val="Body text|1"/>
    <w:basedOn w:val="1"/>
    <w:qFormat/>
    <w:uiPriority w:val="0"/>
    <w:pPr>
      <w:spacing w:after="60"/>
      <w:ind w:firstLine="400"/>
    </w:pPr>
    <w:rPr>
      <w:rFonts w:ascii="宋体" w:hAnsi="宋体" w:cs="宋体"/>
      <w:sz w:val="19"/>
      <w:szCs w:val="19"/>
      <w:lang w:val="zh-TW" w:eastAsia="zh-TW" w:bidi="zh-TW"/>
    </w:rPr>
  </w:style>
  <w:style w:type="paragraph" w:customStyle="1" w:styleId="58">
    <w:name w:val="表内容"/>
    <w:basedOn w:val="1"/>
    <w:qFormat/>
    <w:uiPriority w:val="0"/>
    <w:pPr>
      <w:widowControl/>
      <w:spacing w:line="240" w:lineRule="auto"/>
      <w:ind w:firstLine="0" w:firstLineChars="0"/>
      <w:jc w:val="center"/>
    </w:pPr>
    <w:rPr>
      <w:rFonts w:ascii="仿宋" w:hAnsi="仿宋" w:eastAsia="仿宋" w:cs="宋体"/>
      <w:kern w:val="0"/>
      <w:sz w:val="24"/>
    </w:rPr>
  </w:style>
  <w:style w:type="paragraph" w:customStyle="1" w:styleId="59">
    <w:name w:val="xl108"/>
    <w:basedOn w:val="1"/>
    <w:qFormat/>
    <w:uiPriority w:val="0"/>
    <w:pPr>
      <w:widowControl/>
      <w:pBdr>
        <w:left w:val="single" w:color="auto" w:sz="8" w:space="0"/>
        <w:bottom w:val="single" w:color="auto" w:sz="8" w:space="0"/>
      </w:pBdr>
      <w:spacing w:before="100" w:beforeAutospacing="1" w:after="100" w:afterAutospacing="1" w:line="240" w:lineRule="auto"/>
      <w:jc w:val="center"/>
    </w:pPr>
    <w:rPr>
      <w:rFonts w:hint="eastAsia" w:hAnsi="Courier New"/>
      <w:kern w:val="0"/>
      <w:sz w:val="24"/>
    </w:rPr>
  </w:style>
  <w:style w:type="paragraph" w:customStyle="1" w:styleId="60">
    <w:name w:val="表头"/>
    <w:basedOn w:val="1"/>
    <w:qFormat/>
    <w:uiPriority w:val="0"/>
    <w:pPr>
      <w:spacing w:before="156" w:beforeLines="50" w:after="156" w:afterLines="50"/>
      <w:jc w:val="center"/>
    </w:pPr>
    <w:rPr>
      <w:sz w:val="24"/>
    </w:rPr>
  </w:style>
  <w:style w:type="paragraph" w:customStyle="1" w:styleId="61">
    <w:name w:val="lv正文"/>
    <w:basedOn w:val="12"/>
    <w:qFormat/>
    <w:uiPriority w:val="0"/>
    <w:pPr>
      <w:spacing w:line="480" w:lineRule="exact"/>
      <w:ind w:firstLine="0" w:firstLineChars="0"/>
    </w:pPr>
    <w:rPr>
      <w:rFonts w:hAnsi="宋体" w:cs="宋体"/>
      <w:color w:val="FF0000"/>
      <w:szCs w:val="20"/>
    </w:rPr>
  </w:style>
  <w:style w:type="paragraph" w:customStyle="1" w:styleId="62">
    <w:name w:val="正文-CQ"/>
    <w:basedOn w:val="1"/>
    <w:qFormat/>
    <w:uiPriority w:val="0"/>
    <w:pPr>
      <w:adjustRightInd w:val="0"/>
      <w:snapToGrid w:val="0"/>
      <w:spacing w:line="520" w:lineRule="atLeast"/>
      <w:ind w:firstLine="0" w:firstLineChars="0"/>
    </w:pPr>
    <w:rPr>
      <w:rFonts w:ascii="仿宋" w:hAnsi="仿宋"/>
    </w:rPr>
  </w:style>
  <w:style w:type="paragraph" w:styleId="63">
    <w:name w:val="List Paragraph"/>
    <w:basedOn w:val="1"/>
    <w:qFormat/>
    <w:uiPriority w:val="34"/>
    <w:pPr>
      <w:ind w:left="298" w:hanging="703"/>
    </w:pPr>
    <w:rPr>
      <w:rFonts w:ascii="宋体" w:hAnsi="宋体" w:cs="宋体"/>
      <w:lang w:val="zh-CN" w:bidi="zh-CN"/>
    </w:rPr>
  </w:style>
  <w:style w:type="paragraph" w:customStyle="1" w:styleId="64">
    <w:name w:val="标题4-CQ"/>
    <w:basedOn w:val="65"/>
    <w:qFormat/>
    <w:uiPriority w:val="0"/>
    <w:pPr>
      <w:tabs>
        <w:tab w:val="left" w:pos="0"/>
        <w:tab w:val="left" w:pos="851"/>
      </w:tabs>
      <w:ind w:hanging="850"/>
    </w:pPr>
    <w:rPr>
      <w:lang w:val="zh-CN" w:bidi="zh-CN"/>
    </w:rPr>
  </w:style>
  <w:style w:type="paragraph" w:customStyle="1" w:styleId="65">
    <w:name w:val="标题4"/>
    <w:basedOn w:val="1"/>
    <w:qFormat/>
    <w:uiPriority w:val="0"/>
    <w:pPr>
      <w:keepNext/>
      <w:keepLines/>
      <w:numPr>
        <w:ilvl w:val="3"/>
        <w:numId w:val="4"/>
      </w:numPr>
      <w:tabs>
        <w:tab w:val="left" w:pos="851"/>
      </w:tabs>
      <w:adjustRightInd w:val="0"/>
      <w:snapToGrid w:val="0"/>
      <w:spacing w:line="520" w:lineRule="atLeast"/>
      <w:ind w:firstLine="0" w:firstLineChars="0"/>
      <w:outlineLvl w:val="3"/>
    </w:pPr>
    <w:rPr>
      <w:rFonts w:ascii="仿宋" w:hAnsi="仿宋"/>
      <w:b/>
    </w:rPr>
  </w:style>
  <w:style w:type="paragraph" w:customStyle="1" w:styleId="66">
    <w:name w:val="标题3"/>
    <w:basedOn w:val="1"/>
    <w:qFormat/>
    <w:uiPriority w:val="0"/>
    <w:pPr>
      <w:keepNext/>
      <w:keepLines/>
      <w:numPr>
        <w:ilvl w:val="2"/>
        <w:numId w:val="4"/>
      </w:numPr>
      <w:tabs>
        <w:tab w:val="left" w:pos="720"/>
      </w:tabs>
      <w:adjustRightInd w:val="0"/>
      <w:snapToGrid w:val="0"/>
      <w:spacing w:line="520" w:lineRule="atLeast"/>
      <w:ind w:firstLine="0" w:firstLineChars="0"/>
      <w:outlineLvl w:val="2"/>
    </w:pPr>
    <w:rPr>
      <w:rFonts w:ascii="仿宋" w:hAnsi="仿宋" w:cs="仿宋"/>
      <w:b/>
      <w:sz w:val="30"/>
    </w:rPr>
  </w:style>
  <w:style w:type="character" w:customStyle="1" w:styleId="67">
    <w:name w:val="批注文字 字符"/>
    <w:basedOn w:val="27"/>
    <w:link w:val="9"/>
    <w:qFormat/>
    <w:uiPriority w:val="0"/>
    <w:rPr>
      <w:kern w:val="2"/>
      <w:sz w:val="28"/>
      <w:szCs w:val="24"/>
    </w:rPr>
  </w:style>
  <w:style w:type="character" w:customStyle="1" w:styleId="68">
    <w:name w:val="批注主题 字符"/>
    <w:basedOn w:val="67"/>
    <w:link w:val="23"/>
    <w:qFormat/>
    <w:uiPriority w:val="0"/>
    <w:rPr>
      <w:b/>
      <w:bCs/>
      <w:kern w:val="2"/>
      <w:sz w:val="28"/>
      <w:szCs w:val="24"/>
    </w:rPr>
  </w:style>
  <w:style w:type="character" w:customStyle="1" w:styleId="69">
    <w:name w:val="批注框文本 字符"/>
    <w:basedOn w:val="27"/>
    <w:link w:val="14"/>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1.png"/><Relationship Id="rId98" Type="http://schemas.openxmlformats.org/officeDocument/2006/relationships/image" Target="media/image50.png"/><Relationship Id="rId97" Type="http://schemas.openxmlformats.org/officeDocument/2006/relationships/image" Target="media/image49.wmf"/><Relationship Id="rId96" Type="http://schemas.openxmlformats.org/officeDocument/2006/relationships/oleObject" Target="embeddings/oleObject33.bin"/><Relationship Id="rId95" Type="http://schemas.openxmlformats.org/officeDocument/2006/relationships/image" Target="media/image48.wmf"/><Relationship Id="rId94" Type="http://schemas.openxmlformats.org/officeDocument/2006/relationships/oleObject" Target="embeddings/oleObject32.bin"/><Relationship Id="rId93" Type="http://schemas.openxmlformats.org/officeDocument/2006/relationships/image" Target="media/image47.wmf"/><Relationship Id="rId92" Type="http://schemas.openxmlformats.org/officeDocument/2006/relationships/oleObject" Target="embeddings/oleObject31.bin"/><Relationship Id="rId91" Type="http://schemas.openxmlformats.org/officeDocument/2006/relationships/image" Target="media/image46.wmf"/><Relationship Id="rId90" Type="http://schemas.openxmlformats.org/officeDocument/2006/relationships/oleObject" Target="embeddings/oleObject30.bin"/><Relationship Id="rId9" Type="http://schemas.openxmlformats.org/officeDocument/2006/relationships/footer" Target="footer2.xml"/><Relationship Id="rId89" Type="http://schemas.openxmlformats.org/officeDocument/2006/relationships/image" Target="media/image45.wmf"/><Relationship Id="rId88" Type="http://schemas.openxmlformats.org/officeDocument/2006/relationships/oleObject" Target="embeddings/oleObject29.bin"/><Relationship Id="rId87" Type="http://schemas.openxmlformats.org/officeDocument/2006/relationships/image" Target="media/image44.wmf"/><Relationship Id="rId86" Type="http://schemas.openxmlformats.org/officeDocument/2006/relationships/oleObject" Target="embeddings/oleObject28.bin"/><Relationship Id="rId85" Type="http://schemas.openxmlformats.org/officeDocument/2006/relationships/image" Target="media/image43.wmf"/><Relationship Id="rId84" Type="http://schemas.openxmlformats.org/officeDocument/2006/relationships/oleObject" Target="embeddings/oleObject27.bin"/><Relationship Id="rId83" Type="http://schemas.openxmlformats.org/officeDocument/2006/relationships/image" Target="media/image42.wmf"/><Relationship Id="rId82" Type="http://schemas.openxmlformats.org/officeDocument/2006/relationships/oleObject" Target="embeddings/oleObject26.bin"/><Relationship Id="rId81" Type="http://schemas.openxmlformats.org/officeDocument/2006/relationships/image" Target="media/image41.wmf"/><Relationship Id="rId80" Type="http://schemas.openxmlformats.org/officeDocument/2006/relationships/oleObject" Target="embeddings/oleObject25.bin"/><Relationship Id="rId8" Type="http://schemas.openxmlformats.org/officeDocument/2006/relationships/footer" Target="footer1.xml"/><Relationship Id="rId79" Type="http://schemas.openxmlformats.org/officeDocument/2006/relationships/image" Target="media/image40.wmf"/><Relationship Id="rId78" Type="http://schemas.openxmlformats.org/officeDocument/2006/relationships/image" Target="media/image39.wmf"/><Relationship Id="rId77" Type="http://schemas.openxmlformats.org/officeDocument/2006/relationships/oleObject" Target="embeddings/oleObject24.bin"/><Relationship Id="rId76" Type="http://schemas.openxmlformats.org/officeDocument/2006/relationships/image" Target="media/image38.wmf"/><Relationship Id="rId75" Type="http://schemas.openxmlformats.org/officeDocument/2006/relationships/oleObject" Target="embeddings/oleObject23.bin"/><Relationship Id="rId74" Type="http://schemas.openxmlformats.org/officeDocument/2006/relationships/image" Target="media/image37.wmf"/><Relationship Id="rId73" Type="http://schemas.openxmlformats.org/officeDocument/2006/relationships/oleObject" Target="embeddings/oleObject22.bin"/><Relationship Id="rId72" Type="http://schemas.openxmlformats.org/officeDocument/2006/relationships/image" Target="media/image36.wmf"/><Relationship Id="rId71" Type="http://schemas.openxmlformats.org/officeDocument/2006/relationships/oleObject" Target="embeddings/oleObject21.bin"/><Relationship Id="rId70" Type="http://schemas.openxmlformats.org/officeDocument/2006/relationships/image" Target="media/image35.wmf"/><Relationship Id="rId7" Type="http://schemas.openxmlformats.org/officeDocument/2006/relationships/header" Target="header3.xml"/><Relationship Id="rId69" Type="http://schemas.openxmlformats.org/officeDocument/2006/relationships/oleObject" Target="embeddings/oleObject20.bin"/><Relationship Id="rId68" Type="http://schemas.openxmlformats.org/officeDocument/2006/relationships/oleObject" Target="embeddings/oleObject19.bin"/><Relationship Id="rId67" Type="http://schemas.openxmlformats.org/officeDocument/2006/relationships/image" Target="media/image34.wmf"/><Relationship Id="rId66" Type="http://schemas.openxmlformats.org/officeDocument/2006/relationships/oleObject" Target="embeddings/oleObject18.bin"/><Relationship Id="rId65" Type="http://schemas.openxmlformats.org/officeDocument/2006/relationships/image" Target="media/image33.wmf"/><Relationship Id="rId64" Type="http://schemas.openxmlformats.org/officeDocument/2006/relationships/oleObject" Target="embeddings/oleObject17.bin"/><Relationship Id="rId63" Type="http://schemas.openxmlformats.org/officeDocument/2006/relationships/image" Target="media/image32.wmf"/><Relationship Id="rId62" Type="http://schemas.openxmlformats.org/officeDocument/2006/relationships/oleObject" Target="embeddings/oleObject16.bin"/><Relationship Id="rId61" Type="http://schemas.openxmlformats.org/officeDocument/2006/relationships/image" Target="media/image31.wmf"/><Relationship Id="rId60" Type="http://schemas.openxmlformats.org/officeDocument/2006/relationships/oleObject" Target="embeddings/oleObject15.bin"/><Relationship Id="rId6" Type="http://schemas.openxmlformats.org/officeDocument/2006/relationships/header" Target="header2.xml"/><Relationship Id="rId59" Type="http://schemas.openxmlformats.org/officeDocument/2006/relationships/image" Target="media/image30.wmf"/><Relationship Id="rId58" Type="http://schemas.openxmlformats.org/officeDocument/2006/relationships/oleObject" Target="embeddings/oleObject14.bin"/><Relationship Id="rId57" Type="http://schemas.openxmlformats.org/officeDocument/2006/relationships/image" Target="media/image29.wmf"/><Relationship Id="rId56" Type="http://schemas.openxmlformats.org/officeDocument/2006/relationships/oleObject" Target="embeddings/oleObject13.bin"/><Relationship Id="rId55" Type="http://schemas.openxmlformats.org/officeDocument/2006/relationships/image" Target="media/image28.png"/><Relationship Id="rId54" Type="http://schemas.openxmlformats.org/officeDocument/2006/relationships/image" Target="media/image27.wmf"/><Relationship Id="rId53" Type="http://schemas.openxmlformats.org/officeDocument/2006/relationships/oleObject" Target="embeddings/oleObject12.bin"/><Relationship Id="rId52" Type="http://schemas.openxmlformats.org/officeDocument/2006/relationships/image" Target="media/image26.png"/><Relationship Id="rId51" Type="http://schemas.openxmlformats.org/officeDocument/2006/relationships/image" Target="media/image25.wmf"/><Relationship Id="rId50" Type="http://schemas.openxmlformats.org/officeDocument/2006/relationships/image" Target="media/image24.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23.wmf"/><Relationship Id="rId47" Type="http://schemas.openxmlformats.org/officeDocument/2006/relationships/oleObject" Target="embeddings/oleObject10.bin"/><Relationship Id="rId46" Type="http://schemas.openxmlformats.org/officeDocument/2006/relationships/image" Target="media/image22.wmf"/><Relationship Id="rId45" Type="http://schemas.openxmlformats.org/officeDocument/2006/relationships/oleObject" Target="embeddings/oleObject9.bin"/><Relationship Id="rId44" Type="http://schemas.openxmlformats.org/officeDocument/2006/relationships/image" Target="media/image21.wmf"/><Relationship Id="rId43" Type="http://schemas.openxmlformats.org/officeDocument/2006/relationships/oleObject" Target="embeddings/oleObject8.bin"/><Relationship Id="rId42" Type="http://schemas.openxmlformats.org/officeDocument/2006/relationships/image" Target="media/image20.wmf"/><Relationship Id="rId41" Type="http://schemas.openxmlformats.org/officeDocument/2006/relationships/oleObject" Target="embeddings/oleObject7.bin"/><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oleObject" Target="embeddings/oleObject6.bin"/><Relationship Id="rId38" Type="http://schemas.openxmlformats.org/officeDocument/2006/relationships/image" Target="media/image18.wmf"/><Relationship Id="rId37" Type="http://schemas.openxmlformats.org/officeDocument/2006/relationships/oleObject" Target="embeddings/oleObject5.bin"/><Relationship Id="rId36" Type="http://schemas.openxmlformats.org/officeDocument/2006/relationships/image" Target="media/image17.wmf"/><Relationship Id="rId35" Type="http://schemas.openxmlformats.org/officeDocument/2006/relationships/image" Target="media/image16.wmf"/><Relationship Id="rId34" Type="http://schemas.openxmlformats.org/officeDocument/2006/relationships/oleObject" Target="embeddings/oleObject4.bin"/><Relationship Id="rId33" Type="http://schemas.openxmlformats.org/officeDocument/2006/relationships/image" Target="media/image15.wmf"/><Relationship Id="rId32" Type="http://schemas.openxmlformats.org/officeDocument/2006/relationships/image" Target="media/image14.wmf"/><Relationship Id="rId31" Type="http://schemas.openxmlformats.org/officeDocument/2006/relationships/image" Target="media/image13.wmf"/><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1.wmf"/><Relationship Id="rId27" Type="http://schemas.openxmlformats.org/officeDocument/2006/relationships/image" Target="media/image10.wmf"/><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oleObject" Target="embeddings/oleObject2.bin"/><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oleObject" Target="embeddings/oleObject34.bin"/><Relationship Id="rId100" Type="http://schemas.openxmlformats.org/officeDocument/2006/relationships/image" Target="media/image52.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207</Pages>
  <Words>7288</Words>
  <Characters>8807</Characters>
  <Lines>7186</Lines>
  <Paragraphs>8758</Paragraphs>
  <TotalTime>21</TotalTime>
  <ScaleCrop>false</ScaleCrop>
  <LinksUpToDate>false</LinksUpToDate>
  <CharactersWithSpaces>8978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2024-06-19T00:52:00Z</dcterms:created>
  <dc:creator>October</dc:creator>
  <cp:lastModifiedBy>October</cp:lastModifiedBy>
  <dcterms:modified xsi:type="dcterms:W3CDTF">2025-04-07T06:56:11Z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7D1E5D4FE6394E5695D31D9A6958A3F1_11</vt:lpwstr>
  </property>
  <property fmtid="{D5CDD505-2E9C-101B-9397-08002B2CF9AE}" pid="4" name="KSOTemplateDocerSaveRecord">
    <vt:lpwstr>eyJoZGlkIjoiMTQxODEyOTNkMjBhYzkyZjE4MzYzYTU0ZDM5YWVmYTYiLCJ1c2VySWQiOiIyNDIzMDU4MDEifQ==</vt:lpwstr>
  </property>
</Properties>
</file>